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74, rue de Merl, B.P. 709 L-2146 Luxembourg R.C.S.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Luxembourg B97483</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(352) 45-62-62</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OVERNIGHT DELIVERY</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March 10,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Attention:</w:t>
            </w:r>
          </w:p>
        </w:tc>
        <w:tc>
          <w:tcPr>
            <w:tcW w:w="6860" w:type="dxa"/>
            <w:vAlign w:val="bottom"/>
            <w:gridSpan w:val="3"/>
          </w:tcPr>
          <w:p>
            <w:pPr>
              <w:ind w:left="100"/>
              <w:spacing w:after="0"/>
              <w:rPr>
                <w:sz w:val="20"/>
                <w:szCs w:val="20"/>
                <w:color w:val="auto"/>
              </w:rPr>
            </w:pPr>
            <w:r>
              <w:rPr>
                <w:rFonts w:ascii="Arial" w:cs="Arial" w:eastAsia="Arial" w:hAnsi="Arial"/>
                <w:sz w:val="18"/>
                <w:szCs w:val="18"/>
                <w:color w:val="auto"/>
              </w:rPr>
              <w:t>Tim Buchmiller, Senior Attorney</w:t>
            </w:r>
          </w:p>
        </w:tc>
      </w:tr>
      <w:tr>
        <w:trPr>
          <w:trHeight w:val="406"/>
        </w:trPr>
        <w:tc>
          <w:tcPr>
            <w:tcW w:w="940" w:type="dxa"/>
            <w:vAlign w:val="bottom"/>
          </w:tcPr>
          <w:p>
            <w:pPr>
              <w:ind w:left="580"/>
              <w:spacing w:after="0"/>
              <w:rPr>
                <w:sz w:val="20"/>
                <w:szCs w:val="20"/>
                <w:color w:val="auto"/>
              </w:rPr>
            </w:pPr>
            <w:r>
              <w:rPr>
                <w:rFonts w:ascii="Arial" w:cs="Arial" w:eastAsia="Arial" w:hAnsi="Arial"/>
                <w:sz w:val="18"/>
                <w:szCs w:val="18"/>
                <w:b w:val="1"/>
                <w:bCs w:val="1"/>
                <w:color w:val="auto"/>
              </w:rPr>
              <w:t>Re:</w:t>
            </w:r>
          </w:p>
        </w:tc>
        <w:tc>
          <w:tcPr>
            <w:tcW w:w="6860" w:type="dxa"/>
            <w:vAlign w:val="bottom"/>
            <w:gridSpan w:val="3"/>
          </w:tcPr>
          <w:p>
            <w:pPr>
              <w:ind w:left="200"/>
              <w:spacing w:after="0"/>
              <w:rPr>
                <w:sz w:val="20"/>
                <w:szCs w:val="20"/>
                <w:color w:val="auto"/>
              </w:rPr>
            </w:pPr>
            <w:r>
              <w:rPr>
                <w:rFonts w:ascii="Arial" w:cs="Arial" w:eastAsia="Arial" w:hAnsi="Arial"/>
                <w:sz w:val="18"/>
                <w:szCs w:val="18"/>
                <w:b w:val="1"/>
                <w:bCs w:val="1"/>
                <w:color w:val="auto"/>
                <w:w w:val="94"/>
              </w:rPr>
              <w:t>Acceleration Request of MagnaChip Semiconductor Corporation (the “Company”)</w:t>
            </w:r>
          </w:p>
        </w:tc>
      </w:tr>
      <w:tr>
        <w:trPr>
          <w:trHeight w:val="190"/>
        </w:trPr>
        <w:tc>
          <w:tcPr>
            <w:tcW w:w="940" w:type="dxa"/>
            <w:vAlign w:val="bottom"/>
          </w:tcPr>
          <w:p>
            <w:pPr>
              <w:spacing w:after="0"/>
              <w:rPr>
                <w:sz w:val="16"/>
                <w:szCs w:val="16"/>
                <w:color w:val="auto"/>
              </w:rPr>
            </w:pPr>
          </w:p>
        </w:tc>
        <w:tc>
          <w:tcPr>
            <w:tcW w:w="6860" w:type="dxa"/>
            <w:vAlign w:val="bottom"/>
            <w:gridSpan w:val="3"/>
          </w:tcPr>
          <w:p>
            <w:pPr>
              <w:ind w:left="200"/>
              <w:spacing w:after="0" w:line="190" w:lineRule="exact"/>
              <w:rPr>
                <w:sz w:val="20"/>
                <w:szCs w:val="20"/>
                <w:color w:val="auto"/>
              </w:rPr>
            </w:pPr>
            <w:r>
              <w:rPr>
                <w:rFonts w:ascii="Arial" w:cs="Arial" w:eastAsia="Arial" w:hAnsi="Arial"/>
                <w:sz w:val="18"/>
                <w:szCs w:val="18"/>
                <w:b w:val="1"/>
                <w:bCs w:val="1"/>
                <w:color w:val="auto"/>
                <w:w w:val="88"/>
              </w:rPr>
              <w:t>Registration Statement of Form S-1 (File No. 333-165467) (the “Registration Statement”)</w:t>
            </w:r>
          </w:p>
        </w:tc>
      </w:tr>
      <w:tr>
        <w:trPr>
          <w:trHeight w:val="20"/>
        </w:trPr>
        <w:tc>
          <w:tcPr>
            <w:tcW w:w="9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Rule 461 of the Rules and Regulations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the undersigned hereby request that the effective date of the above-referenced Registration Statement be accelerated so that the Registration Statement, as then amended, will become effective under the Securities Act by 4:00 p.m. (Eastern Time) on March 10, 2011, or as soon thereafter as practicable. As previously discussed, on March 10, 2011 prior to effectiveness, we intend to file a pre-effective amendment No. 10 to the Registration Statement in the name of MagnaChip Semiconductor Corporation.</w:t>
      </w:r>
    </w:p>
    <w:p>
      <w:pPr>
        <w:spacing w:after="0" w:line="116" w:lineRule="exact"/>
        <w:rPr>
          <w:sz w:val="24"/>
          <w:szCs w:val="24"/>
          <w:color w:val="auto"/>
        </w:rPr>
      </w:pPr>
    </w:p>
    <w:p>
      <w:pPr>
        <w:ind w:firstLine="456"/>
        <w:spacing w:after="0" w:line="254" w:lineRule="auto"/>
        <w:rPr>
          <w:sz w:val="20"/>
          <w:szCs w:val="20"/>
          <w:color w:val="auto"/>
        </w:rPr>
      </w:pPr>
      <w:r>
        <w:rPr>
          <w:rFonts w:ascii="Arial" w:cs="Arial" w:eastAsia="Arial" w:hAnsi="Arial"/>
          <w:sz w:val="18"/>
          <w:szCs w:val="18"/>
          <w:color w:val="auto"/>
        </w:rPr>
        <w:t>The disclosure in the Registration Statement is the responsibility of the Company. The Company acknowledges that staff comments or changes in response to staff comments in the disclosure in the Registration Statement may not be asserted as a defense in any proceeding which may be brought by any person with respect to this matter. The Company also represents to the Commission that should the Commission or the staff acting pursuant to delegated authority, declare the Registration Statement effective, it does not foreclose the Commission from taking any action with respect to the Registration Statement and the Company represents that it will not assert this action as a defense in any proceeding initiated by the Commission or any person under the federal securities laws of the United States.</w:t>
      </w:r>
    </w:p>
    <w:p>
      <w:pPr>
        <w:spacing w:after="0" w:line="144" w:lineRule="exact"/>
        <w:rPr>
          <w:sz w:val="24"/>
          <w:szCs w:val="24"/>
          <w:color w:val="auto"/>
        </w:rPr>
      </w:pPr>
    </w:p>
    <w:p>
      <w:pPr>
        <w:ind w:right="300" w:firstLine="456"/>
        <w:spacing w:after="0" w:line="370" w:lineRule="auto"/>
        <w:rPr>
          <w:sz w:val="20"/>
          <w:szCs w:val="20"/>
          <w:color w:val="auto"/>
        </w:rPr>
      </w:pPr>
      <w:r>
        <w:rPr>
          <w:rFonts w:ascii="Arial" w:cs="Arial" w:eastAsia="Arial" w:hAnsi="Arial"/>
          <w:sz w:val="15"/>
          <w:szCs w:val="15"/>
          <w:color w:val="auto"/>
        </w:rPr>
        <w:t>The Company further acknowledges that the action of the Commission or the staff, acting pursuant to delegated authority, in declaring the Registration Statement effective does not relieve the Company from its full responsibility for the adequacy and accuracy of the disclosure in the Registration Statement.</w:t>
      </w:r>
    </w:p>
    <w:p>
      <w:pPr>
        <w:sectPr>
          <w:pgSz w:w="11900" w:h="16838" w:orient="portrait"/>
          <w:cols w:equalWidth="0" w:num="1">
            <w:col w:w="11360"/>
          </w:cols>
          <w:pgMar w:left="240" w:top="233" w:right="299" w:bottom="1440" w:gutter="0" w:footer="0" w:header="0"/>
        </w:sectPr>
      </w:pPr>
    </w:p>
    <w:bookmarkStart w:id="1" w:name="page2"/>
    <w:bookmarkEnd w:id="1"/>
    <w:p>
      <w:pPr>
        <w:ind w:left="639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396"/>
        <w:spacing w:after="0"/>
        <w:tabs>
          <w:tab w:leader="none" w:pos="6915"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4410075</wp:posOffset>
            </wp:positionH>
            <wp:positionV relativeFrom="paragraph">
              <wp:posOffset>10795</wp:posOffset>
            </wp:positionV>
            <wp:extent cx="2546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jc w:val="both"/>
        <w:ind w:left="6396"/>
        <w:spacing w:after="0"/>
        <w:tabs>
          <w:tab w:leader="none" w:pos="6915" w:val="left"/>
        </w:tabs>
        <w:rPr>
          <w:sz w:val="20"/>
          <w:szCs w:val="20"/>
          <w:color w:val="auto"/>
        </w:rPr>
      </w:pPr>
      <w:r>
        <w:rPr>
          <w:rFonts w:ascii="Arial" w:cs="Arial" w:eastAsia="Arial" w:hAnsi="Arial"/>
          <w:sz w:val="18"/>
          <w:szCs w:val="18"/>
          <w:color w:val="auto"/>
        </w:rPr>
        <w:t>Title:</w:t>
        <w:tab/>
        <w:t>Senior Vice President, General Counsel and Secretary</w:t>
      </w:r>
    </w:p>
    <w:p>
      <w:pPr>
        <w:spacing w:after="0" w:line="165" w:lineRule="exact"/>
        <w:rPr>
          <w:sz w:val="20"/>
          <w:szCs w:val="20"/>
          <w:color w:val="auto"/>
        </w:rPr>
      </w:pPr>
    </w:p>
    <w:p>
      <w:pPr>
        <w:ind w:left="216" w:right="9100" w:hanging="216"/>
        <w:spacing w:after="0" w:line="335" w:lineRule="auto"/>
        <w:tabs>
          <w:tab w:leader="none" w:pos="245" w:val="left"/>
        </w:tabs>
        <w:numPr>
          <w:ilvl w:val="0"/>
          <w:numId w:val="1"/>
        </w:numPr>
        <w:rPr>
          <w:rFonts w:ascii="Arial" w:cs="Arial" w:eastAsia="Arial" w:hAnsi="Arial"/>
          <w:sz w:val="15"/>
          <w:szCs w:val="15"/>
          <w:color w:val="auto"/>
        </w:rPr>
      </w:pPr>
      <w:r>
        <w:rPr>
          <w:rFonts w:ascii="Arial" w:cs="Arial" w:eastAsia="Arial" w:hAnsi="Arial"/>
          <w:sz w:val="15"/>
          <w:szCs w:val="15"/>
          <w:color w:val="auto"/>
        </w:rPr>
        <w:t>Jay Webb, SEC Julie Sherman, SEC Louis Rambo, SEC</w:t>
      </w:r>
    </w:p>
    <w:sectPr>
      <w:pgSz w:w="11900" w:h="16838" w:orient="portrait"/>
      <w:cols w:equalWidth="0" w:num="1">
        <w:col w:w="10736"/>
      </w:cols>
      <w:pgMar w:left="704" w:top="2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2019-12-11T01:03:29Z</dcterms:created>
  <dcterms:modified xsi:type="dcterms:W3CDTF">2019-12-11T01:03:29Z</dcterms:modified>
</cp:coreProperties>
</file>