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 Young Soo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2"/>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3"/>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20" w:type="dxa"/>
            <w:vAlign w:val="bottom"/>
          </w:tcPr>
          <w:p>
            <w:pPr>
              <w:spacing w:after="0"/>
              <w:rPr>
                <w:sz w:val="11"/>
                <w:szCs w:val="11"/>
                <w:color w:val="auto"/>
              </w:rPr>
            </w:pPr>
          </w:p>
        </w:tc>
        <w:tc>
          <w:tcPr>
            <w:tcW w:w="3540" w:type="dxa"/>
            <w:vAlign w:val="bottom"/>
            <w:gridSpan w:val="9"/>
          </w:tcPr>
          <w:p>
            <w:pPr>
              <w:ind w:left="2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1,016</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23,697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1,016 shares of common stock to satisfy tax withholding obligations incurred by the Reporting Person upon the vesting of 2,237 shares of common stock originally awarded to the Reporting Person on February 19,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Resigned as Chief Financial Officer and Principal Financial Officer of the Issuer, effective at the end of December 31, 2021.</w:t>
      </w:r>
    </w:p>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340" w:firstLine="7"/>
        <w:spacing w:after="0" w:line="319" w:lineRule="auto"/>
        <w:tabs>
          <w:tab w:leader="none" w:pos="18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282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2022-01-04T15:29:34Z</dcterms:created>
  <dcterms:modified xsi:type="dcterms:W3CDTF">2022-01-04T15:29:34Z</dcterms:modified>
</cp:coreProperties>
</file>