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21, 2020</w:t>
      </w:r>
    </w:p>
    <w:p>
      <w:pPr>
        <w:spacing w:after="0" w:line="11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2">
            <w:col w:w="7200" w:space="720"/>
            <w:col w:w="3120"/>
          </w:cols>
          <w:pgMar w:left="440" w:top="229" w:right="41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0" w:gutter="0" w:footer="0" w:header="0"/>
          <w:type w:val="continuous"/>
        </w:sectPr>
      </w:pP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MAGNACHIP SEMICONDUCTOR CORPORATION 2011 EQUITY INCENTIVE PLAN (as amended, the “2011 Plan”)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i w:val="1"/>
                <w:iCs w:val="1"/>
                <w:color w:val="auto"/>
                <w:w w:val="87"/>
              </w:rPr>
              <w:t>(Copy to:)</w:t>
            </w:r>
          </w:p>
        </w:tc>
      </w:tr>
      <w:tr>
        <w:trPr>
          <w:trHeight w:val="333"/>
        </w:trPr>
        <w:tc>
          <w:tcPr>
            <w:tcW w:w="598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Theodore S. Kim</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Micheal J. Reagan, Esq.</w:t>
            </w:r>
          </w:p>
        </w:tc>
      </w:tr>
      <w:tr>
        <w:trPr>
          <w:trHeight w:val="216"/>
        </w:trPr>
        <w:tc>
          <w:tcPr>
            <w:tcW w:w="5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Chief Compliance Officer, EVP, General Counsel and Secretary</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W. Stuart Ogg, Esq.</w:t>
            </w:r>
          </w:p>
        </w:tc>
      </w:tr>
      <w:tr>
        <w:trPr>
          <w:trHeight w:val="216"/>
        </w:trPr>
        <w:tc>
          <w:tcPr>
            <w:tcW w:w="5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c/o MagnaChip Semiconductor, Inc.</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86"/>
              </w:rPr>
              <w:t>Jones Day</w:t>
            </w:r>
          </w:p>
        </w:tc>
      </w:tr>
      <w:tr>
        <w:trPr>
          <w:trHeight w:val="216"/>
        </w:trPr>
        <w:tc>
          <w:tcPr>
            <w:tcW w:w="5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60 South Market Street, Suite 750</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1755 Embarcadero Road</w:t>
            </w:r>
          </w:p>
        </w:tc>
      </w:tr>
      <w:tr>
        <w:trPr>
          <w:trHeight w:val="216"/>
        </w:trPr>
        <w:tc>
          <w:tcPr>
            <w:tcW w:w="598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San Jose, CA 95113</w:t>
            </w:r>
          </w:p>
        </w:tc>
        <w:tc>
          <w:tcPr>
            <w:tcW w:w="2980" w:type="dxa"/>
            <w:vAlign w:val="bottom"/>
          </w:tcPr>
          <w:p>
            <w:pPr>
              <w:jc w:val="center"/>
              <w:ind w:left="1010"/>
              <w:spacing w:after="0"/>
              <w:rPr>
                <w:sz w:val="20"/>
                <w:szCs w:val="20"/>
                <w:color w:val="auto"/>
              </w:rPr>
            </w:pPr>
            <w:r>
              <w:rPr>
                <w:rFonts w:ascii="Arial" w:cs="Arial" w:eastAsia="Arial" w:hAnsi="Arial"/>
                <w:sz w:val="18"/>
                <w:szCs w:val="18"/>
                <w:b w:val="1"/>
                <w:bCs w:val="1"/>
                <w:color w:val="auto"/>
                <w:w w:val="92"/>
              </w:rPr>
              <w:t>Palo Alto, CA 94303</w:t>
            </w:r>
          </w:p>
        </w:tc>
      </w:tr>
      <w:tr>
        <w:trPr>
          <w:trHeight w:val="216"/>
        </w:trPr>
        <w:tc>
          <w:tcPr>
            <w:tcW w:w="598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Tel: (408) 625-5999</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Tel: (650) 739-3939</w:t>
            </w:r>
          </w:p>
        </w:tc>
      </w:tr>
      <w:tr>
        <w:trPr>
          <w:trHeight w:val="228"/>
        </w:trPr>
        <w:tc>
          <w:tcPr>
            <w:tcW w:w="5980" w:type="dxa"/>
            <w:vAlign w:val="bottom"/>
          </w:tcPr>
          <w:p>
            <w:pPr>
              <w:jc w:val="center"/>
              <w:ind w:right="1010"/>
              <w:spacing w:after="0"/>
              <w:rPr>
                <w:sz w:val="20"/>
                <w:szCs w:val="20"/>
                <w:color w:val="auto"/>
              </w:rPr>
            </w:pPr>
            <w:r>
              <w:rPr>
                <w:rFonts w:ascii="Arial" w:cs="Arial" w:eastAsia="Arial" w:hAnsi="Arial"/>
                <w:sz w:val="18"/>
                <w:szCs w:val="18"/>
                <w:b w:val="1"/>
                <w:bCs w:val="1"/>
                <w:color w:val="auto"/>
                <w:w w:val="92"/>
              </w:rPr>
              <w:t>Fax: (408) 625-5990</w:t>
            </w:r>
          </w:p>
        </w:tc>
        <w:tc>
          <w:tcPr>
            <w:tcW w:w="298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Fax: (650) 739-3900</w:t>
            </w:r>
          </w:p>
        </w:tc>
      </w:tr>
    </w:tbl>
    <w:p>
      <w:pPr>
        <w:ind w:left="3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vMerge w:val="restart"/>
          </w:tcPr>
          <w:p>
            <w:pPr>
              <w:ind w:left="1360"/>
              <w:spacing w:after="0"/>
              <w:rPr>
                <w:sz w:val="20"/>
                <w:szCs w:val="20"/>
                <w:color w:val="auto"/>
              </w:rPr>
            </w:pPr>
            <w:r>
              <w:rPr>
                <w:rFonts w:ascii="Arial" w:cs="Arial" w:eastAsia="Arial" w:hAnsi="Arial"/>
                <w:sz w:val="14"/>
                <w:szCs w:val="14"/>
                <w:b w:val="1"/>
                <w:bCs w:val="1"/>
                <w:color w:val="auto"/>
              </w:rPr>
              <w:t>Title of Securities to be Registered</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vMerge w:val="continue"/>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 Shares available for future awards under the 2011 Plan</w:t>
            </w:r>
          </w:p>
        </w:tc>
        <w:tc>
          <w:tcPr>
            <w:tcW w:w="1540" w:type="dxa"/>
            <w:vAlign w:val="bottom"/>
            <w:tcBorders>
              <w:bottom w:val="single" w:sz="8" w:color="auto"/>
              <w:right w:val="single" w:sz="8" w:color="auto"/>
            </w:tcBorders>
          </w:tcPr>
          <w:p>
            <w:pPr>
              <w:jc w:val="right"/>
              <w:ind w:right="284"/>
              <w:spacing w:after="0"/>
              <w:rPr>
                <w:sz w:val="20"/>
                <w:szCs w:val="20"/>
                <w:color w:val="auto"/>
              </w:rPr>
            </w:pPr>
            <w:r>
              <w:rPr>
                <w:rFonts w:ascii="Arial" w:cs="Arial" w:eastAsia="Arial" w:hAnsi="Arial"/>
                <w:sz w:val="18"/>
                <w:szCs w:val="18"/>
                <w:color w:val="auto"/>
              </w:rPr>
              <w:t>696,006(2)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$10,495,770.48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$1,362.36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0" w:gutter="0" w:footer="0" w:header="0"/>
          <w:type w:val="continuous"/>
        </w:sectPr>
      </w:pPr>
    </w:p>
    <w:bookmarkStart w:id="1" w:name="page2"/>
    <w:bookmarkEnd w:id="1"/>
    <w:p>
      <w:pPr>
        <w:ind w:left="436" w:right="80" w:hanging="436"/>
        <w:spacing w:after="0" w:line="29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being registered also includes an indeterminate number of shares of Common Stock that may be offered or issued by reason of stock splits, stock dividends and anti-dilution provisions and other terms pursuant to Rule 416 under the Securities Act of 1933, as amended.</w:t>
      </w:r>
    </w:p>
    <w:p>
      <w:pPr>
        <w:ind w:left="436" w:hanging="436"/>
        <w:spacing w:after="0" w:line="28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that were automatically added to the shares authorized for issuance under the Registrant’s 2011 Plan on January 1, 2020 pursuant to an “evergreen” provision contained in the 2011 Plan. Pursuant to such provision, on January 1st of each calendar year commencing in 2012 and ending on (and including) January 1, 2021, the number of shares authorized for issuance under the 2011 Plan is automatically increased by a number equal to the smaller of (i) two percent (2%) of the number of shares of Common Stock issued and outstanding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calendar year or (ii) an amount determined by the Registrant’s Board of Directors.</w:t>
      </w:r>
    </w:p>
    <w:p>
      <w:pPr>
        <w:spacing w:after="0" w:line="3" w:lineRule="exact"/>
        <w:rPr>
          <w:rFonts w:ascii="Arial" w:cs="Arial" w:eastAsia="Arial" w:hAnsi="Arial"/>
          <w:sz w:val="16"/>
          <w:szCs w:val="16"/>
          <w:color w:val="auto"/>
        </w:rPr>
      </w:pPr>
    </w:p>
    <w:p>
      <w:pPr>
        <w:ind w:left="436" w:right="240" w:hanging="436"/>
        <w:spacing w:after="0" w:line="277"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Determined solely for purposes of calculating the registration fee pursuant to Rule 457(c) and (h). The proposed maximum offering price per share, proposed maximum aggregate offering price and the amount of the registration fee are based on $15.08, which is the average of the high and low prices for the Registrant’s Common Stock as reported on the New York Stock Exchange on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170815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56"/>
          </w:cols>
          <w:pgMar w:left="444" w:top="125"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 OF CONTENTS OF</w:t>
      </w:r>
    </w:p>
    <w:p>
      <w:pPr>
        <w:spacing w:after="0" w:line="225"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REGISTRATION STATEMENTS ON FORM S-8 NOS. 333-172864, 333-180696, 333-186789, 333-202120, 333-209756, 333-216204, 333-223155 AND 333-229811</w:t>
      </w:r>
    </w:p>
    <w:p>
      <w:pPr>
        <w:spacing w:after="0" w:line="166" w:lineRule="exact"/>
        <w:rPr>
          <w:sz w:val="20"/>
          <w:szCs w:val="20"/>
          <w:color w:val="auto"/>
        </w:rPr>
      </w:pPr>
    </w:p>
    <w:p>
      <w:pPr>
        <w:ind w:firstLine="441"/>
        <w:spacing w:after="0" w:line="284" w:lineRule="auto"/>
        <w:rPr>
          <w:rFonts w:ascii="Arial" w:cs="Arial" w:eastAsia="Arial" w:hAnsi="Arial"/>
          <w:sz w:val="16"/>
          <w:szCs w:val="16"/>
          <w:color w:val="auto"/>
        </w:rPr>
      </w:pPr>
      <w:r>
        <w:rPr>
          <w:rFonts w:ascii="Arial" w:cs="Arial" w:eastAsia="Arial" w:hAnsi="Arial"/>
          <w:sz w:val="16"/>
          <w:szCs w:val="16"/>
          <w:color w:val="auto"/>
        </w:rPr>
        <w:t>This Registration Statement is being filed for the purpose of increasing the number of securities of the same class as other securities for which a Registration Statement on Form S-8 relating to the same benefit plan is effective pursuant to the automatic increase provisions of such plan. The Registrant previously registered shares of its Common Stock for issuance under the 2011 Plan under the following registration statements: a Registration Statement on Form S-8 filed with the Securities and Exchange Commission (“SEC”) on March 16, 2011 (</w:t>
      </w:r>
      <w:hyperlink r:id="rId21">
        <w:r>
          <w:rPr>
            <w:rFonts w:ascii="Arial" w:cs="Arial" w:eastAsia="Arial" w:hAnsi="Arial"/>
            <w:sz w:val="16"/>
            <w:szCs w:val="16"/>
            <w:u w:val="single" w:color="auto"/>
            <w:color w:val="0000EE"/>
          </w:rPr>
          <w:t>File No. 333-172864</w:t>
        </w:r>
      </w:hyperlink>
      <w:r>
        <w:rPr>
          <w:rFonts w:ascii="Arial" w:cs="Arial" w:eastAsia="Arial" w:hAnsi="Arial"/>
          <w:sz w:val="16"/>
          <w:szCs w:val="16"/>
          <w:color w:val="auto"/>
        </w:rPr>
        <w:t xml:space="preserve">); a Registration Statement on Form S-8 filed with the SEC on April 13, 2012 (File No. </w:t>
      </w:r>
      <w:hyperlink r:id="rId22">
        <w:r>
          <w:rPr>
            <w:rFonts w:ascii="Arial" w:cs="Arial" w:eastAsia="Arial" w:hAnsi="Arial"/>
            <w:sz w:val="16"/>
            <w:szCs w:val="16"/>
            <w:u w:val="single" w:color="auto"/>
            <w:color w:val="0000EE"/>
          </w:rPr>
          <w:t>333-180696</w:t>
        </w:r>
      </w:hyperlink>
      <w:r>
        <w:rPr>
          <w:rFonts w:ascii="Arial" w:cs="Arial" w:eastAsia="Arial" w:hAnsi="Arial"/>
          <w:sz w:val="16"/>
          <w:szCs w:val="16"/>
          <w:color w:val="auto"/>
        </w:rPr>
        <w:t xml:space="preserve">); a Registration Statement on Form S-8 filed with the SEC on February 22, 2013 (File No. </w:t>
      </w:r>
      <w:hyperlink r:id="rId23">
        <w:r>
          <w:rPr>
            <w:rFonts w:ascii="Arial" w:cs="Arial" w:eastAsia="Arial" w:hAnsi="Arial"/>
            <w:sz w:val="16"/>
            <w:szCs w:val="16"/>
            <w:u w:val="single" w:color="auto"/>
            <w:color w:val="0000EE"/>
          </w:rPr>
          <w:t>333-186789</w:t>
        </w:r>
      </w:hyperlink>
      <w:r>
        <w:rPr>
          <w:rFonts w:ascii="Arial" w:cs="Arial" w:eastAsia="Arial" w:hAnsi="Arial"/>
          <w:sz w:val="16"/>
          <w:szCs w:val="16"/>
          <w:color w:val="auto"/>
        </w:rPr>
        <w:t xml:space="preserve">); a Registration Statement on Form S-8 filed with the SEC on February 17, 2015 (File No. </w:t>
      </w:r>
      <w:hyperlink r:id="rId24">
        <w:r>
          <w:rPr>
            <w:rFonts w:ascii="Arial" w:cs="Arial" w:eastAsia="Arial" w:hAnsi="Arial"/>
            <w:sz w:val="16"/>
            <w:szCs w:val="16"/>
            <w:u w:val="single" w:color="auto"/>
            <w:color w:val="0000EE"/>
          </w:rPr>
          <w:t>333-202120</w:t>
        </w:r>
      </w:hyperlink>
      <w:r>
        <w:rPr>
          <w:rFonts w:ascii="Arial" w:cs="Arial" w:eastAsia="Arial" w:hAnsi="Arial"/>
          <w:sz w:val="16"/>
          <w:szCs w:val="16"/>
          <w:color w:val="auto"/>
        </w:rPr>
        <w:t xml:space="preserve">); a Registration Statement on Form S-8 filed with the SEC on February 26, 2016 (File No. </w:t>
      </w:r>
      <w:hyperlink r:id="rId25">
        <w:r>
          <w:rPr>
            <w:rFonts w:ascii="Arial" w:cs="Arial" w:eastAsia="Arial" w:hAnsi="Arial"/>
            <w:sz w:val="16"/>
            <w:szCs w:val="16"/>
            <w:u w:val="single" w:color="auto"/>
            <w:color w:val="0000EE"/>
          </w:rPr>
          <w:t>333-209756</w:t>
        </w:r>
      </w:hyperlink>
      <w:r>
        <w:rPr>
          <w:rFonts w:ascii="Arial" w:cs="Arial" w:eastAsia="Arial" w:hAnsi="Arial"/>
          <w:sz w:val="16"/>
          <w:szCs w:val="16"/>
          <w:color w:val="auto"/>
        </w:rPr>
        <w:t xml:space="preserve">); a Registration Statement on Form S-8 filed with the SEC on February 23, 2017 (File No. </w:t>
      </w:r>
      <w:hyperlink r:id="rId26">
        <w:r>
          <w:rPr>
            <w:rFonts w:ascii="Arial" w:cs="Arial" w:eastAsia="Arial" w:hAnsi="Arial"/>
            <w:sz w:val="16"/>
            <w:szCs w:val="16"/>
            <w:u w:val="single" w:color="auto"/>
            <w:color w:val="0000EE"/>
          </w:rPr>
          <w:t>333-216204</w:t>
        </w:r>
      </w:hyperlink>
      <w:r>
        <w:rPr>
          <w:rFonts w:ascii="Arial" w:cs="Arial" w:eastAsia="Arial" w:hAnsi="Arial"/>
          <w:sz w:val="16"/>
          <w:szCs w:val="16"/>
          <w:color w:val="auto"/>
        </w:rPr>
        <w:t>); a Registration Statement on Form S-8 filed with the SEC on February 22, 2018 (File</w:t>
      </w:r>
    </w:p>
    <w:p>
      <w:pPr>
        <w:spacing w:after="0" w:line="1" w:lineRule="exact"/>
        <w:rPr>
          <w:rFonts w:ascii="Arial" w:cs="Arial" w:eastAsia="Arial" w:hAnsi="Arial"/>
          <w:sz w:val="16"/>
          <w:szCs w:val="16"/>
          <w:color w:val="auto"/>
        </w:rPr>
      </w:pPr>
    </w:p>
    <w:p>
      <w:pPr>
        <w:ind w:right="2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No. </w:t>
      </w:r>
      <w:hyperlink r:id="rId27">
        <w:r>
          <w:rPr>
            <w:rFonts w:ascii="Arial" w:cs="Arial" w:eastAsia="Arial" w:hAnsi="Arial"/>
            <w:sz w:val="18"/>
            <w:szCs w:val="18"/>
            <w:u w:val="single" w:color="auto"/>
            <w:color w:val="0000EE"/>
          </w:rPr>
          <w:t>333-223155</w:t>
        </w:r>
      </w:hyperlink>
      <w:r>
        <w:rPr>
          <w:rFonts w:ascii="Arial" w:cs="Arial" w:eastAsia="Arial" w:hAnsi="Arial"/>
          <w:sz w:val="18"/>
          <w:szCs w:val="18"/>
          <w:color w:val="auto"/>
        </w:rPr>
        <w:t xml:space="preserve">); and a Registration Statement on Form S-8 filed with the SEC on February 22, 2019 (File No. </w:t>
      </w:r>
      <w:hyperlink r:id="rId28">
        <w:r>
          <w:rPr>
            <w:rFonts w:ascii="Arial" w:cs="Arial" w:eastAsia="Arial" w:hAnsi="Arial"/>
            <w:sz w:val="18"/>
            <w:szCs w:val="18"/>
            <w:u w:val="single" w:color="auto"/>
            <w:color w:val="0000EE"/>
          </w:rPr>
          <w:t>333-229811</w:t>
        </w:r>
      </w:hyperlink>
      <w:r>
        <w:rPr>
          <w:rFonts w:ascii="Arial" w:cs="Arial" w:eastAsia="Arial" w:hAnsi="Arial"/>
          <w:sz w:val="18"/>
          <w:szCs w:val="18"/>
          <w:color w:val="auto"/>
        </w:rPr>
        <w:t>). Pursuant to General Instruction E to Form S-8, this Registration Statement hereby incorporates by reference the contents of the Registration Statements referenced above with respect to the shares of common stock registered under the 2011 Plan.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20" w:type="dxa"/>
            <w:vAlign w:val="bottom"/>
            <w:gridSpan w:val="26"/>
          </w:tcPr>
          <w:p>
            <w:pPr>
              <w:jc w:val="center"/>
              <w:ind w:right="4840"/>
              <w:spacing w:after="0"/>
              <w:rPr>
                <w:sz w:val="20"/>
                <w:szCs w:val="20"/>
                <w:color w:val="auto"/>
              </w:rPr>
            </w:pPr>
            <w:r>
              <w:rPr>
                <w:rFonts w:ascii="Arial" w:cs="Arial" w:eastAsia="Arial" w:hAnsi="Arial"/>
                <w:sz w:val="18"/>
                <w:szCs w:val="18"/>
                <w:b w:val="1"/>
                <w:bCs w:val="1"/>
                <w:color w:val="auto"/>
              </w:rPr>
              <w:t>PART II</w:t>
            </w:r>
          </w:p>
        </w:tc>
      </w:tr>
      <w:tr>
        <w:trPr>
          <w:trHeight w:val="432"/>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60" w:type="dxa"/>
            <w:vAlign w:val="bottom"/>
            <w:gridSpan w:val="28"/>
          </w:tcPr>
          <w:p>
            <w:pPr>
              <w:jc w:val="center"/>
              <w:ind w:right="1080"/>
              <w:spacing w:after="0"/>
              <w:rPr>
                <w:sz w:val="20"/>
                <w:szCs w:val="20"/>
                <w:color w:val="auto"/>
              </w:rPr>
            </w:pPr>
            <w:r>
              <w:rPr>
                <w:rFonts w:ascii="Arial" w:cs="Arial" w:eastAsia="Arial" w:hAnsi="Arial"/>
                <w:sz w:val="18"/>
                <w:szCs w:val="18"/>
                <w:b w:val="1"/>
                <w:bCs w:val="1"/>
                <w:color w:val="auto"/>
              </w:rPr>
              <w:t>INFORMATION REQUIRED IN THE REGISTRATION STATEMENT</w:t>
            </w:r>
          </w:p>
        </w:tc>
      </w:tr>
      <w:tr>
        <w:trPr>
          <w:trHeight w:val="459"/>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060" w:type="dxa"/>
            <w:vAlign w:val="bottom"/>
            <w:gridSpan w:val="29"/>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8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20" w:type="dxa"/>
            <w:vAlign w:val="bottom"/>
            <w:gridSpan w:val="26"/>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880" w:type="dxa"/>
            <w:vAlign w:val="bottom"/>
          </w:tcPr>
          <w:p>
            <w:pPr>
              <w:ind w:left="100"/>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3"/>
                <w:szCs w:val="23"/>
                <w:color w:val="auto"/>
              </w:rPr>
            </w:pPr>
          </w:p>
        </w:tc>
        <w:tc>
          <w:tcPr>
            <w:tcW w:w="9460" w:type="dxa"/>
            <w:vAlign w:val="bottom"/>
            <w:tcBorders>
              <w:bottom w:val="single" w:sz="8" w:color="0000EE"/>
            </w:tcBorders>
            <w:gridSpan w:val="21"/>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Certificate of Incorporation of MagnaChip Semiconductor Corporation (incorporated by reference to Exhibit 3.2 to the Registrant’s</w:t>
              </w:r>
            </w:hyperlink>
          </w:p>
        </w:tc>
        <w:tc>
          <w:tcPr>
            <w:tcW w:w="300" w:type="dxa"/>
            <w:vAlign w:val="bottom"/>
            <w:gridSpan w:val="7"/>
          </w:tcPr>
          <w:p>
            <w:pPr>
              <w:spacing w:after="0"/>
              <w:rPr>
                <w:sz w:val="23"/>
                <w:szCs w:val="23"/>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Current Report on Form 8-K filed with the Commission on March 11, 2011).</w:t>
              </w:r>
            </w:hyperlink>
          </w:p>
        </w:tc>
        <w:tc>
          <w:tcPr>
            <w:tcW w:w="4220" w:type="dxa"/>
            <w:vAlign w:val="bottom"/>
            <w:gridSpan w:val="22"/>
          </w:tcPr>
          <w:p>
            <w:pPr>
              <w:spacing w:after="0"/>
              <w:rPr>
                <w:sz w:val="17"/>
                <w:szCs w:val="17"/>
                <w:color w:val="auto"/>
              </w:rPr>
            </w:pPr>
          </w:p>
        </w:tc>
      </w:tr>
      <w:tr>
        <w:trPr>
          <w:trHeight w:val="304"/>
        </w:trPr>
        <w:tc>
          <w:tcPr>
            <w:tcW w:w="880" w:type="dxa"/>
            <w:vAlign w:val="bottom"/>
          </w:tcPr>
          <w:p>
            <w:pPr>
              <w:ind w:left="10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9740" w:type="dxa"/>
            <w:vAlign w:val="bottom"/>
            <w:tcBorders>
              <w:bottom w:val="single" w:sz="8" w:color="0000EE"/>
            </w:tcBorders>
            <w:gridSpan w:val="27"/>
          </w:tcPr>
          <w:p>
            <w:pPr>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Amended and Restated Bylaws of MagnaChip Semiconductor Corporation (incorporated by reference to Exhibit 3.1 to the Registrant’s</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Current Report on Form 8-K filed on May 6, 2016).</w:t>
              </w:r>
            </w:hyperlink>
          </w:p>
        </w:tc>
        <w:tc>
          <w:tcPr>
            <w:tcW w:w="6020" w:type="dxa"/>
            <w:vAlign w:val="bottom"/>
            <w:gridSpan w:val="26"/>
          </w:tcPr>
          <w:p>
            <w:pPr>
              <w:spacing w:after="0"/>
              <w:rPr>
                <w:sz w:val="17"/>
                <w:szCs w:val="17"/>
                <w:color w:val="auto"/>
              </w:rPr>
            </w:pPr>
          </w:p>
        </w:tc>
      </w:tr>
      <w:tr>
        <w:trPr>
          <w:trHeight w:val="304"/>
        </w:trPr>
        <w:tc>
          <w:tcPr>
            <w:tcW w:w="880" w:type="dxa"/>
            <w:vAlign w:val="bottom"/>
          </w:tcPr>
          <w:p>
            <w:pPr>
              <w:ind w:left="10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5"/>
              </w:rPr>
            </w:pPr>
            <w:hyperlink r:id="rId31">
              <w:r>
                <w:rPr>
                  <w:rFonts w:ascii="Arial" w:cs="Arial" w:eastAsia="Arial" w:hAnsi="Arial"/>
                  <w:sz w:val="18"/>
                  <w:szCs w:val="18"/>
                  <w:color w:val="0000EE"/>
                  <w:w w:val="95"/>
                </w:rPr>
                <w:t>Certificate of Designation, Preferences and Rights of Series A Junior Participating Preferred Stock of MagnaChip Semiconductor</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Corporation, as filed with the Secretary of the State of Delaware on March 6, 2015 (incorporated by reference to Exhibit 3.1 to the</w:t>
              </w:r>
            </w:hyperlink>
          </w:p>
        </w:tc>
        <w:tc>
          <w:tcPr>
            <w:tcW w:w="360" w:type="dxa"/>
            <w:vAlign w:val="bottom"/>
            <w:gridSpan w:val="9"/>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Registrant’s Current Report on Form 8-K filed on March 6, 2015).</w:t>
              </w:r>
            </w:hyperlink>
          </w:p>
        </w:tc>
        <w:tc>
          <w:tcPr>
            <w:tcW w:w="4980" w:type="dxa"/>
            <w:vAlign w:val="bottom"/>
            <w:gridSpan w:val="25"/>
          </w:tcPr>
          <w:p>
            <w:pPr>
              <w:spacing w:after="0"/>
              <w:rPr>
                <w:sz w:val="17"/>
                <w:szCs w:val="17"/>
                <w:color w:val="auto"/>
              </w:rPr>
            </w:pPr>
          </w:p>
        </w:tc>
      </w:tr>
      <w:tr>
        <w:trPr>
          <w:trHeight w:val="304"/>
        </w:trPr>
        <w:tc>
          <w:tcPr>
            <w:tcW w:w="880" w:type="dxa"/>
            <w:vAlign w:val="bottom"/>
          </w:tcPr>
          <w:p>
            <w:pPr>
              <w:ind w:left="10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89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Opinion of Jones Day regarding the validity of the shares of Common Stock being registered on this Registration Statement.</w:t>
              </w:r>
            </w:hyperlink>
          </w:p>
        </w:tc>
        <w:tc>
          <w:tcPr>
            <w:tcW w:w="800" w:type="dxa"/>
            <w:vAlign w:val="bottom"/>
            <w:gridSpan w:val="13"/>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Samil PricewaterhouseCoopers.</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57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Consent of Jones Day (contained in Exhibit 5.1 to this Registration Statement).</w:t>
              </w:r>
            </w:hyperlink>
          </w:p>
        </w:tc>
        <w:tc>
          <w:tcPr>
            <w:tcW w:w="4060" w:type="dxa"/>
            <w:vAlign w:val="bottom"/>
            <w:gridSpan w:val="21"/>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Power of Attorney (included on the signature page to this Registration Statement).</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420" w:type="dxa"/>
            <w:vAlign w:val="bottom"/>
            <w:tcBorders>
              <w:bottom w:val="single" w:sz="8" w:color="0000EE"/>
            </w:tcBorders>
            <w:gridSpan w:val="20"/>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MagnaChip Semiconductor Corporation 2011 Equity Incentive Plan (as amended on April 26, 2018) (incorporated by reference to</w:t>
              </w:r>
            </w:hyperlink>
          </w:p>
        </w:tc>
        <w:tc>
          <w:tcPr>
            <w:tcW w:w="34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Exhibit 10.24 to the Registrant’s Annual Report on Form 10-K filed on February 22, 2019).</w:t>
              </w:r>
            </w:hyperlink>
          </w:p>
        </w:tc>
        <w:tc>
          <w:tcPr>
            <w:tcW w:w="316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MagnaChip Semiconductor Corporation 2011 Form of Stock Option Agreement (U.S. Participants) (incorporated by reference to</w:t>
              </w:r>
            </w:hyperlink>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Exhibit 10.55 to the Registrant’s Registration Statement on Form S-1 (No. 333-165467)).</w:t>
              </w:r>
            </w:hyperlink>
          </w:p>
        </w:tc>
        <w:tc>
          <w:tcPr>
            <w:tcW w:w="44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24"/>
                <w:szCs w:val="24"/>
                <w:color w:val="auto"/>
              </w:rPr>
            </w:pPr>
          </w:p>
        </w:tc>
        <w:tc>
          <w:tcPr>
            <w:tcW w:w="9660" w:type="dxa"/>
            <w:vAlign w:val="bottom"/>
            <w:tcBorders>
              <w:bottom w:val="single" w:sz="8" w:color="0000EE"/>
            </w:tcBorders>
            <w:gridSpan w:val="24"/>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MagnaChip Semiconductor Corporation 2011 Form of Stock Option Agreement (Non-U.S. Participants) (incorporated by reference to</w:t>
              </w:r>
            </w:hyperlink>
          </w:p>
        </w:tc>
        <w:tc>
          <w:tcPr>
            <w:tcW w:w="1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Exhibit 10.56 to the Registrant’s Registration Statement on Form S-1 (No. 333-165467)).</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99.4</w:t>
            </w:r>
          </w:p>
        </w:tc>
        <w:tc>
          <w:tcPr>
            <w:tcW w:w="300" w:type="dxa"/>
            <w:vAlign w:val="bottom"/>
          </w:tcPr>
          <w:p>
            <w:pPr>
              <w:spacing w:after="0"/>
              <w:rPr>
                <w:sz w:val="24"/>
                <w:szCs w:val="24"/>
                <w:color w:val="auto"/>
              </w:rPr>
            </w:pPr>
          </w:p>
        </w:tc>
        <w:tc>
          <w:tcPr>
            <w:tcW w:w="9760" w:type="dxa"/>
            <w:vAlign w:val="bottom"/>
            <w:tcBorders>
              <w:bottom w:val="single" w:sz="8" w:color="0000EE"/>
            </w:tcBorders>
            <w:gridSpan w:val="28"/>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MagnaChip Semiconductor Corporation 2011 Form of Restricted Stock Units Agreement (U.S. Participants) (incorporated by reference</w:t>
              </w:r>
            </w:hyperlink>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to Exhibit 10.57 to the Registrant’s Registration Statement on Form S-1 (No. 333-165467)).</w:t>
              </w:r>
            </w:hyperlink>
          </w:p>
        </w:tc>
        <w:tc>
          <w:tcPr>
            <w:tcW w:w="3140" w:type="dxa"/>
            <w:vAlign w:val="bottom"/>
            <w:gridSpan w:val="1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4"/>
              </w:rPr>
            </w:pPr>
            <w:hyperlink r:id="rId36">
              <w:r>
                <w:rPr>
                  <w:rFonts w:ascii="Arial" w:cs="Arial" w:eastAsia="Arial" w:hAnsi="Arial"/>
                  <w:sz w:val="18"/>
                  <w:szCs w:val="18"/>
                  <w:color w:val="0000EE"/>
                  <w:w w:val="94"/>
                </w:rPr>
                <w:t>MagnaChip Semiconductor Corporation 2011 Form of Restricted Stock Units Agreement (Non-U.S. Participants) (incorporated by</w:t>
              </w:r>
            </w:hyperlink>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reference to Exhibit 10.58 to the Registrant’s Registration Statement on Form S-1 (No. 333-165467)).</w:t>
              </w:r>
            </w:hyperlink>
          </w:p>
        </w:tc>
        <w:tc>
          <w:tcPr>
            <w:tcW w:w="340" w:type="dxa"/>
            <w:vAlign w:val="bottom"/>
            <w:gridSpan w:val="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MagnaChip Semiconductor Corporation 2011 Form of Restricted Stock Agreement (U.S. Participants) (incorporated by reference to</w:t>
              </w:r>
            </w:hyperlink>
          </w:p>
        </w:tc>
        <w:tc>
          <w:tcPr>
            <w:tcW w:w="24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Exhibit 10.59 to the Registrant’s Registration Statement on Form S-1 (No. 333-165467)).</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99.7</w:t>
            </w:r>
          </w:p>
        </w:tc>
        <w:tc>
          <w:tcPr>
            <w:tcW w:w="300" w:type="dxa"/>
            <w:vAlign w:val="bottom"/>
          </w:tcPr>
          <w:p>
            <w:pPr>
              <w:spacing w:after="0"/>
              <w:rPr>
                <w:sz w:val="24"/>
                <w:szCs w:val="24"/>
                <w:color w:val="auto"/>
              </w:rPr>
            </w:pPr>
          </w:p>
        </w:tc>
        <w:tc>
          <w:tcPr>
            <w:tcW w:w="9720" w:type="dxa"/>
            <w:vAlign w:val="bottom"/>
            <w:tcBorders>
              <w:bottom w:val="single" w:sz="8" w:color="0000EE"/>
            </w:tcBorders>
            <w:gridSpan w:val="26"/>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MagnaChip Semiconductor Corporation 2011 Form of Restricted Stock Agreement (Non-U.S. Participants) (incorporated by reference</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to Exhibit 10.60 to the Registrant’s Registration Statement on Form S-1 (No. 333-165467)).</w:t>
              </w:r>
            </w:hyperlink>
          </w:p>
        </w:tc>
        <w:tc>
          <w:tcPr>
            <w:tcW w:w="3140" w:type="dxa"/>
            <w:vAlign w:val="bottom"/>
            <w:gridSpan w:val="1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24"/>
                <w:szCs w:val="24"/>
                <w:color w:val="auto"/>
              </w:rPr>
            </w:pPr>
          </w:p>
        </w:tc>
        <w:tc>
          <w:tcPr>
            <w:tcW w:w="9500" w:type="dxa"/>
            <w:vAlign w:val="bottom"/>
            <w:tcBorders>
              <w:bottom w:val="single" w:sz="8" w:color="0000EE"/>
            </w:tcBorders>
            <w:gridSpan w:val="22"/>
          </w:tcPr>
          <w:p>
            <w:pPr>
              <w:spacing w:after="0"/>
              <w:rPr>
                <w:rFonts w:ascii="Arial" w:cs="Arial" w:eastAsia="Arial" w:hAnsi="Arial"/>
                <w:sz w:val="18"/>
                <w:szCs w:val="18"/>
                <w:color w:val="0000EE"/>
                <w:w w:val="91"/>
              </w:rPr>
            </w:pPr>
            <w:hyperlink r:id="rId39">
              <w:r>
                <w:rPr>
                  <w:rFonts w:ascii="Arial" w:cs="Arial" w:eastAsia="Arial" w:hAnsi="Arial"/>
                  <w:sz w:val="18"/>
                  <w:szCs w:val="18"/>
                  <w:color w:val="0000EE"/>
                  <w:w w:val="91"/>
                </w:rPr>
                <w:t>MagnaChip Semiconductor Corporation 2011 Form of Restricted Stock Units Agreement (Nonemployee Director) (incorporated by</w:t>
              </w:r>
            </w:hyperlink>
          </w:p>
        </w:tc>
        <w:tc>
          <w:tcPr>
            <w:tcW w:w="26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reference to Exhibit 10.1 to the Registrant’s Quarterly Report on Form 10-Q filed on May 6, 2016).</w:t>
              </w:r>
            </w:hyperlink>
          </w:p>
        </w:tc>
        <w:tc>
          <w:tcPr>
            <w:tcW w:w="2600" w:type="dxa"/>
            <w:vAlign w:val="bottom"/>
            <w:gridSpan w:val="1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99.9</w:t>
            </w:r>
          </w:p>
        </w:tc>
        <w:tc>
          <w:tcPr>
            <w:tcW w:w="300" w:type="dxa"/>
            <w:vAlign w:val="bottom"/>
          </w:tcPr>
          <w:p>
            <w:pPr>
              <w:spacing w:after="0"/>
              <w:rPr>
                <w:sz w:val="24"/>
                <w:szCs w:val="24"/>
                <w:color w:val="auto"/>
              </w:rPr>
            </w:pPr>
          </w:p>
        </w:tc>
        <w:tc>
          <w:tcPr>
            <w:tcW w:w="9700" w:type="dxa"/>
            <w:vAlign w:val="bottom"/>
            <w:tcBorders>
              <w:bottom w:val="single" w:sz="8" w:color="0000EE"/>
            </w:tcBorders>
            <w:gridSpan w:val="25"/>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MagnaChip Semiconductor Corporation 2011 Form of Restricted Stock Units Agreement (incorporated by reference to Exhibit 10.2 to</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the Registrant’s Current Report on Form 8-K filed on April 27, 2018).</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99.10</w:t>
            </w:r>
          </w:p>
        </w:tc>
        <w:tc>
          <w:tcPr>
            <w:tcW w:w="300" w:type="dxa"/>
            <w:vAlign w:val="bottom"/>
          </w:tcPr>
          <w:p>
            <w:pPr>
              <w:spacing w:after="0"/>
              <w:rPr>
                <w:sz w:val="24"/>
                <w:szCs w:val="24"/>
                <w:color w:val="auto"/>
              </w:rPr>
            </w:pPr>
          </w:p>
        </w:tc>
        <w:tc>
          <w:tcPr>
            <w:tcW w:w="9140" w:type="dxa"/>
            <w:vAlign w:val="bottom"/>
            <w:tcBorders>
              <w:bottom w:val="single" w:sz="8" w:color="0000EE"/>
            </w:tcBorders>
            <w:gridSpan w:val="16"/>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MagnaChip Semiconductor Corporation 2011 Form of Restricted Stock Units Agreement (TSR Performance) (incorporated by</w:t>
              </w:r>
            </w:hyperlink>
          </w:p>
        </w:tc>
        <w:tc>
          <w:tcPr>
            <w:tcW w:w="62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reference to Exhibit 10.3 to the Registrant’s Current Report on Form 8-K filed on April 27, 2018).</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99.11</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7"/>
              </w:rPr>
            </w:pPr>
            <w:hyperlink r:id="rId42">
              <w:r>
                <w:rPr>
                  <w:rFonts w:ascii="Arial" w:cs="Arial" w:eastAsia="Arial" w:hAnsi="Arial"/>
                  <w:sz w:val="18"/>
                  <w:szCs w:val="18"/>
                  <w:color w:val="0000EE"/>
                  <w:w w:val="97"/>
                </w:rPr>
                <w:t>MagnaChip Semiconductor Corporation 2011 Form of Restricted Stock Units Agreement (AOP Performance) (incorporated by</w:t>
              </w:r>
            </w:hyperlink>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reference to Exhibit 10.4 to the Registrant’s Current Report on Form 8-K filed on April 27, 2018).</w:t>
              </w:r>
            </w:hyperlink>
          </w:p>
        </w:tc>
        <w:tc>
          <w:tcPr>
            <w:tcW w:w="600" w:type="dxa"/>
            <w:vAlign w:val="bottom"/>
            <w:gridSpan w:val="11"/>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99.12</w:t>
            </w:r>
          </w:p>
        </w:tc>
        <w:tc>
          <w:tcPr>
            <w:tcW w:w="300" w:type="dxa"/>
            <w:vAlign w:val="bottom"/>
          </w:tcPr>
          <w:p>
            <w:pPr>
              <w:spacing w:after="0"/>
              <w:rPr>
                <w:sz w:val="24"/>
                <w:szCs w:val="24"/>
                <w:color w:val="auto"/>
              </w:rPr>
            </w:pPr>
          </w:p>
        </w:tc>
        <w:tc>
          <w:tcPr>
            <w:tcW w:w="9700" w:type="dxa"/>
            <w:vAlign w:val="bottom"/>
            <w:tcBorders>
              <w:bottom w:val="single" w:sz="8" w:color="0000EE"/>
            </w:tcBorders>
            <w:gridSpan w:val="25"/>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MagnaChip Semiconductor Corporation 2011 Form of Restricted Stock Units Agreement (incorporated by reference to Exhibit 10.3 to</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the Registrant’s Current Report on Form 8-K filed on October 26, 2018).</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40" w:type="dxa"/>
            <w:vAlign w:val="bottom"/>
            <w:gridSpan w:val="5"/>
            <w:shd w:val="clear" w:color="auto" w:fill="0000EE"/>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99.13</w:t>
            </w:r>
          </w:p>
        </w:tc>
        <w:tc>
          <w:tcPr>
            <w:tcW w:w="300" w:type="dxa"/>
            <w:vAlign w:val="bottom"/>
          </w:tcPr>
          <w:p>
            <w:pPr>
              <w:spacing w:after="0"/>
              <w:rPr>
                <w:sz w:val="24"/>
                <w:szCs w:val="24"/>
                <w:color w:val="auto"/>
              </w:rPr>
            </w:pPr>
          </w:p>
        </w:tc>
        <w:tc>
          <w:tcPr>
            <w:tcW w:w="9140" w:type="dxa"/>
            <w:vAlign w:val="bottom"/>
            <w:tcBorders>
              <w:bottom w:val="single" w:sz="8" w:color="0000EE"/>
            </w:tcBorders>
            <w:gridSpan w:val="16"/>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MagnaChip Semiconductor Corporation 2011 Form of Restricted Stock Units Agreement (TSR Performance) (incorporated by</w:t>
              </w:r>
            </w:hyperlink>
          </w:p>
        </w:tc>
        <w:tc>
          <w:tcPr>
            <w:tcW w:w="62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60" w:type="dxa"/>
            <w:vAlign w:val="bottom"/>
            <w:gridSpan w:val="28"/>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reference to Exhibit 10.4 to the Registrant’s Current Report on Form 8-K filed on October 26, 2018).</w:t>
              </w:r>
            </w:hyperlink>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60" w:type="dxa"/>
            <w:vAlign w:val="bottom"/>
            <w:gridSpan w:val="14"/>
            <w:shd w:val="clear" w:color="auto" w:fill="0000EE"/>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99.14</w:t>
            </w:r>
          </w:p>
        </w:tc>
        <w:tc>
          <w:tcPr>
            <w:tcW w:w="300" w:type="dxa"/>
            <w:vAlign w:val="bottom"/>
          </w:tcPr>
          <w:p>
            <w:pPr>
              <w:spacing w:after="0"/>
              <w:rPr>
                <w:sz w:val="24"/>
                <w:szCs w:val="24"/>
                <w:color w:val="auto"/>
              </w:rPr>
            </w:pPr>
          </w:p>
        </w:tc>
        <w:tc>
          <w:tcPr>
            <w:tcW w:w="9760" w:type="dxa"/>
            <w:vAlign w:val="bottom"/>
            <w:gridSpan w:val="28"/>
          </w:tcPr>
          <w:p>
            <w:pPr>
              <w:spacing w:after="0"/>
              <w:rPr>
                <w:rFonts w:ascii="Arial" w:cs="Arial" w:eastAsia="Arial" w:hAnsi="Arial"/>
                <w:sz w:val="18"/>
                <w:szCs w:val="18"/>
                <w:color w:val="0000EE"/>
                <w:w w:val="97"/>
              </w:rPr>
            </w:pPr>
            <w:hyperlink r:id="rId45">
              <w:r>
                <w:rPr>
                  <w:rFonts w:ascii="Arial" w:cs="Arial" w:eastAsia="Arial" w:hAnsi="Arial"/>
                  <w:sz w:val="18"/>
                  <w:szCs w:val="18"/>
                  <w:color w:val="0000EE"/>
                  <w:w w:val="97"/>
                </w:rPr>
                <w:t>MagnaChip Semiconductor Corporation 2011 Form of Restricted Stock Units Agreement (AOP Performance) (incorporated by</w:t>
              </w:r>
            </w:hyperlink>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reference to Exhibit 10.5 to the Registrant’s Current Report on Form 8-K filed on October 26, 2018).</w:t>
              </w:r>
            </w:hyperlink>
          </w:p>
        </w:tc>
        <w:tc>
          <w:tcPr>
            <w:tcW w:w="600" w:type="dxa"/>
            <w:vAlign w:val="bottom"/>
            <w:gridSpan w:val="11"/>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February 21, 2020.</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0"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 (Principal Executive</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Young-Joon Kim and Jonathan W. Kim and each or either of them, as his or her true and lawful attorney-in-fact and agent, with full power of substitution and resubstitution, for him and in his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2"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S-8 has been signed below by the following persons on behalf of MagnaChip Semiconductor Corporation and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800" w:type="dxa"/>
            <w:vAlign w:val="bottom"/>
          </w:tcPr>
          <w:p>
            <w:pPr>
              <w:jc w:val="center"/>
              <w:ind w:left="1392"/>
              <w:spacing w:after="0"/>
              <w:rPr>
                <w:sz w:val="20"/>
                <w:szCs w:val="20"/>
                <w:color w:val="auto"/>
              </w:rPr>
            </w:pPr>
            <w:r>
              <w:rPr>
                <w:rFonts w:ascii="Arial" w:cs="Arial" w:eastAsia="Arial" w:hAnsi="Arial"/>
                <w:sz w:val="14"/>
                <w:szCs w:val="14"/>
                <w:b w:val="1"/>
                <w:bCs w:val="1"/>
                <w:color w:val="auto"/>
                <w:w w:val="92"/>
              </w:rPr>
              <w:t>Date</w:t>
            </w:r>
          </w:p>
        </w:tc>
      </w:tr>
      <w:tr>
        <w:trPr>
          <w:trHeight w:val="230"/>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Young-Joon Kim</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195"/>
        </w:trPr>
        <w:tc>
          <w:tcPr>
            <w:tcW w:w="5760" w:type="dxa"/>
            <w:vAlign w:val="bottom"/>
          </w:tcPr>
          <w:p>
            <w:pPr>
              <w:spacing w:after="0" w:line="195" w:lineRule="exact"/>
              <w:rPr>
                <w:sz w:val="20"/>
                <w:szCs w:val="20"/>
                <w:color w:val="auto"/>
              </w:rPr>
            </w:pPr>
            <w:r>
              <w:rPr>
                <w:rFonts w:ascii="Arial" w:cs="Arial" w:eastAsia="Arial" w:hAnsi="Arial"/>
                <w:sz w:val="18"/>
                <w:szCs w:val="18"/>
                <w:color w:val="auto"/>
                <w:w w:val="97"/>
              </w:rPr>
              <w:t xml:space="preserve">Young-Joon Kim, </w:t>
            </w:r>
            <w:r>
              <w:rPr>
                <w:rFonts w:ascii="Arial" w:cs="Arial" w:eastAsia="Arial" w:hAnsi="Arial"/>
                <w:sz w:val="18"/>
                <w:szCs w:val="18"/>
                <w:i w:val="1"/>
                <w:iCs w:val="1"/>
                <w:color w:val="auto"/>
                <w:w w:val="97"/>
              </w:rPr>
              <w:t>Chief Executive Officer (Principal Executive Officer) and</w:t>
            </w:r>
          </w:p>
        </w:tc>
        <w:tc>
          <w:tcPr>
            <w:tcW w:w="2800" w:type="dxa"/>
            <w:vAlign w:val="bottom"/>
          </w:tcPr>
          <w:p>
            <w:pPr>
              <w:spacing w:after="0"/>
              <w:rPr>
                <w:sz w:val="16"/>
                <w:szCs w:val="16"/>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800" w:type="dxa"/>
            <w:vAlign w:val="bottom"/>
          </w:tcPr>
          <w:p>
            <w:pPr>
              <w:spacing w:after="0"/>
              <w:rPr>
                <w:sz w:val="20"/>
                <w:szCs w:val="20"/>
                <w:color w:val="auto"/>
              </w:rPr>
            </w:pPr>
          </w:p>
        </w:tc>
      </w:tr>
      <w:tr>
        <w:trPr>
          <w:trHeight w:val="446"/>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Kim</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195"/>
        </w:trPr>
        <w:tc>
          <w:tcPr>
            <w:tcW w:w="5760" w:type="dxa"/>
            <w:vAlign w:val="bottom"/>
          </w:tcPr>
          <w:p>
            <w:pPr>
              <w:spacing w:after="0" w:line="195" w:lineRule="exact"/>
              <w:rPr>
                <w:sz w:val="20"/>
                <w:szCs w:val="20"/>
                <w:color w:val="auto"/>
              </w:rPr>
            </w:pPr>
            <w:r>
              <w:rPr>
                <w:rFonts w:ascii="Arial" w:cs="Arial" w:eastAsia="Arial" w:hAnsi="Arial"/>
                <w:sz w:val="18"/>
                <w:szCs w:val="18"/>
                <w:color w:val="auto"/>
                <w:w w:val="93"/>
              </w:rPr>
              <w:t xml:space="preserve">Jonathan W. Kim, </w:t>
            </w:r>
            <w:r>
              <w:rPr>
                <w:rFonts w:ascii="Arial" w:cs="Arial" w:eastAsia="Arial" w:hAnsi="Arial"/>
                <w:sz w:val="18"/>
                <w:szCs w:val="18"/>
                <w:i w:val="1"/>
                <w:iCs w:val="1"/>
                <w:color w:val="auto"/>
                <w:w w:val="93"/>
              </w:rPr>
              <w:t>Chief Financial Officer, Executive Vice President and Chief</w:t>
            </w:r>
          </w:p>
        </w:tc>
        <w:tc>
          <w:tcPr>
            <w:tcW w:w="2800" w:type="dxa"/>
            <w:vAlign w:val="bottom"/>
          </w:tcPr>
          <w:p>
            <w:pPr>
              <w:spacing w:after="0"/>
              <w:rPr>
                <w:sz w:val="16"/>
                <w:szCs w:val="16"/>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rPr>
              <w:t>Accounting Officer (Principal Financial and Accounting Officer)</w:t>
            </w:r>
          </w:p>
        </w:tc>
        <w:tc>
          <w:tcPr>
            <w:tcW w:w="2800" w:type="dxa"/>
            <w:vAlign w:val="bottom"/>
          </w:tcPr>
          <w:p>
            <w:pPr>
              <w:spacing w:after="0"/>
              <w:rPr>
                <w:sz w:val="20"/>
                <w:szCs w:val="20"/>
                <w:color w:val="auto"/>
              </w:rPr>
            </w:pPr>
          </w:p>
        </w:tc>
      </w:tr>
      <w:tr>
        <w:trPr>
          <w:trHeight w:val="446"/>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Melvin Keating</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tc>
        <w:tc>
          <w:tcPr>
            <w:tcW w:w="2800" w:type="dxa"/>
            <w:vAlign w:val="bottom"/>
          </w:tcPr>
          <w:p>
            <w:pPr>
              <w:spacing w:after="0"/>
              <w:rPr>
                <w:sz w:val="19"/>
                <w:szCs w:val="19"/>
                <w:color w:val="auto"/>
              </w:rPr>
            </w:pPr>
          </w:p>
        </w:tc>
      </w:tr>
      <w:tr>
        <w:trPr>
          <w:trHeight w:val="43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Ilbok Lee</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tc>
        <w:tc>
          <w:tcPr>
            <w:tcW w:w="2800" w:type="dxa"/>
            <w:vAlign w:val="bottom"/>
          </w:tcPr>
          <w:p>
            <w:pPr>
              <w:spacing w:after="0"/>
              <w:rPr>
                <w:sz w:val="19"/>
                <w:szCs w:val="19"/>
                <w:color w:val="auto"/>
              </w:rPr>
            </w:pPr>
          </w:p>
        </w:tc>
      </w:tr>
      <w:tr>
        <w:trPr>
          <w:trHeight w:val="43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Camillo Martino</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Director</w:t>
            </w:r>
          </w:p>
        </w:tc>
        <w:tc>
          <w:tcPr>
            <w:tcW w:w="2800" w:type="dxa"/>
            <w:vAlign w:val="bottom"/>
          </w:tcPr>
          <w:p>
            <w:pPr>
              <w:spacing w:after="0"/>
              <w:rPr>
                <w:sz w:val="19"/>
                <w:szCs w:val="19"/>
                <w:color w:val="auto"/>
              </w:rPr>
            </w:pPr>
          </w:p>
        </w:tc>
      </w:tr>
      <w:tr>
        <w:trPr>
          <w:trHeight w:val="43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Tanner</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tc>
        <w:tc>
          <w:tcPr>
            <w:tcW w:w="2800" w:type="dxa"/>
            <w:vAlign w:val="bottom"/>
          </w:tcPr>
          <w:p>
            <w:pPr>
              <w:spacing w:after="0"/>
              <w:rPr>
                <w:sz w:val="19"/>
                <w:szCs w:val="19"/>
                <w:color w:val="auto"/>
              </w:rPr>
            </w:pPr>
          </w:p>
        </w:tc>
      </w:tr>
      <w:tr>
        <w:trPr>
          <w:trHeight w:val="431"/>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Nader Tavakoli</w:t>
            </w:r>
          </w:p>
        </w:tc>
        <w:tc>
          <w:tcPr>
            <w:tcW w:w="2800" w:type="dxa"/>
            <w:vAlign w:val="bottom"/>
          </w:tcPr>
          <w:p>
            <w:pPr>
              <w:jc w:val="center"/>
              <w:ind w:left="1392"/>
              <w:spacing w:after="0"/>
              <w:rPr>
                <w:sz w:val="20"/>
                <w:szCs w:val="20"/>
                <w:color w:val="auto"/>
              </w:rPr>
            </w:pPr>
            <w:r>
              <w:rPr>
                <w:rFonts w:ascii="Arial" w:cs="Arial" w:eastAsia="Arial" w:hAnsi="Arial"/>
                <w:sz w:val="18"/>
                <w:szCs w:val="18"/>
                <w:color w:val="auto"/>
                <w:w w:val="89"/>
              </w:rPr>
              <w:t>February 21, 2020</w:t>
            </w: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Non- Executive Chairman of the Board of Directors</w:t>
            </w:r>
          </w:p>
        </w:tc>
        <w:tc>
          <w:tcPr>
            <w:tcW w:w="28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JONES DAY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SILICON VALLEY OFFICE • 1755 EMBARCADERO ROAD • PALO ALTO, CALIFORNIA 94303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+1.650.739.3939 • FACSIMILE: +1.650.739.3900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MagnaChip Semiconductor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We have acted as counsel for MagnaChip Semiconductor Corporation,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registration of 696,006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$0.01 per share, which may be issued or delivered and sold pursuant to the Company’s 2011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In connection with the opinion expressed herein, we have examined such documents, records and matters of law as we have deemed relevant or necessary for purposes of such opinion.</w:t>
      </w:r>
    </w:p>
    <w:p>
      <w:pPr>
        <w:spacing w:after="0" w:line="17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Based on the foregoing, and subject to the further limitations, qualifications and assumptions set forth herein, we are of the opinion that the Shares that may be issued or delivered and sold pursuant to the Plan and the authorized forms of stock option, restricted stock or other applicable award agreements thereunder (the “</w:t>
      </w:r>
      <w:r>
        <w:rPr>
          <w:rFonts w:ascii="Arial" w:cs="Arial" w:eastAsia="Arial" w:hAnsi="Arial"/>
          <w:sz w:val="16"/>
          <w:szCs w:val="16"/>
          <w:b w:val="1"/>
          <w:bCs w:val="1"/>
          <w:i w:val="1"/>
          <w:iCs w:val="1"/>
          <w:color w:val="auto"/>
        </w:rPr>
        <w:t>Award Agreements</w:t>
      </w:r>
      <w:r>
        <w:rPr>
          <w:rFonts w:ascii="Arial" w:cs="Arial" w:eastAsia="Arial" w:hAnsi="Arial"/>
          <w:sz w:val="16"/>
          <w:szCs w:val="16"/>
          <w:color w:val="auto"/>
        </w:rPr>
        <w:t>”) will be, when issued or delivered and sold in accordance with the Plan and the Award Agreements, validly issued, fully paid and nonassessable, provided that the consideration for the Shares is at least equal to the stated par value thereof.</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spacing w:after="0" w:line="193" w:lineRule="exact"/>
        <w:rPr>
          <w:sz w:val="20"/>
          <w:szCs w:val="20"/>
          <w:color w:val="auto"/>
        </w:rPr>
      </w:pPr>
    </w:p>
    <w:p>
      <w:pPr>
        <w:jc w:val="both"/>
        <w:ind w:right="480" w:firstLine="441"/>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Jones Day</w:t>
      </w:r>
    </w:p>
    <w:p>
      <w:pPr>
        <w:spacing w:after="0" w:line="221" w:lineRule="exact"/>
        <w:rPr>
          <w:sz w:val="20"/>
          <w:szCs w:val="20"/>
          <w:color w:val="auto"/>
        </w:rPr>
      </w:pPr>
    </w:p>
    <w:p>
      <w:pPr>
        <w:ind w:right="200"/>
        <w:spacing w:after="0" w:line="234" w:lineRule="auto"/>
        <w:rPr>
          <w:sz w:val="20"/>
          <w:szCs w:val="20"/>
          <w:color w:val="auto"/>
        </w:rPr>
      </w:pPr>
      <w:r>
        <w:rPr>
          <w:rFonts w:ascii="Arial" w:cs="Arial" w:eastAsia="Arial" w:hAnsi="Arial"/>
          <w:sz w:val="14"/>
          <w:szCs w:val="14"/>
          <w:color w:val="auto"/>
        </w:rPr>
        <w:t>ALKHOBAR • AMSTERDAM • ATLANTA • BEIJING • BOSTON • BRISBANE • BRUSSELS • CHICAGO • CLEVELAND • COLUMBUS • DALLAS DETROIT • DUBAI • DÜSSELDORF • FRANKFURT • HONG KONG • HOUSTON • IRVINE • JEDDAH • LONDON • LOS ANGELES • MADRID MEXICO CITY • MIAMI • MILAN • MINNEAPOLIS • MOSCOW • MUNICH • NEW YORK • PARIS • PERTH • PITTSBURGH • RIYADH SAN DIEGO • SAN FRANCISCO • SÃO PAULO • SHANGHAI • SILICON VALLEY • SINGAPORE • SYDNEY • TAIPEI • TOKYO • WASHINGTON</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S-8 of MagnaChip Semiconductor Corporation of our report dated February 21, 2020 relating to the financial statements and the effectiveness of internal control over financial reporting, which appears in MagnaChip Semiconductor Corporation’s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png"/><Relationship Id="rId21" Type="http://schemas.openxmlformats.org/officeDocument/2006/relationships/hyperlink" Target="http://www.sec.gov/Archives/edgar/data/1325702/000119312511068401/ds8.htm" TargetMode="External"/><Relationship Id="rId22" Type="http://schemas.openxmlformats.org/officeDocument/2006/relationships/hyperlink" Target="http://www.sec.gov/Archives/edgar/data/1325702/000119312512161479/d329951ds8.htm" TargetMode="External"/><Relationship Id="rId23" Type="http://schemas.openxmlformats.org/officeDocument/2006/relationships/hyperlink" Target="http://www.sec.gov/Archives/edgar/data/1325702/000119312513070280/d487377ds8.htm" TargetMode="External"/><Relationship Id="rId24" Type="http://schemas.openxmlformats.org/officeDocument/2006/relationships/hyperlink" Target="http://www.sec.gov/Archives/edgar/data/1325702/000095012315002430/d876964ds8.htm" TargetMode="External"/><Relationship Id="rId25" Type="http://schemas.openxmlformats.org/officeDocument/2006/relationships/hyperlink" Target="http://www.sec.gov/Archives/edgar/data/1325702/000119312516482055/d139108ds8.htm" TargetMode="External"/><Relationship Id="rId26" Type="http://schemas.openxmlformats.org/officeDocument/2006/relationships/hyperlink" Target="http://www.sec.gov/Archives/edgar/data/1325702/000119312517054064/d354763ds8.htm" TargetMode="External"/><Relationship Id="rId27" Type="http://schemas.openxmlformats.org/officeDocument/2006/relationships/hyperlink" Target="http://www.sec.gov/Archives/edgar/data/1325702/000119312518054175/d495110ds8.htm" TargetMode="External"/><Relationship Id="rId28" Type="http://schemas.openxmlformats.org/officeDocument/2006/relationships/hyperlink" Target="http://www.sec.gov/Archives/edgar/data/1325702/000119312519048416/d712276ds8.htm" TargetMode="External"/><Relationship Id="rId29" Type="http://schemas.openxmlformats.org/officeDocument/2006/relationships/hyperlink" Target="http://www.sec.gov/Archives/edgar/data/1325702/000119312511062703/dex32.htm" TargetMode="External"/><Relationship Id="rId30" Type="http://schemas.openxmlformats.org/officeDocument/2006/relationships/hyperlink" Target="http://www.sec.gov/Archives/edgar/data/1325702/000119312516582070/d161114dex31.htm" TargetMode="External"/><Relationship Id="rId31" Type="http://schemas.openxmlformats.org/officeDocument/2006/relationships/hyperlink" Target="http://www.sec.gov/Archives/edgar/data/1325702/000095014215000541/eh1500371_ex0301.htm" TargetMode="External"/><Relationship Id="rId32" Type="http://schemas.openxmlformats.org/officeDocument/2006/relationships/hyperlink" Target="http://www.sec.gov/Archives/edgar/data/1325702/000119312519048327/d695091dex1024.htm" TargetMode="External"/><Relationship Id="rId33" Type="http://schemas.openxmlformats.org/officeDocument/2006/relationships/hyperlink" Target="http://www.sec.gov/Archives/edgar/data/1325702/000119312511039495/dex1055.htm" TargetMode="External"/><Relationship Id="rId34" Type="http://schemas.openxmlformats.org/officeDocument/2006/relationships/hyperlink" Target="http://www.sec.gov/Archives/edgar/data/1325702/000119312511039495/dex1056.htm" TargetMode="External"/><Relationship Id="rId35" Type="http://schemas.openxmlformats.org/officeDocument/2006/relationships/hyperlink" Target="http://www.sec.gov/Archives/edgar/data/1325702/000119312511039495/dex1057.htm" TargetMode="External"/><Relationship Id="rId36" Type="http://schemas.openxmlformats.org/officeDocument/2006/relationships/hyperlink" Target="http://www.sec.gov/Archives/edgar/data/1325702/000119312511039495/dex1058.htm" TargetMode="External"/><Relationship Id="rId37" Type="http://schemas.openxmlformats.org/officeDocument/2006/relationships/hyperlink" Target="http://www.sec.gov/Archives/edgar/data/1325702/000119312511039495/dex1059.htm" TargetMode="External"/><Relationship Id="rId38" Type="http://schemas.openxmlformats.org/officeDocument/2006/relationships/hyperlink" Target="http://www.sec.gov/Archives/edgar/data/1325702/000119312511039495/dex1060.htm" TargetMode="External"/><Relationship Id="rId39" Type="http://schemas.openxmlformats.org/officeDocument/2006/relationships/hyperlink" Target="http://www.sec.gov/Archives/edgar/data/1325702/000119312516580819/d184718dex101.htm" TargetMode="External"/><Relationship Id="rId40" Type="http://schemas.openxmlformats.org/officeDocument/2006/relationships/hyperlink" Target="http://www.sec.gov/Archives/edgar/data/1325702/000119312518138973/d571231dex102.htm" TargetMode="External"/><Relationship Id="rId41" Type="http://schemas.openxmlformats.org/officeDocument/2006/relationships/hyperlink" Target="http://www.sec.gov/Archives/edgar/data/1325702/000119312518138973/d571231dex103.htm" TargetMode="External"/><Relationship Id="rId42" Type="http://schemas.openxmlformats.org/officeDocument/2006/relationships/hyperlink" Target="http://www.sec.gov/Archives/edgar/data/1325702/000119312518138973/d571231dex104.htm" TargetMode="External"/><Relationship Id="rId43" Type="http://schemas.openxmlformats.org/officeDocument/2006/relationships/hyperlink" Target="http://www.sec.gov/Archives/edgar/data/1325702/000119312518309120/d645333dex103.htm" TargetMode="External"/><Relationship Id="rId44" Type="http://schemas.openxmlformats.org/officeDocument/2006/relationships/hyperlink" Target="http://www.sec.gov/Archives/edgar/data/1325702/000119312518309120/d645333dex104.htm" TargetMode="External"/><Relationship Id="rId45" Type="http://schemas.openxmlformats.org/officeDocument/2006/relationships/hyperlink" Target="http://www.sec.gov/Archives/edgar/data/1325702/000119312518309120/d645333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2020-02-21T15:25:01Z</dcterms:created>
  <dcterms:modified xsi:type="dcterms:W3CDTF">2020-02-21T15:25:01Z</dcterms:modified>
</cp:coreProperties>
</file>