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right="10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3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left="200" w:right="2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300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left="200"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ectPr>
          <w:pgSz w:w="11900" w:h="16838" w:orient="portrait"/>
          <w:cols w:equalWidth="0" w:num="1">
            <w:col w:w="11240"/>
          </w:cols>
          <w:pgMar w:left="240" w:top="230" w:right="41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October 31, 2019, the registrant had 34,420,689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175260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218440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79"/>
          </w:cols>
          <w:pgMar w:left="88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gridSpan w:val="8"/>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7220" w:type="dxa"/>
            <w:vAlign w:val="bottom"/>
            <w:gridSpan w:val="14"/>
            <w:vMerge w:val="restart"/>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8"/>
            <w:vMerge w:val="continue"/>
          </w:tcPr>
          <w:p>
            <w:pPr>
              <w:spacing w:after="0"/>
              <w:rPr>
                <w:sz w:val="13"/>
                <w:szCs w:val="13"/>
                <w:color w:val="auto"/>
              </w:rPr>
            </w:pPr>
          </w:p>
        </w:tc>
        <w:tc>
          <w:tcPr>
            <w:tcW w:w="7220" w:type="dxa"/>
            <w:vAlign w:val="bottom"/>
            <w:gridSpan w:val="14"/>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6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gridSpan w:val="2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MagnaChip Semiconductor Corporation and Subsidiaries Consolidated Balance Sheets as of September 30, 2019 and</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2018</w:t>
              </w:r>
            </w:hyperlink>
          </w:p>
        </w:tc>
        <w:tc>
          <w:tcPr>
            <w:tcW w:w="220" w:type="dxa"/>
            <w:vAlign w:val="bottom"/>
            <w:gridSpan w:val="3"/>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MagnaChip Semiconductor Corporation and Subsidiaries Consolidated Statements of Operations for the Three and Nine</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8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September 30, 2019 and 2018</w:t>
              </w:r>
            </w:hyperlink>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MagnaChip Semiconductor Corporation and Subsidiaries Consolidated Statements of Comprehensive Income (Loss) for</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the Three and Nine Months Ended September 30, 2019 and 2018</w:t>
              </w:r>
            </w:hyperlink>
          </w:p>
        </w:tc>
        <w:tc>
          <w:tcPr>
            <w:tcW w:w="3800" w:type="dxa"/>
            <w:vAlign w:val="bottom"/>
            <w:gridSpan w:val="7"/>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gridSpan w:val="20"/>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MagnaChip Semiconductor Corporation and Subsidiaries Consolidated Statements of Changes in Stockholders’ Equity</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9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 the Three and Nine Months Ended September 30, 2019 and 2018</w:t>
              </w:r>
            </w:hyperlink>
          </w:p>
        </w:tc>
        <w:tc>
          <w:tcPr>
            <w:tcW w:w="344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60" w:type="dxa"/>
            <w:vAlign w:val="bottom"/>
            <w:gridSpan w:val="20"/>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MagnaChip Semiconductor Corporation and Subsidiaries Consolidated Statements of Cash Flows for the Nine Months</w:t>
              </w:r>
            </w:hyperlink>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Ended September 30, 2019 and 2018</w:t>
              </w:r>
            </w:hyperlink>
          </w:p>
        </w:tc>
        <w:tc>
          <w:tcPr>
            <w:tcW w:w="570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MagnaChip Semiconductor Corporation and Subsidiaries Notes to Consolidated Financial Statements</w:t>
              </w:r>
            </w:hyperlink>
          </w:p>
        </w:tc>
        <w:tc>
          <w:tcPr>
            <w:tcW w:w="1340" w:type="dxa"/>
            <w:vAlign w:val="bottom"/>
            <w:gridSpan w:val="4"/>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200" w:type="dxa"/>
            <w:vAlign w:val="bottom"/>
            <w:gridSpan w:val="5"/>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4300" w:type="dxa"/>
            <w:vAlign w:val="bottom"/>
            <w:gridSpan w:val="8"/>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866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PART II OTHER INFORMATION</w:t>
              </w:r>
            </w:hyperlink>
          </w:p>
        </w:tc>
        <w:tc>
          <w:tcPr>
            <w:tcW w:w="7520" w:type="dxa"/>
            <w:vAlign w:val="bottom"/>
            <w:gridSpan w:val="16"/>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866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340" w:type="dxa"/>
            <w:vAlign w:val="bottom"/>
            <w:gridSpan w:val="15"/>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86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360" w:type="dxa"/>
            <w:vAlign w:val="bottom"/>
            <w:gridSpan w:val="12"/>
          </w:tcPr>
          <w:p>
            <w:pPr>
              <w:ind w:left="40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40" w:type="dxa"/>
            <w:vAlign w:val="bottom"/>
          </w:tcPr>
          <w:p>
            <w:pPr>
              <w:jc w:val="center"/>
              <w:ind w:left="163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240" w:type="dxa"/>
            <w:vAlign w:val="bottom"/>
          </w:tcPr>
          <w:p>
            <w:pPr>
              <w:ind w:left="56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40" w:type="dxa"/>
            <w:vAlign w:val="bottom"/>
          </w:tcPr>
          <w:p>
            <w:pPr>
              <w:jc w:val="center"/>
              <w:ind w:left="161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40" w:type="dxa"/>
            <w:vAlign w:val="bottom"/>
          </w:tcPr>
          <w:p>
            <w:pPr>
              <w:jc w:val="center"/>
              <w:ind w:left="161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gridSpan w:val="5"/>
          </w:tcPr>
          <w:p>
            <w:pPr>
              <w:jc w:val="right"/>
              <w:ind w:right="13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Hedge collateral (Note 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Other current assets (Note 17)</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gridSpan w:val="3"/>
          </w:tcPr>
          <w:p>
            <w:pPr>
              <w:spacing w:after="0"/>
              <w:rPr>
                <w:sz w:val="20"/>
                <w:szCs w:val="20"/>
                <w:color w:val="auto"/>
              </w:rPr>
            </w:pPr>
            <w:r>
              <w:rPr>
                <w:rFonts w:ascii="Arial" w:cs="Arial" w:eastAsia="Arial" w:hAnsi="Arial"/>
                <w:sz w:val="18"/>
                <w:szCs w:val="18"/>
                <w:color w:val="auto"/>
              </w:rPr>
              <w:t>Property, plant and equipment, net (Notes 4 and 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178,823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588,137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79,908</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 (Notes 6 and 8)</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Other non-current liabilities (Note 6)</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gridSpan w:val="3"/>
          </w:tcPr>
          <w:p>
            <w:pPr>
              <w:spacing w:after="0"/>
              <w:rPr>
                <w:sz w:val="20"/>
                <w:szCs w:val="20"/>
                <w:color w:val="auto"/>
              </w:rPr>
            </w:pPr>
            <w:r>
              <w:rPr>
                <w:rFonts w:ascii="Arial" w:cs="Arial" w:eastAsia="Arial" w:hAnsi="Arial"/>
                <w:sz w:val="18"/>
                <w:szCs w:val="18"/>
                <w:color w:val="auto"/>
              </w:rPr>
              <w:t>Commitments and contingencies (Note 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Common stock, $0.01 par value, 150,000,000 shares authorized, 43,378,017 shares issued and 34,370,689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outstanding at September 30, 2019 and 43,054,458 shares issued and 34,441,232 outstanding at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December 31,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(81,557)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Treasury stock, 9,007,328 shares at September 30, 2019 and 8,613,226 shares at December 31, 2018,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(106,514)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4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240" w:top="459"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229,677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592,202</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464,795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154,184</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37,484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(16,972)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(16,539)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gain (loss),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(20,129)</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(42,145)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(45,252</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34,357,745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34,573,377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34,266,513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34,416,887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34,357,745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46,021,610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34,266,513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34,416,887</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0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80" w:type="dxa"/>
            <w:vAlign w:val="bottom"/>
            <w:tcBorders>
              <w:top w:val="single" w:sz="8" w:color="auto"/>
            </w:tcBorders>
            <w:gridSpan w:val="3"/>
          </w:tcPr>
          <w:p>
            <w:pPr>
              <w:ind w:left="2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(45,252)</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ind w:left="700"/>
              <w:spacing w:after="0" w:line="201" w:lineRule="exact"/>
              <w:rPr>
                <w:sz w:val="20"/>
                <w:szCs w:val="20"/>
                <w:color w:val="auto"/>
              </w:rPr>
            </w:pPr>
            <w:r>
              <w:rPr>
                <w:rFonts w:ascii="Arial" w:cs="Arial" w:eastAsia="Arial" w:hAnsi="Arial"/>
                <w:sz w:val="18"/>
                <w:szCs w:val="18"/>
                <w:color w:val="auto"/>
              </w:rPr>
              <w:t>Reclassification adjustment for loss (gain) on derivatives included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880"/>
              <w:spacing w:after="0"/>
              <w:rPr>
                <w:sz w:val="20"/>
                <w:szCs w:val="20"/>
                <w:color w:val="auto"/>
              </w:rPr>
            </w:pPr>
            <w:r>
              <w:rPr>
                <w:rFonts w:ascii="Arial" w:cs="Arial" w:eastAsia="Arial" w:hAnsi="Arial"/>
                <w:sz w:val="18"/>
                <w:szCs w:val="18"/>
                <w:color w:val="auto"/>
              </w:rPr>
              <w:t>in net income (loss)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28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gridSpan w:val="3"/>
            <w:vMerge w:val="continue"/>
          </w:tcPr>
          <w:p>
            <w:pPr>
              <w:spacing w:after="0"/>
              <w:rPr>
                <w:sz w:val="11"/>
                <w:szCs w:val="11"/>
                <w:color w:val="auto"/>
              </w:rPr>
            </w:pPr>
          </w:p>
        </w:tc>
        <w:tc>
          <w:tcPr>
            <w:tcW w:w="8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84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8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11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Three Months Ended September 30, 2019:</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34,240,181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w w:val="86"/>
              </w:rPr>
              <w:t>433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$144,188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(79,950)</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$(106,514)</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(6,073)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129,409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0</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net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14,728</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(1,607)</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Balance at September 30, 2019</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34,370,689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86"/>
              </w:rPr>
              <w:t>434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145,555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(81,557</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(106,514</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(33,427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2018:</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34,483,754</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w w:val="86"/>
              </w:rPr>
              <w:t>429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$139,502</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(51,147)</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$(102,518)</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(20,059)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95,088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0</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net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34,600,464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430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141,261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(33,925)</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(102,518)</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28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gridSpan w:val="3"/>
            <w:vMerge w:val="continue"/>
          </w:tcPr>
          <w:p>
            <w:pPr>
              <w:spacing w:after="0"/>
              <w:rPr>
                <w:sz w:val="11"/>
                <w:szCs w:val="11"/>
                <w:color w:val="auto"/>
              </w:rPr>
            </w:pPr>
          </w:p>
        </w:tc>
        <w:tc>
          <w:tcPr>
            <w:tcW w:w="8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8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11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Nine Months Ended September 30, 2019:</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34,441,232</w:t>
            </w:r>
          </w:p>
        </w:tc>
        <w:tc>
          <w:tcPr>
            <w:tcW w:w="60" w:type="dxa"/>
            <w:vAlign w:val="bottom"/>
          </w:tcPr>
          <w:p>
            <w:pPr>
              <w:spacing w:after="0"/>
              <w:rPr>
                <w:sz w:val="18"/>
                <w:szCs w:val="18"/>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w w:val="86"/>
              </w:rPr>
              <w:t>431</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$142,600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(36,305)</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$(103,926)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153,967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169,592</w:t>
            </w: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(394,102)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(45,252)</w:t>
            </w: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34,370,689</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434</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145,555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(81,557)</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(106,514)</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(33,427)</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 2017, as previously</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reported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34,189,599</w:t>
            </w:r>
          </w:p>
        </w:tc>
        <w:tc>
          <w:tcPr>
            <w:tcW w:w="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426</w:t>
            </w: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(40,889)</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Impact of adopting the new revenue standard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 as adjusted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34,189,599</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426</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(32,405)</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159,841</w:t>
            </w: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00" w:type="dxa"/>
            <w:vAlign w:val="bottom"/>
          </w:tcPr>
          <w:p>
            <w:pPr>
              <w:jc w:val="right"/>
              <w:spacing w:after="0"/>
              <w:rPr>
                <w:sz w:val="20"/>
                <w:szCs w:val="20"/>
                <w:color w:val="auto"/>
              </w:rPr>
            </w:pPr>
            <w:r>
              <w:rPr>
                <w:rFonts w:ascii="Arial" w:cs="Arial" w:eastAsia="Arial" w:hAnsi="Arial"/>
                <w:sz w:val="18"/>
                <w:szCs w:val="18"/>
                <w:color w:val="auto"/>
              </w:rPr>
              <w:t>270,456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net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10,414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(1,520)</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Balance at September 30, 2018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34,600,464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430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141,261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(33,925</w:t>
            </w: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(102,518</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(22,700</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(17,452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100" w:type="dxa"/>
            <w:vAlign w:val="bottom"/>
            <w:tcBorders>
              <w:top w:val="single" w:sz="8" w:color="auto"/>
            </w:tcBorders>
            <w:gridSpan w:val="3"/>
          </w:tcPr>
          <w:p>
            <w:pPr>
              <w:ind w:left="2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5"/>
          </w:tcPr>
          <w:p>
            <w:pPr>
              <w:jc w:val="right"/>
              <w:ind w:right="190"/>
              <w:spacing w:after="0" w:line="142" w:lineRule="exact"/>
              <w:rPr>
                <w:sz w:val="20"/>
                <w:szCs w:val="20"/>
                <w:color w:val="auto"/>
              </w:rPr>
            </w:pPr>
            <w:r>
              <w:rPr>
                <w:rFonts w:ascii="Arial" w:cs="Arial" w:eastAsia="Arial" w:hAnsi="Arial"/>
                <w:sz w:val="14"/>
                <w:szCs w:val="14"/>
                <w:b w:val="1"/>
                <w:bCs w:val="1"/>
                <w:color w:val="auto"/>
                <w:w w:val="96"/>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(45,252)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foreign currency, net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(6,195)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hedge collateral</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 (Note 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Collection of guarantee deposits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guarantee deposits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(21,257)</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long-term borrowings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Repayment of principal portion of finance lease liabilities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1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1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136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5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19,071</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activities</w:t>
            </w: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additions in other accounts payable</w:t>
            </w:r>
          </w:p>
        </w:tc>
        <w:tc>
          <w:tcPr>
            <w:tcW w:w="1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881"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88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accordingly, do not include all of the information and note disclosures required by US GAAP for complete financial statements, except for the changes below. The results of operations for the three and nine months ended September 30, 2019 are not necessarily indicative of the results to be expected for a full year or for any other periods.</w:t>
      </w:r>
    </w:p>
    <w:p>
      <w:pPr>
        <w:spacing w:after="0" w:line="16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December 31, 2018 balance sheet data was derived from the Company’s audited financial statements, but does not include all disclosures required by US GAAP.</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adoption of Accounting Standards Update (“ASU”) No. 2016-02, “Leases (Topic 842)” (“ASU 2016-02”) effective on January 1, 2019 (the “new lease standard”), the Company has updated its accounting policy for leases as detailed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Fixed lease expenses for operating leases and depreciation expenses for finance leases are recognized on a straight-line basis over the respective lease term.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Foundry Services Group of the Company manufactures products, which the Company refers to as foundry products, based on customers’ specific product designs. The Company recognizes revenue over time for foundry products that do not have an alternative use when the Company has an enforceable right to payment. Revenue recognized over time is in proportion of wafer manufacturing costs incurred relative to total estimated costs for completion. However, in certain circumstances, pursuant to a customer contract or an individual purchase order, the Company may not have an enforceable right to payment for services performed at a given time. In this situation, the Company recognizes revenue at the time when a customer obtains control of the product, which is generally upon product shipment, delivery at the customer’s location or upon customer acceptance, depending on the terms of the arrangement.</w:t>
      </w:r>
    </w:p>
    <w:p>
      <w:pPr>
        <w:spacing w:after="0" w:line="18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7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 portion of the Company’s sales are made through distributors for which the Company applies the same revenue recognition guidance described above. The Company defers the recognition of revenue when it receives consideration from the customers prior to the fulfillment of performance obligations. These amounts are classified as deferred revenue on the consolidated balance sheets. Of the recorded deferred revenue of $6,477 thousand as of December 31, 2018, $188 thousand and $1,750 thousand were recognized as revenue during the three and nine months ended September 30, 2019. Of the recorded deferred revenue of $8,335 thousand as of December 31, 2017, $2,256 thousand and $3,478 thousand were recognized as revenue during the three and nine months ended September 30, 2018, respectively.</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statements of operations on a net basis.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Company provides warranties under which customers can return defective products. The Company also provides allowances for additional products that may have to be provided free of charge to compensate customers for not meeting previously agreed upon yield criteria, which the Company refers to as the low yield compensation reserve. The Company estimates the costs related to warranty claims, repair or replacements and low yield compensation reserves, and records them as components of cost of sales.</w:t>
      </w:r>
    </w:p>
    <w:p>
      <w:pPr>
        <w:spacing w:after="0" w:line="18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In addition, the Company offers sales returns (other than those that relate to defective products under warranty), cash discounts for early payments, sales incentives including discounts and volume rebates,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Unbilled accounts receivable represents the Company’s contractual right to consideration for manufacturing work performed on a customer contract or an individual purchase order, which has not been invoiced to the customer. Of the recorded unbilled accounts receivable of $38,181 thousand as of December 31, 2018, $2,993 thousand and $32,780 thousand were billed to customers upon shipment, upon product delivery or upon customer acceptance, depending on the terms of the related arrangement, during the three and nine months ended September 30, 2019,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In August 2018, the U.S. Securities and Exchange Commission (the “SEC”) adopted the final rule under SEC Release No. 33-10532, “Disclosure Update and Simplification,” which makes a number of changes meant to simplify interim disclosures.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operations is required to be filed. In July 2019, the Financial Accounting Standards Board (“FASB”) issued Accounting Standards Update No. 2019-07, “Codification Updates to SEC Sections—Amendments to SEC Paragraphs Pursuant to SEC Final Rule Releases No. 33-10532, Disclosure Update and Simplification, and Nos. 33-10231 and 33-10442, Investment Company Reporting Modernization and Miscellaneous Updates” (“ASU 2019-07”). ASU 2019-07 codifies Final Rule Release</w:t>
      </w:r>
    </w:p>
    <w:p>
      <w:pPr>
        <w:spacing w:after="0" w:line="1" w:lineRule="exact"/>
        <w:rPr>
          <w:sz w:val="20"/>
          <w:szCs w:val="20"/>
          <w:color w:val="auto"/>
        </w:rPr>
      </w:pPr>
    </w:p>
    <w:p>
      <w:pPr>
        <w:ind w:left="200" w:right="540"/>
        <w:spacing w:after="0" w:line="255" w:lineRule="auto"/>
        <w:rPr>
          <w:sz w:val="20"/>
          <w:szCs w:val="20"/>
          <w:color w:val="auto"/>
        </w:rPr>
      </w:pPr>
      <w:r>
        <w:rPr>
          <w:rFonts w:ascii="Arial" w:cs="Arial" w:eastAsia="Arial" w:hAnsi="Arial"/>
          <w:sz w:val="18"/>
          <w:szCs w:val="18"/>
          <w:color w:val="auto"/>
        </w:rPr>
        <w:t>No. 33-10532. The additional elements of ASU 2019-07 did not have a material impact on the Company’s consolidated financial statements. The Company began to present a statement of changes in stockholders’ equity in its quarterly financial statements for fiscal quarter beginning after January 1, 2019.</w:t>
      </w:r>
    </w:p>
    <w:p>
      <w:pPr>
        <w:spacing w:after="0" w:line="1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ASU</w:t>
      </w:r>
    </w:p>
    <w:p>
      <w:pPr>
        <w:ind w:left="200" w:right="20"/>
        <w:spacing w:after="0" w:line="254" w:lineRule="auto"/>
        <w:rPr>
          <w:sz w:val="20"/>
          <w:szCs w:val="20"/>
          <w:color w:val="auto"/>
        </w:rPr>
      </w:pPr>
      <w:r>
        <w:rPr>
          <w:rFonts w:ascii="Arial" w:cs="Arial" w:eastAsia="Arial" w:hAnsi="Arial"/>
          <w:sz w:val="18"/>
          <w:szCs w:val="18"/>
          <w:color w:val="auto"/>
        </w:rPr>
        <w:t>No. 2019-04, “Codification Improvements to Topic 326, Financial Instruments—Credit Losses, Topic 815, Derivatives and Hedging, and Topic 825, Financial Instruments” (“ASU 2019-04”) which clarifies treatment of certain credit losses. ASU 2016-13 and ASU 2019-04 are effective for fiscal years beginning after December 15, 2019, with early adoption permitted. The Company does not expect the adoption of ASU 2016-13 and ASU 2019-04 to have a material effect on the Company’s consolidated financial statements.</w:t>
      </w:r>
    </w:p>
    <w:p>
      <w:pPr>
        <w:spacing w:after="0" w:line="190"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In August 2018, the FASB issued Accounting Standards Update No. 2018-13 “Fair Value Measurement (Topic 820): Disclosure Framework— Changes to the Disclosure Requirements for Fair Value Measurement” (“ASU 2018-13”). ASU 2018-13 amends existing fair value measurement disclosure requirements by adding, changing, or removing certain disclosures. ASU 2018-13 is effective for fiscal years beginning after December 15, 2019, and interim periods within those fiscal years, with early adoption permitted for any eliminated or modified disclosures. The Company does not expect that the adoption will have an impact on the Company’s consolidated financial statements.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2018, the FASB issued Accounting Standards Update No. 2018-02, Income Statement – Reporting Comprehensive Income (Topic</w:t>
      </w:r>
    </w:p>
    <w:p>
      <w:pPr>
        <w:spacing w:after="0" w:line="46" w:lineRule="exact"/>
        <w:rPr>
          <w:sz w:val="20"/>
          <w:szCs w:val="20"/>
          <w:color w:val="auto"/>
        </w:rPr>
      </w:pPr>
    </w:p>
    <w:p>
      <w:pPr>
        <w:ind w:left="200" w:right="240" w:firstLine="4"/>
        <w:spacing w:after="0" w:line="277" w:lineRule="auto"/>
        <w:tabs>
          <w:tab w:leader="none" w:pos="57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Reclassification of Certain Tax Effects from Accumulated Other Comprehensive Income, which allows for a reclassification from accumulated other comprehensive income to retained earnings for stranded tax effects resulting from the Tax Act. The Company adopted ASU 2018-02 in the first quarter of 2019, and the adoption did not impact the Company’s consolidated financial statements and related disclosures.</w:t>
      </w:r>
    </w:p>
    <w:p>
      <w:pPr>
        <w:spacing w:after="0" w:line="173"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ASU 2017-12 in the first quarter of 2019, and the adoption of ASU 2017-12 did not have a material impact to the Company’s consolidated financial statements.</w:t>
      </w:r>
    </w:p>
    <w:p>
      <w:pPr>
        <w:spacing w:after="0" w:line="16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Current accounting guidance creates cost and complexity for entities that issue financial instruments (such as warrants and convertible instruments) with down round features that require fair value measurement of the entire instrument or conversion option. The Company adopted ASU 2017-11 in the first quarter of 2019, and the adoption did not impact the Company’s consolidated financial statements.</w:t>
      </w:r>
    </w:p>
    <w:p>
      <w:pPr>
        <w:spacing w:after="0" w:line="18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 a liability to make lease payments and a right-of-use asset representing its right to use the underlying asset for the lease term on the balance sheet. The FASB issued Accounting Standards Update No 2018-01, “Leases (Topic</w:t>
      </w:r>
    </w:p>
    <w:p>
      <w:pPr>
        <w:spacing w:after="0" w:line="2" w:lineRule="exact"/>
        <w:rPr>
          <w:sz w:val="20"/>
          <w:szCs w:val="20"/>
          <w:color w:val="auto"/>
        </w:rPr>
      </w:pPr>
    </w:p>
    <w:p>
      <w:pPr>
        <w:ind w:left="200" w:right="100" w:firstLine="4"/>
        <w:spacing w:after="0" w:line="286" w:lineRule="auto"/>
        <w:tabs>
          <w:tab w:leader="none" w:pos="575" w:val="left"/>
        </w:tabs>
        <w:numPr>
          <w:ilvl w:val="0"/>
          <w:numId w:val="4"/>
        </w:numPr>
        <w:rPr>
          <w:rFonts w:ascii="Arial" w:cs="Arial" w:eastAsia="Arial" w:hAnsi="Arial"/>
          <w:sz w:val="16"/>
          <w:szCs w:val="16"/>
          <w:color w:val="auto"/>
        </w:rPr>
      </w:pPr>
      <w:r>
        <w:rPr>
          <w:rFonts w:ascii="Arial" w:cs="Arial" w:eastAsia="Arial" w:hAnsi="Arial"/>
          <w:sz w:val="16"/>
          <w:szCs w:val="16"/>
          <w:color w:val="auto"/>
        </w:rPr>
        <w:t>Land Easement Practical Expedient for Transition to Topic 842” (“ASU 2018-01”). ASU 2018-01 permits an entity to elect an optional transition practical expedient not to evaluate land easements that exist or expired before the entity’s adoption of ASU 2016-02 and that were not accounted for as leases under previous lease guidance. In July 2018, the FASB issued Accounting Standards Update No 2018-10, “Codification Improvements to Topic 842 Leases” (“ASU 2018-10”). ASU 2018-10 provides narrow amendments to clarify how to apply certain aspects of the new lease standard. In July 2018, the FASB also issued Accounting Standards Update No 2018-11, “Leases (Topic 842) Targeted Improvements” (“ASU 2018-11”). ASU 2018-11 allows an entity to recognize a cumulative-effect adjustment to the opening balance of retained earnings upon adoption of ASU 2016-02 (the “modified retrospective transition method”). In December 2018, the FASB issued Accounting Standards Update No 2018-20, “Leases (Topic 842) Narrow Scope Improvements for Lessors” (“ASU 2018-20”). ASU 2018-20 provides certain amendments that affect narrow aspects of the guidance issued in ASU 2016-02. In March 2019, the FASB issued Accounting Standards Update No 2019-01 “Codification Improvements” (“ASU 2019-01”). The effective date and transition requirements for ASU 2016-02, ASU 2018-01, ASU 2018-10, ASU 2018-11, ASU 2018-20 and ASU 2019-01 are the same.</w:t>
      </w:r>
    </w:p>
    <w:p>
      <w:pPr>
        <w:spacing w:after="0" w:line="17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Company adopted the new lease standard as of January 1, 2019, using the modified retrospective transition method, which requires a cumulative effect adjustment, if any, to the Company’s beginning equity to be recognized on the date of adoption. There was no cumulative effect adjustment recorded on January 1, 2019. Accordingly, all periods prior to January 1, 2019, were presented in accordance with the previous FASB Accounting Standards Codification (“ASC”) Topic 840, Leases, and no retrospective adjustments were made to the comparative periods presented. The impact from the adoption was the balance sheet recognition of right-of-use assets and lease liabilities for operating and finance leases as a lessee, which resulted in an increase of $16,387 thousand in the total assets and liabilities of the Company’s consolidated balance sheets as of January 1, 2019. In addition, the adoption did not materially impact the Company’s consolidated statements of operations or cash flows for the nine months ended September 30, 2019. For further information regarding these impacts, see Note 6, “Leases.”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$14,474 thousand and $17,156 thousand for the nine months ended September 30, 2019 and 2018, respectively, and these sales resulted in pre-tax losses of $45 thousand and $35 thousand for the nine months ended September 30, 2019 and 2018,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September 30, 2019 and December 31, 2018 consist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w:t>
            </w: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three and nine months ended September 30, 2019 and 2018 are as follows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Nine Months</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w:t>
            </w: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Ended</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September 30, 2019</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5"/>
          </w:tcPr>
          <w:p>
            <w:pPr>
              <w:jc w:val="right"/>
              <w:ind w:right="412"/>
              <w:spacing w:after="0" w:line="142" w:lineRule="exact"/>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(4,104)</w:t>
            </w:r>
          </w:p>
        </w:tc>
      </w:tr>
      <w:tr>
        <w:trPr>
          <w:trHeight w:val="223"/>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Write off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first half of 2019, the Company recorded inventory reserves of $5,475 thousand related to certain legacy display products.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240" w:top="459" w:right="8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September 30, 2019 and December 31, 2018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312,758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323,325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(257,205)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(251,962)</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shd w:val="clear" w:color="auto" w:fill="CCEEFF"/>
          </w:tcPr>
          <w:p>
            <w:pPr>
              <w:spacing w:after="0"/>
              <w:rPr>
                <w:sz w:val="18"/>
                <w:szCs w:val="18"/>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Aggregate depreciation expenses totaled $23,994 thousand and $23,272 thousand for the nine months ended September 30, 2019 and 2018, respectively.</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29, 2018, the Company’s Korean subsidiary entered into an arrangement whereby it acquired a water treatment facility to support its fab in Gumi, Korea from SK Hynix for $4,172 thousand, and sold it for $4,172 thousand to a third party management company that the Company has engaged to run the facility for a 10-year term. This arrangement is accounted for as a financing due to the Company’s Korean subsidiary’s continuing involvement with the facility. As a result, on the acquisition date, the Company recorded the water treatment facility of $4,172 thousand as property, plant and equipment, net, which is depreciated over its estimated useful life. The Company also recorded the related liabilities of $553 thousand as other current liabilities and $3,619 thousand as other non-current liabilities, which relates to the financing and service portion of the arrangement and is amortized using the effective interest method over the contract period.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September 30, 2019 and December 31, 2018 are comprised of the following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$18,010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(18,010)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25,866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(25,866)</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11,672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3,913</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55,548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(51,635</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3,913</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$19,350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(19,350)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27,791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(27,791)</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(7,618)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3,953</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58,712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3,953</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Aggregate amortization expenses for intangible assets totaled $667 thousand and $611 thousand for the nine months ended September 30, 2019 and 2018,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has operating and finance leases for land, buildings and other assets such as vehicles and office equipment. The Company’s leases have remaining lease terms ranging from 1 year to 15 years. For certain leases, the Company has options to extend the lease term for additional periods ranging from 1 year to 10 years. The Company used hindsight for determining the remaining lease term and assessing the likelihood of whether these renewal options are reasonably certain to be exercised by the Company.</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Company’s land lease payment is subject to a biennial adjustment (based on change of the Consumer Price Index), the impact of which is treated as a variable lease payment.</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Leases</w:t>
            </w:r>
          </w:p>
        </w:tc>
        <w:tc>
          <w:tcPr>
            <w:tcW w:w="448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8"/>
        </w:trPr>
        <w:tc>
          <w:tcPr>
            <w:tcW w:w="2640" w:type="dxa"/>
            <w:vAlign w:val="bottom"/>
            <w:gridSpan w:val="3"/>
            <w:vMerge w:val="continue"/>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126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Operating lease</w:t>
            </w:r>
          </w:p>
        </w:tc>
        <w:tc>
          <w:tcPr>
            <w:tcW w:w="4480" w:type="dxa"/>
            <w:vAlign w:val="bottom"/>
            <w:gridSpan w:val="3"/>
          </w:tcPr>
          <w:p>
            <w:pPr>
              <w:ind w:left="108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lease</w:t>
            </w:r>
          </w:p>
        </w:tc>
        <w:tc>
          <w:tcPr>
            <w:tcW w:w="44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Total leased assets</w:t>
            </w:r>
          </w:p>
        </w:tc>
        <w:tc>
          <w:tcPr>
            <w:tcW w:w="10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4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Operating lease liabilities</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Finance</w:t>
            </w:r>
          </w:p>
        </w:tc>
        <w:tc>
          <w:tcPr>
            <w:tcW w:w="4480" w:type="dxa"/>
            <w:vAlign w:val="bottom"/>
            <w:gridSpan w:val="3"/>
          </w:tcPr>
          <w:p>
            <w:pPr>
              <w:ind w:left="108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0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Operating</w:t>
            </w:r>
          </w:p>
        </w:tc>
        <w:tc>
          <w:tcPr>
            <w:tcW w:w="4480" w:type="dxa"/>
            <w:vAlign w:val="bottom"/>
            <w:gridSpan w:val="3"/>
          </w:tcPr>
          <w:p>
            <w:pPr>
              <w:ind w:left="108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w:t>
            </w:r>
          </w:p>
        </w:tc>
        <w:tc>
          <w:tcPr>
            <w:tcW w:w="44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10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20" w:type="dxa"/>
            <w:vAlign w:val="bottom"/>
            <w:gridSpan w:val="3"/>
          </w:tcPr>
          <w:p>
            <w:pPr>
              <w:ind w:left="1540"/>
              <w:spacing w:after="0"/>
              <w:rPr>
                <w:sz w:val="20"/>
                <w:szCs w:val="20"/>
                <w:color w:val="auto"/>
              </w:rPr>
            </w:pPr>
            <w:r>
              <w:rPr>
                <w:rFonts w:ascii="Arial" w:cs="Arial" w:eastAsia="Arial" w:hAnsi="Arial"/>
                <w:sz w:val="14"/>
                <w:szCs w:val="14"/>
                <w:b w:val="1"/>
                <w:bCs w:val="1"/>
                <w:color w:val="auto"/>
                <w:w w:val="93"/>
              </w:rPr>
              <w:t>Three Months</w:t>
            </w:r>
          </w:p>
        </w:tc>
        <w:tc>
          <w:tcPr>
            <w:tcW w:w="154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Nine Months</w:t>
            </w: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Ended</w:t>
            </w:r>
          </w:p>
        </w:tc>
      </w:tr>
      <w:tr>
        <w:trPr>
          <w:trHeight w:val="142"/>
        </w:trPr>
        <w:tc>
          <w:tcPr>
            <w:tcW w:w="20" w:type="dxa"/>
            <w:vAlign w:val="bottom"/>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514"/>
              <w:spacing w:after="0" w:line="142" w:lineRule="exact"/>
              <w:rPr>
                <w:sz w:val="20"/>
                <w:szCs w:val="20"/>
                <w:color w:val="auto"/>
              </w:rPr>
            </w:pPr>
            <w:r>
              <w:rPr>
                <w:rFonts w:ascii="Arial" w:cs="Arial" w:eastAsia="Arial" w:hAnsi="Arial"/>
                <w:sz w:val="14"/>
                <w:szCs w:val="14"/>
                <w:b w:val="1"/>
                <w:bCs w:val="1"/>
                <w:color w:val="auto"/>
              </w:rPr>
              <w:t>September 30, 2019</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Finance lease cost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above table does not include an immaterial cost of short-term leases and a variable lease payment during the three and nine months ended September 30, 2019.</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lease information is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60" w:type="dxa"/>
            <w:vAlign w:val="bottom"/>
            <w:gridSpan w:val="4"/>
          </w:tcPr>
          <w:p>
            <w:pPr>
              <w:ind w:left="340"/>
              <w:spacing w:after="0"/>
              <w:rPr>
                <w:sz w:val="20"/>
                <w:szCs w:val="20"/>
                <w:color w:val="auto"/>
              </w:rPr>
            </w:pPr>
            <w:r>
              <w:rPr>
                <w:rFonts w:ascii="Arial" w:cs="Arial" w:eastAsia="Arial" w:hAnsi="Arial"/>
                <w:sz w:val="14"/>
                <w:szCs w:val="14"/>
                <w:b w:val="1"/>
                <w:bCs w:val="1"/>
                <w:color w:val="auto"/>
                <w:w w:val="98"/>
              </w:rPr>
              <w:t>Three Months</w:t>
            </w:r>
          </w:p>
        </w:tc>
        <w:tc>
          <w:tcPr>
            <w:tcW w:w="1420" w:type="dxa"/>
            <w:vAlign w:val="bottom"/>
            <w:gridSpan w:val="5"/>
          </w:tcPr>
          <w:p>
            <w:pPr>
              <w:ind w:left="580"/>
              <w:spacing w:after="0"/>
              <w:rPr>
                <w:sz w:val="20"/>
                <w:szCs w:val="20"/>
                <w:color w:val="auto"/>
              </w:rPr>
            </w:pPr>
            <w:r>
              <w:rPr>
                <w:rFonts w:ascii="Arial" w:cs="Arial" w:eastAsia="Arial" w:hAnsi="Arial"/>
                <w:sz w:val="14"/>
                <w:szCs w:val="14"/>
                <w:b w:val="1"/>
                <w:bCs w:val="1"/>
                <w:color w:val="auto"/>
                <w:w w:val="97"/>
              </w:rPr>
              <w:t>Nine Months</w:t>
            </w: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Ended</w:t>
            </w:r>
          </w:p>
        </w:tc>
        <w:tc>
          <w:tcPr>
            <w:tcW w:w="1420" w:type="dxa"/>
            <w:vAlign w:val="bottom"/>
            <w:gridSpan w:val="5"/>
          </w:tcPr>
          <w:p>
            <w:pPr>
              <w:ind w:left="760"/>
              <w:spacing w:after="0"/>
              <w:rPr>
                <w:sz w:val="20"/>
                <w:szCs w:val="20"/>
                <w:color w:val="auto"/>
              </w:rPr>
            </w:pPr>
            <w:r>
              <w:rPr>
                <w:rFonts w:ascii="Arial" w:cs="Arial" w:eastAsia="Arial" w:hAnsi="Arial"/>
                <w:sz w:val="14"/>
                <w:szCs w:val="14"/>
                <w:b w:val="1"/>
                <w:bCs w:val="1"/>
                <w:color w:val="auto"/>
              </w:rPr>
              <w:t>Ended</w:t>
            </w: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w w:val="96"/>
              </w:rPr>
              <w:t>September 30, 2019</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12.4 years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10.5 years</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4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480" w:type="dxa"/>
            <w:vAlign w:val="bottom"/>
          </w:tcPr>
          <w:p>
            <w:pPr>
              <w:jc w:val="right"/>
              <w:spacing w:after="0"/>
              <w:rPr>
                <w:sz w:val="20"/>
                <w:szCs w:val="20"/>
                <w:color w:val="auto"/>
              </w:rPr>
            </w:pPr>
            <w:r>
              <w:rPr>
                <w:rFonts w:ascii="Arial" w:cs="Arial" w:eastAsia="Arial" w:hAnsi="Arial"/>
                <w:sz w:val="18"/>
                <w:szCs w:val="18"/>
                <w:color w:val="auto"/>
              </w:rPr>
              <w:t>7.94%</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aggregate future lease payments for operating and finance leases as of September 30, 2019 are as follows (in thousands):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Finance</w:t>
            </w: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Leases</w:t>
            </w:r>
          </w:p>
        </w:tc>
        <w:tc>
          <w:tcPr>
            <w:tcW w:w="20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Leases</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2020</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11,281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lease payments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(6,584)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(1,048)</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future payments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11,517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2018, the minimum aggregate rental payments due under non-cancelable operating lease contracts are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2024 and thereafter</w:t>
            </w:r>
          </w:p>
        </w:tc>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13,978</w:t>
            </w:r>
          </w:p>
        </w:tc>
        <w:tc>
          <w:tcPr>
            <w:tcW w:w="60" w:type="dxa"/>
            <w:vAlign w:val="bottom"/>
          </w:tcPr>
          <w:p>
            <w:pPr>
              <w:spacing w:after="0"/>
              <w:rPr>
                <w:sz w:val="18"/>
                <w:szCs w:val="18"/>
                <w:color w:val="auto"/>
              </w:rPr>
            </w:pPr>
          </w:p>
        </w:tc>
      </w:tr>
      <w:tr>
        <w:trPr>
          <w:trHeight w:val="223"/>
        </w:trPr>
        <w:tc>
          <w:tcPr>
            <w:tcW w:w="4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26,064</w:t>
            </w:r>
          </w:p>
        </w:tc>
        <w:tc>
          <w:tcPr>
            <w:tcW w:w="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September 30, 2019 and December 31, 2018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60" w:type="dxa"/>
            <w:vAlign w:val="bottom"/>
            <w:gridSpan w:val="3"/>
          </w:tcPr>
          <w:p>
            <w:pPr>
              <w:ind w:left="680"/>
              <w:spacing w:after="0"/>
              <w:rPr>
                <w:sz w:val="20"/>
                <w:szCs w:val="20"/>
                <w:color w:val="auto"/>
              </w:rPr>
            </w:pPr>
            <w:r>
              <w:rPr>
                <w:rFonts w:ascii="Arial" w:cs="Arial" w:eastAsia="Arial" w:hAnsi="Arial"/>
                <w:sz w:val="14"/>
                <w:szCs w:val="14"/>
                <w:b w:val="1"/>
                <w:bCs w:val="1"/>
                <w:color w:val="auto"/>
                <w:w w:val="89"/>
              </w:rPr>
              <w:t>September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22,705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Outside service fees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48,944</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jc w:val="right"/>
              <w:ind w:right="91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September 30, 2019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0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 derivative</w:t>
            </w:r>
          </w:p>
        </w:tc>
        <w:tc>
          <w:tcPr>
            <w:tcW w:w="18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200" w:type="dxa"/>
            <w:vAlign w:val="bottom"/>
          </w:tcPr>
          <w:p>
            <w:pPr>
              <w:spacing w:after="0"/>
              <w:rPr>
                <w:sz w:val="16"/>
                <w:szCs w:val="16"/>
                <w:color w:val="auto"/>
              </w:rPr>
            </w:pPr>
          </w:p>
        </w:tc>
        <w:tc>
          <w:tcPr>
            <w:tcW w:w="2720" w:type="dxa"/>
            <w:vAlign w:val="bottom"/>
          </w:tcPr>
          <w:p>
            <w:pPr>
              <w:ind w:left="74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2, 2019</w:t>
            </w: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Zero cost collar</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83"/>
              </w:rPr>
              <w:t>15,000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October 2019 to December 2019</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April 9, 2019</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Zero cost collar</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15,000</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October 2019 to December 2019</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25, 2019</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Zero cost collar</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15,000</w:t>
            </w: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October 2019 to December 2019</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August 13, 2019</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Zero cost collar</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60,000</w:t>
            </w:r>
          </w:p>
        </w:tc>
        <w:tc>
          <w:tcPr>
            <w:tcW w:w="2920" w:type="dxa"/>
            <w:vAlign w:val="bottom"/>
            <w:gridSpan w:val="2"/>
          </w:tcPr>
          <w:p>
            <w:pPr>
              <w:ind w:left="200"/>
              <w:spacing w:after="0"/>
              <w:rPr>
                <w:sz w:val="20"/>
                <w:szCs w:val="20"/>
                <w:color w:val="auto"/>
              </w:rPr>
            </w:pPr>
            <w:r>
              <w:rPr>
                <w:rFonts w:ascii="Arial" w:cs="Arial" w:eastAsia="Arial" w:hAnsi="Arial"/>
                <w:sz w:val="18"/>
                <w:szCs w:val="18"/>
                <w:color w:val="auto"/>
              </w:rPr>
              <w:t>January 2020 to June 2020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2019</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Zero cost collar</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42,000</w:t>
            </w:r>
          </w:p>
        </w:tc>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2020 to June 2020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2018 are as follows (in thousands):</w:t>
      </w:r>
    </w:p>
    <w:p>
      <w:pPr>
        <w:sectPr>
          <w:pgSz w:w="11900" w:h="16838" w:orient="portrait"/>
          <w:cols w:equalWidth="0" w:num="1">
            <w:col w:w="11240"/>
          </w:cols>
          <w:pgMar w:left="240" w:top="459" w:right="419" w:bottom="1440" w:gutter="0" w:footer="0" w:header="0"/>
        </w:sectPr>
      </w:pP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3"/>
          <w:szCs w:val="13"/>
          <w:b w:val="1"/>
          <w:bCs w:val="1"/>
          <w:u w:val="single" w:color="auto"/>
          <w:color w:val="auto"/>
        </w:rPr>
        <w:t>Date of transaction</w:t>
      </w:r>
    </w:p>
    <w:p>
      <w:pPr>
        <w:spacing w:after="0" w:line="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June 27, 2018</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June 27, 2018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 derivative</w:t>
            </w: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notional amount</w:t>
            </w:r>
          </w:p>
        </w:tc>
        <w:tc>
          <w:tcPr>
            <w:tcW w:w="2740" w:type="dxa"/>
            <w:vAlign w:val="bottom"/>
          </w:tcPr>
          <w:p>
            <w:pPr>
              <w:ind w:left="740"/>
              <w:spacing w:after="0"/>
              <w:rPr>
                <w:sz w:val="20"/>
                <w:szCs w:val="20"/>
                <w:color w:val="auto"/>
              </w:rPr>
            </w:pPr>
            <w:r>
              <w:rPr>
                <w:rFonts w:ascii="Arial" w:cs="Arial" w:eastAsia="Arial" w:hAnsi="Arial"/>
                <w:sz w:val="14"/>
                <w:szCs w:val="14"/>
                <w:b w:val="1"/>
                <w:bCs w:val="1"/>
                <w:color w:val="auto"/>
              </w:rPr>
              <w:t>Month of settlement</w:t>
            </w:r>
          </w:p>
        </w:tc>
      </w:tr>
      <w:tr>
        <w:trPr>
          <w:trHeight w:val="195"/>
        </w:trPr>
        <w:tc>
          <w:tcPr>
            <w:tcW w:w="11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9"/>
              </w:rPr>
              <w:t>Zero cost collar</w:t>
            </w:r>
          </w:p>
        </w:tc>
        <w:tc>
          <w:tcPr>
            <w:tcW w:w="36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18,000</w:t>
            </w:r>
          </w:p>
        </w:tc>
        <w:tc>
          <w:tcPr>
            <w:tcW w:w="36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2019 to June 2019</w:t>
            </w:r>
          </w:p>
        </w:tc>
      </w:tr>
      <w:tr>
        <w:trPr>
          <w:trHeight w:val="230"/>
        </w:trPr>
        <w:tc>
          <w:tcPr>
            <w:tcW w:w="1540" w:type="dxa"/>
            <w:vAlign w:val="bottom"/>
            <w:gridSpan w:val="2"/>
          </w:tcPr>
          <w:p>
            <w:pPr>
              <w:ind w:left="80"/>
              <w:spacing w:after="0"/>
              <w:rPr>
                <w:sz w:val="20"/>
                <w:szCs w:val="20"/>
                <w:color w:val="auto"/>
              </w:rPr>
            </w:pPr>
            <w:r>
              <w:rPr>
                <w:rFonts w:ascii="Arial" w:cs="Arial" w:eastAsia="Arial" w:hAnsi="Arial"/>
                <w:sz w:val="18"/>
                <w:szCs w:val="18"/>
                <w:color w:val="auto"/>
              </w:rPr>
              <w:t>Forward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36,000</w:t>
            </w:r>
          </w:p>
        </w:tc>
        <w:tc>
          <w:tcPr>
            <w:tcW w:w="2740" w:type="dxa"/>
            <w:vAlign w:val="bottom"/>
          </w:tcPr>
          <w:p>
            <w:pPr>
              <w:spacing w:after="0"/>
              <w:rPr>
                <w:sz w:val="20"/>
                <w:szCs w:val="20"/>
                <w:color w:val="auto"/>
              </w:rPr>
            </w:pPr>
            <w:r>
              <w:rPr>
                <w:rFonts w:ascii="Arial" w:cs="Arial" w:eastAsia="Arial" w:hAnsi="Arial"/>
                <w:sz w:val="18"/>
                <w:szCs w:val="18"/>
                <w:color w:val="auto"/>
              </w:rPr>
              <w:t>January 2019 to June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-282575</wp:posOffset>
            </wp:positionV>
            <wp:extent cx="58743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6920"/>
          </w:cols>
          <w:pgMar w:left="240" w:top="459" w:right="419" w:bottom="1440" w:gutter="0" w:footer="0" w:header="0"/>
          <w:type w:val="continuous"/>
        </w:sectPr>
      </w:pPr>
    </w:p>
    <w:p>
      <w:pPr>
        <w:spacing w:after="0" w:line="2"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fair values of the Company’s outstanding zero cost collar and forward contracts recorded as assets and liabilities as of September 30, 2019 and December 31, 2018 are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4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2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4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240" w:type="dxa"/>
            <w:vAlign w:val="bottom"/>
          </w:tcPr>
          <w:p>
            <w:pPr>
              <w:ind w:left="9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240" w:type="dxa"/>
            <w:vAlign w:val="bottom"/>
          </w:tcPr>
          <w:p>
            <w:pPr>
              <w:ind w:left="9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2,234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w:t>
            </w:r>
          </w:p>
        </w:tc>
        <w:tc>
          <w:tcPr>
            <w:tcW w:w="4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607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assets and liabilities as of September 30, 2019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00" w:type="dxa"/>
            <w:vAlign w:val="bottom"/>
            <w:gridSpan w:val="3"/>
            <w:vMerge w:val="restart"/>
          </w:tcPr>
          <w:p>
            <w:pPr>
              <w:ind w:left="2020"/>
              <w:spacing w:after="0"/>
              <w:rPr>
                <w:sz w:val="20"/>
                <w:szCs w:val="20"/>
                <w:color w:val="auto"/>
              </w:rPr>
            </w:pPr>
            <w:r>
              <w:rPr>
                <w:rFonts w:ascii="Arial" w:cs="Arial" w:eastAsia="Arial" w:hAnsi="Arial"/>
                <w:sz w:val="14"/>
                <w:szCs w:val="14"/>
                <w:b w:val="1"/>
                <w:bCs w:val="1"/>
                <w:color w:val="auto"/>
                <w:w w:val="88"/>
              </w:rPr>
              <w:t>Gross amounts of</w:t>
            </w:r>
          </w:p>
        </w:tc>
        <w:tc>
          <w:tcPr>
            <w:tcW w:w="13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89"/>
              </w:rPr>
              <w:t>Gross amounts</w:t>
            </w:r>
          </w:p>
        </w:tc>
        <w:tc>
          <w:tcPr>
            <w:tcW w:w="3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Net amounts of</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Gross amounts not offset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0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9"/>
              </w:rPr>
              <w:t>assets/liabilities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in the balance sheets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As of September 30, 2019</w:t>
            </w: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recognized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360" w:type="dxa"/>
            <w:vAlign w:val="bottom"/>
            <w:gridSpan w:val="3"/>
          </w:tcPr>
          <w:p>
            <w:pPr>
              <w:ind w:left="380"/>
              <w:spacing w:after="0" w:line="119" w:lineRule="exact"/>
              <w:rPr>
                <w:sz w:val="20"/>
                <w:szCs w:val="20"/>
                <w:color w:val="auto"/>
              </w:rPr>
            </w:pPr>
            <w:r>
              <w:rPr>
                <w:rFonts w:ascii="Arial" w:cs="Arial" w:eastAsia="Arial" w:hAnsi="Arial"/>
                <w:sz w:val="13"/>
                <w:szCs w:val="13"/>
                <w:b w:val="1"/>
                <w:bCs w:val="1"/>
                <w:color w:val="auto"/>
                <w:w w:val="95"/>
              </w:rPr>
              <w:t>presented in the</w:t>
            </w:r>
          </w:p>
        </w:tc>
        <w:tc>
          <w:tcPr>
            <w:tcW w:w="40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19"/>
              <w:spacing w:after="0" w:line="119" w:lineRule="exact"/>
              <w:rPr>
                <w:sz w:val="20"/>
                <w:szCs w:val="20"/>
                <w:color w:val="auto"/>
              </w:rPr>
            </w:pPr>
            <w:r>
              <w:rPr>
                <w:rFonts w:ascii="Arial" w:cs="Arial" w:eastAsia="Arial" w:hAnsi="Arial"/>
                <w:sz w:val="13"/>
                <w:szCs w:val="13"/>
                <w:b w:val="1"/>
                <w:bCs w:val="1"/>
                <w:color w:val="auto"/>
              </w:rPr>
              <w:t>Financial</w:t>
            </w:r>
          </w:p>
        </w:tc>
        <w:tc>
          <w:tcPr>
            <w:tcW w:w="1320" w:type="dxa"/>
            <w:vAlign w:val="bottom"/>
            <w:tcBorders>
              <w:top w:val="single" w:sz="8" w:color="auto"/>
            </w:tcBorders>
            <w:gridSpan w:val="3"/>
          </w:tcPr>
          <w:p>
            <w:pPr>
              <w:ind w:left="38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40" w:type="dxa"/>
            <w:vAlign w:val="bottom"/>
          </w:tcPr>
          <w:p>
            <w:pPr>
              <w:spacing w:after="0"/>
              <w:rPr>
                <w:sz w:val="10"/>
                <w:szCs w:val="10"/>
                <w:color w:val="auto"/>
              </w:rPr>
            </w:pP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8"/>
        </w:trPr>
        <w:tc>
          <w:tcPr>
            <w:tcW w:w="156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10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assets/liabilities</w:t>
            </w:r>
          </w:p>
        </w:tc>
        <w:tc>
          <w:tcPr>
            <w:tcW w:w="380" w:type="dxa"/>
            <w:vAlign w:val="bottom"/>
          </w:tcPr>
          <w:p>
            <w:pPr>
              <w:spacing w:after="0"/>
              <w:rPr>
                <w:sz w:val="15"/>
                <w:szCs w:val="15"/>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380" w:type="dxa"/>
            <w:vAlign w:val="bottom"/>
          </w:tcPr>
          <w:p>
            <w:pPr>
              <w:spacing w:after="0"/>
              <w:rPr>
                <w:sz w:val="15"/>
                <w:szCs w:val="15"/>
                <w:color w:val="auto"/>
              </w:rPr>
            </w:pPr>
          </w:p>
        </w:tc>
        <w:tc>
          <w:tcPr>
            <w:tcW w:w="9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89"/>
              </w:rPr>
              <w:t>balance sheets</w:t>
            </w:r>
          </w:p>
        </w:tc>
        <w:tc>
          <w:tcPr>
            <w:tcW w:w="1160" w:type="dxa"/>
            <w:vAlign w:val="bottom"/>
            <w:gridSpan w:val="3"/>
          </w:tcPr>
          <w:p>
            <w:pPr>
              <w:ind w:left="400"/>
              <w:spacing w:after="0" w:line="158" w:lineRule="exact"/>
              <w:rPr>
                <w:sz w:val="20"/>
                <w:szCs w:val="20"/>
                <w:color w:val="auto"/>
              </w:rPr>
            </w:pPr>
            <w:r>
              <w:rPr>
                <w:rFonts w:ascii="Arial" w:cs="Arial" w:eastAsia="Arial" w:hAnsi="Arial"/>
                <w:sz w:val="14"/>
                <w:szCs w:val="14"/>
                <w:b w:val="1"/>
                <w:bCs w:val="1"/>
                <w:color w:val="auto"/>
                <w:w w:val="92"/>
              </w:rPr>
              <w:t>instruments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6"/>
              </w:rPr>
              <w:t>pledged</w:t>
            </w:r>
          </w:p>
        </w:tc>
        <w:tc>
          <w:tcPr>
            <w:tcW w:w="9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88"/>
              </w:rPr>
              <w:t>Asset Derivatives:</w:t>
            </w:r>
          </w:p>
        </w:tc>
        <w:tc>
          <w:tcPr>
            <w:tcW w:w="20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Zero cost collars</w:t>
            </w:r>
          </w:p>
        </w:tc>
        <w:tc>
          <w:tcPr>
            <w:tcW w:w="216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Liability Derivatives: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Zero cost collars</w:t>
            </w:r>
          </w:p>
        </w:tc>
        <w:tc>
          <w:tcPr>
            <w:tcW w:w="216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2,234</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(590)</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December 31, 2018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w w:val="88"/>
              </w:rPr>
              <w:t>Gross amounts of</w:t>
            </w:r>
          </w:p>
        </w:tc>
        <w:tc>
          <w:tcPr>
            <w:tcW w:w="13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89"/>
              </w:rPr>
              <w:t>Gross amounts</w:t>
            </w:r>
          </w:p>
        </w:tc>
        <w:tc>
          <w:tcPr>
            <w:tcW w:w="3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Net amounts of</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Gross amounts not offset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liabilities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in the balance sheets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recognized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360" w:type="dxa"/>
            <w:vAlign w:val="bottom"/>
            <w:gridSpan w:val="3"/>
          </w:tcPr>
          <w:p>
            <w:pPr>
              <w:jc w:val="center"/>
              <w:ind w:left="258"/>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38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19"/>
              <w:spacing w:after="0" w:line="119" w:lineRule="exact"/>
              <w:rPr>
                <w:sz w:val="20"/>
                <w:szCs w:val="20"/>
                <w:color w:val="auto"/>
              </w:rPr>
            </w:pPr>
            <w:r>
              <w:rPr>
                <w:rFonts w:ascii="Arial" w:cs="Arial" w:eastAsia="Arial" w:hAnsi="Arial"/>
                <w:sz w:val="13"/>
                <w:szCs w:val="13"/>
                <w:b w:val="1"/>
                <w:bCs w:val="1"/>
                <w:color w:val="auto"/>
              </w:rPr>
              <w:t>Financial</w:t>
            </w:r>
          </w:p>
        </w:tc>
        <w:tc>
          <w:tcPr>
            <w:tcW w:w="1300" w:type="dxa"/>
            <w:vAlign w:val="bottom"/>
            <w:tcBorders>
              <w:top w:val="single" w:sz="8" w:color="auto"/>
            </w:tcBorders>
            <w:gridSpan w:val="3"/>
          </w:tcPr>
          <w:p>
            <w:pPr>
              <w:ind w:left="36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40" w:type="dxa"/>
            <w:vAlign w:val="bottom"/>
          </w:tcPr>
          <w:p>
            <w:pPr>
              <w:spacing w:after="0"/>
              <w:rPr>
                <w:sz w:val="10"/>
                <w:szCs w:val="10"/>
                <w:color w:val="auto"/>
              </w:rPr>
            </w:pPr>
          </w:p>
        </w:tc>
        <w:tc>
          <w:tcPr>
            <w:tcW w:w="1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5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3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2"/>
              </w:rPr>
              <w:t>instruments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6"/>
              </w:rPr>
              <w:t>pledged</w:t>
            </w: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6"/>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statements of operations for the three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2018 (in thousands):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00" w:right="420"/>
        <w:spacing w:after="0" w:line="268" w:lineRule="auto"/>
        <w:rPr>
          <w:sz w:val="20"/>
          <w:szCs w:val="20"/>
          <w:color w:val="auto"/>
        </w:rPr>
      </w:pPr>
      <w:r>
        <w:rPr>
          <w:rFonts w:ascii="Arial" w:cs="Arial" w:eastAsia="Arial" w:hAnsi="Arial"/>
          <w:sz w:val="13"/>
          <w:szCs w:val="13"/>
          <w:b w:val="1"/>
          <w:bCs w:val="1"/>
          <w:color w:val="auto"/>
        </w:rPr>
        <w:t>Derivatives in ASC 815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wp:posOffset>
            </wp:positionV>
            <wp:extent cx="9690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Zero cost collars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Forwards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Forwards—excluded time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value (1)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200" w:type="dxa"/>
            <w:vAlign w:val="bottom"/>
          </w:tcPr>
          <w:p>
            <w:pPr>
              <w:spacing w:after="0"/>
              <w:rPr>
                <w:sz w:val="14"/>
                <w:szCs w:val="14"/>
                <w:color w:val="auto"/>
              </w:rPr>
            </w:pPr>
          </w:p>
        </w:tc>
        <w:tc>
          <w:tcPr>
            <w:tcW w:w="2360" w:type="dxa"/>
            <w:vAlign w:val="bottom"/>
            <w:gridSpan w:val="7"/>
            <w:vMerge w:val="restart"/>
          </w:tcPr>
          <w:p>
            <w:pPr>
              <w:jc w:val="center"/>
              <w:ind w:left="441"/>
              <w:spacing w:after="0"/>
              <w:rPr>
                <w:sz w:val="20"/>
                <w:szCs w:val="20"/>
                <w:color w:val="auto"/>
              </w:rPr>
            </w:pPr>
            <w:r>
              <w:rPr>
                <w:rFonts w:ascii="Arial" w:cs="Arial" w:eastAsia="Arial" w:hAnsi="Arial"/>
                <w:sz w:val="14"/>
                <w:szCs w:val="14"/>
                <w:b w:val="1"/>
                <w:bCs w:val="1"/>
                <w:color w:val="auto"/>
                <w:w w:val="92"/>
              </w:rPr>
              <w:t>Location/Amount of Loss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center"/>
              <w:ind w:left="601"/>
              <w:spacing w:after="0"/>
              <w:rPr>
                <w:sz w:val="20"/>
                <w:szCs w:val="20"/>
                <w:color w:val="auto"/>
              </w:rPr>
            </w:pPr>
            <w:r>
              <w:rPr>
                <w:rFonts w:ascii="Arial" w:cs="Arial" w:eastAsia="Arial" w:hAnsi="Arial"/>
                <w:sz w:val="14"/>
                <w:szCs w:val="14"/>
                <w:b w:val="1"/>
                <w:bCs w:val="1"/>
                <w:color w:val="auto"/>
                <w:w w:val="93"/>
              </w:rPr>
              <w:t>Location/Amount of Gain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0" w:type="dxa"/>
            <w:vAlign w:val="bottom"/>
          </w:tcPr>
          <w:p>
            <w:pPr>
              <w:spacing w:after="0"/>
              <w:rPr>
                <w:sz w:val="12"/>
                <w:szCs w:val="12"/>
                <w:color w:val="auto"/>
              </w:rPr>
            </w:pPr>
          </w:p>
        </w:tc>
        <w:tc>
          <w:tcPr>
            <w:tcW w:w="2360" w:type="dxa"/>
            <w:vAlign w:val="bottom"/>
            <w:gridSpan w:val="7"/>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3"/>
          </w:tcPr>
          <w:p>
            <w:pPr>
              <w:jc w:val="center"/>
              <w:ind w:left="1201"/>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w w:val="99"/>
              </w:rPr>
              <w:t>AOCI 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5"/>
          </w:tcPr>
          <w:p>
            <w:pPr>
              <w:jc w:val="center"/>
              <w:ind w:left="621"/>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5"/>
          </w:tcPr>
          <w:p>
            <w:pPr>
              <w:jc w:val="center"/>
              <w:ind w:left="621"/>
              <w:spacing w:after="0" w:line="149" w:lineRule="exact"/>
              <w:rPr>
                <w:sz w:val="20"/>
                <w:szCs w:val="20"/>
                <w:color w:val="auto"/>
              </w:rPr>
            </w:pPr>
            <w:r>
              <w:rPr>
                <w:rFonts w:ascii="Arial" w:cs="Arial" w:eastAsia="Arial" w:hAnsi="Arial"/>
                <w:sz w:val="14"/>
                <w:szCs w:val="14"/>
                <w:b w:val="1"/>
                <w:bCs w:val="1"/>
                <w:color w:val="auto"/>
                <w:w w:val="92"/>
              </w:rPr>
              <w:t>Statement of Operations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2"/>
                <w:szCs w:val="12"/>
                <w:color w:val="auto"/>
              </w:rPr>
            </w:pPr>
          </w:p>
        </w:tc>
        <w:tc>
          <w:tcPr>
            <w:tcW w:w="2360" w:type="dxa"/>
            <w:vAlign w:val="bottom"/>
            <w:gridSpan w:val="7"/>
          </w:tcPr>
          <w:p>
            <w:pPr>
              <w:jc w:val="center"/>
              <w:ind w:left="441"/>
              <w:spacing w:after="0" w:line="149" w:lineRule="exact"/>
              <w:rPr>
                <w:sz w:val="20"/>
                <w:szCs w:val="20"/>
                <w:color w:val="auto"/>
              </w:rPr>
            </w:pPr>
            <w:r>
              <w:rPr>
                <w:rFonts w:ascii="Arial" w:cs="Arial" w:eastAsia="Arial" w:hAnsi="Arial"/>
                <w:sz w:val="14"/>
                <w:szCs w:val="14"/>
                <w:b w:val="1"/>
                <w:bCs w:val="1"/>
                <w:color w:val="auto"/>
                <w:w w:val="93"/>
              </w:rPr>
              <w:t>Into Statement of Operations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3"/>
              </w:rPr>
              <w:t>Derivatives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34"/>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(Effective Portion)</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Borders>
              <w:bottom w:val="single" w:sz="8" w:color="auto"/>
            </w:tcBorders>
            <w:gridSpan w:val="5"/>
          </w:tcPr>
          <w:p>
            <w:pPr>
              <w:jc w:val="center"/>
              <w:ind w:left="601"/>
              <w:spacing w:after="0"/>
              <w:rPr>
                <w:sz w:val="20"/>
                <w:szCs w:val="20"/>
                <w:color w:val="auto"/>
              </w:rPr>
            </w:pPr>
            <w:r>
              <w:rPr>
                <w:rFonts w:ascii="Arial" w:cs="Arial" w:eastAsia="Arial" w:hAnsi="Arial"/>
                <w:sz w:val="14"/>
                <w:szCs w:val="14"/>
                <w:b w:val="1"/>
                <w:bCs w:val="1"/>
                <w:color w:val="auto"/>
                <w:w w:val="94"/>
              </w:rPr>
              <w:t xml:space="preserve">(Ineffective Portion) </w:t>
            </w:r>
            <w:r>
              <w:rPr>
                <w:rFonts w:ascii="Arial" w:cs="Arial" w:eastAsia="Arial" w:hAnsi="Arial"/>
                <w:sz w:val="14"/>
                <w:szCs w:val="14"/>
                <w:color w:val="auto"/>
                <w:w w:val="94"/>
              </w:rPr>
              <w:t>(1)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5"/>
          </w:tcPr>
          <w:p>
            <w:pPr>
              <w:jc w:val="right"/>
              <w:ind w:right="54"/>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gridSpan w:val="6"/>
          </w:tcPr>
          <w:p>
            <w:pPr>
              <w:jc w:val="right"/>
              <w:spacing w:after="0" w:line="119" w:lineRule="exact"/>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ind w:lef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2"/>
                <w:szCs w:val="12"/>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auto"/>
                <w:w w:val="93"/>
              </w:rPr>
              <w:t>Net sales</w:t>
            </w: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2180" w:type="dxa"/>
            <w:vAlign w:val="bottom"/>
            <w:vMerge w:val="restart"/>
          </w:tcPr>
          <w:p>
            <w:pPr>
              <w:ind w:left="60"/>
              <w:spacing w:after="0"/>
              <w:rPr>
                <w:sz w:val="20"/>
                <w:szCs w:val="20"/>
                <w:color w:val="auto"/>
              </w:rPr>
            </w:pPr>
            <w:r>
              <w:rPr>
                <w:rFonts w:ascii="Arial" w:cs="Arial" w:eastAsia="Arial" w:hAnsi="Arial"/>
                <w:sz w:val="18"/>
                <w:szCs w:val="18"/>
                <w:color w:val="auto"/>
                <w:w w:val="92"/>
              </w:rPr>
              <w:t>Other income (expense), net</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40"/>
              <w:spacing w:after="0" w:line="195" w:lineRule="exact"/>
              <w:rPr>
                <w:sz w:val="20"/>
                <w:szCs w:val="20"/>
                <w:color w:val="auto"/>
              </w:rPr>
            </w:pPr>
            <w:r>
              <w:rPr>
                <w:rFonts w:ascii="Arial" w:cs="Arial" w:eastAsia="Arial" w:hAnsi="Arial"/>
                <w:sz w:val="18"/>
                <w:szCs w:val="18"/>
                <w:color w:val="auto"/>
                <w:w w:val="80"/>
              </w:rPr>
              <w:t>(2,803)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386</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98"/>
              </w:rPr>
              <w:t>(1,600)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160"/>
              <w:spacing w:after="0"/>
              <w:rPr>
                <w:sz w:val="20"/>
                <w:szCs w:val="20"/>
                <w:color w:val="auto"/>
              </w:rPr>
            </w:pPr>
            <w:r>
              <w:rPr>
                <w:rFonts w:ascii="Arial" w:cs="Arial" w:eastAsia="Arial" w:hAnsi="Arial"/>
                <w:sz w:val="17"/>
                <w:szCs w:val="17"/>
                <w:color w:val="auto"/>
                <w:w w:val="72"/>
              </w:rPr>
              <w:t>(33)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93"/>
              </w:rPr>
              <w:t>Net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2180" w:type="dxa"/>
            <w:vAlign w:val="bottom"/>
          </w:tcPr>
          <w:p>
            <w:pPr>
              <w:ind w:left="60"/>
              <w:spacing w:after="0"/>
              <w:rPr>
                <w:sz w:val="20"/>
                <w:szCs w:val="20"/>
                <w:color w:val="auto"/>
              </w:rPr>
            </w:pPr>
            <w:r>
              <w:rPr>
                <w:rFonts w:ascii="Arial" w:cs="Arial" w:eastAsia="Arial" w:hAnsi="Arial"/>
                <w:sz w:val="18"/>
                <w:szCs w:val="18"/>
                <w:color w:val="auto"/>
                <w:w w:val="92"/>
              </w:rPr>
              <w:t>Other income (expense), net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w w:val="92"/>
              </w:rPr>
              <w:t>Other income (expense), net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0"/>
              </w:rPr>
              <w:t>(2,803</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1,046</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(33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-736600</wp:posOffset>
            </wp:positionV>
            <wp:extent cx="699770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-454025</wp:posOffset>
            </wp:positionV>
            <wp:extent cx="699770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274320"/>
                    </a:xfrm>
                    <a:prstGeom prst="rect">
                      <a:avLst/>
                    </a:prstGeom>
                    <a:noFill/>
                  </pic:spPr>
                </pic:pic>
              </a:graphicData>
            </a:graphic>
          </wp:anchor>
        </w:drawing>
      </w:r>
    </w:p>
    <w:p>
      <w:pPr>
        <w:ind w:left="1740"/>
        <w:spacing w:after="0"/>
        <w:tabs>
          <w:tab w:leader="none" w:pos="2940" w:val="left"/>
          <w:tab w:leader="none" w:pos="3860" w:val="left"/>
        </w:tabs>
        <w:rPr>
          <w:sz w:val="20"/>
          <w:szCs w:val="20"/>
          <w:color w:val="auto"/>
        </w:rPr>
      </w:pPr>
      <w:r>
        <w:rPr>
          <w:rFonts w:ascii="Arial" w:cs="Arial" w:eastAsia="Arial" w:hAnsi="Arial"/>
          <w:sz w:val="18"/>
          <w:szCs w:val="18"/>
          <w:color w:val="auto"/>
        </w:rPr>
        <w:t>Total Revenue</w:t>
      </w:r>
      <w:r>
        <w:rPr>
          <w:sz w:val="20"/>
          <w:szCs w:val="20"/>
          <w:color w:val="auto"/>
        </w:rPr>
        <w:tab/>
      </w:r>
      <w:r>
        <w:rPr>
          <w:rFonts w:ascii="Arial" w:cs="Arial" w:eastAsia="Arial" w:hAnsi="Arial"/>
          <w:sz w:val="18"/>
          <w:szCs w:val="18"/>
          <w:u w:val="single" w:color="auto"/>
          <w:color w:val="auto"/>
        </w:rPr>
        <w:t>$229,677</w:t>
      </w:r>
      <w:r>
        <w:rPr>
          <w:sz w:val="20"/>
          <w:szCs w:val="20"/>
          <w:color w:val="auto"/>
        </w:rPr>
        <w:tab/>
      </w:r>
      <w:r>
        <w:rPr>
          <w:rFonts w:ascii="Arial" w:cs="Arial" w:eastAsia="Arial" w:hAnsi="Arial"/>
          <w:sz w:val="16"/>
          <w:szCs w:val="16"/>
          <w:u w:val="single" w:color="auto"/>
          <w:color w:val="auto"/>
        </w:rPr>
        <w:t>$206,000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-121920</wp:posOffset>
            </wp:positionV>
            <wp:extent cx="69977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31750</wp:posOffset>
            </wp:positionV>
            <wp:extent cx="10121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680"/>
            <w:col w:w="8440"/>
          </w:cols>
          <w:pgMar w:left="240" w:top="459" w:right="459" w:bottom="1440" w:gutter="0" w:footer="0" w:header="0"/>
          <w:type w:val="continuous"/>
        </w:sectPr>
      </w:pPr>
    </w:p>
    <w:p>
      <w:pPr>
        <w:spacing w:after="0" w:line="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 of operations for the nine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2018 (in thousands):</w:t>
      </w:r>
    </w:p>
    <w:p>
      <w:pPr>
        <w:sectPr>
          <w:pgSz w:w="11900" w:h="16838" w:orient="portrait"/>
          <w:cols w:equalWidth="0" w:num="1">
            <w:col w:w="11200"/>
          </w:cols>
          <w:pgMar w:left="240" w:top="459" w:right="45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200" w:right="1100"/>
        <w:spacing w:after="0" w:line="268" w:lineRule="auto"/>
        <w:rPr>
          <w:sz w:val="20"/>
          <w:szCs w:val="20"/>
          <w:color w:val="auto"/>
        </w:rPr>
      </w:pPr>
      <w:r>
        <w:rPr>
          <w:rFonts w:ascii="Arial" w:cs="Arial" w:eastAsia="Arial" w:hAnsi="Arial"/>
          <w:sz w:val="13"/>
          <w:szCs w:val="13"/>
          <w:b w:val="1"/>
          <w:bCs w:val="1"/>
          <w:color w:val="auto"/>
        </w:rPr>
        <w:t>Derivatives in ASC 815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wp:posOffset>
            </wp:positionV>
            <wp:extent cx="9690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Zero cost collars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Forwards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Forwards—excluded time value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466090</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Amount of Loss</w:t>
            </w: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Location/Amount of Gain (Loss)</w:t>
            </w:r>
          </w:p>
        </w:tc>
        <w:tc>
          <w:tcPr>
            <w:tcW w:w="200" w:type="dxa"/>
            <w:vAlign w:val="bottom"/>
          </w:tcPr>
          <w:p>
            <w:pPr>
              <w:spacing w:after="0"/>
              <w:rPr>
                <w:sz w:val="14"/>
                <w:szCs w:val="14"/>
                <w:color w:val="auto"/>
              </w:rPr>
            </w:pPr>
          </w:p>
        </w:tc>
        <w:tc>
          <w:tcPr>
            <w:tcW w:w="2820" w:type="dxa"/>
            <w:vAlign w:val="bottom"/>
            <w:gridSpan w:val="5"/>
          </w:tcPr>
          <w:p>
            <w:pPr>
              <w:jc w:val="center"/>
              <w:ind w:left="621"/>
              <w:spacing w:after="0"/>
              <w:rPr>
                <w:sz w:val="20"/>
                <w:szCs w:val="20"/>
                <w:color w:val="auto"/>
              </w:rPr>
            </w:pPr>
            <w:r>
              <w:rPr>
                <w:rFonts w:ascii="Arial" w:cs="Arial" w:eastAsia="Arial" w:hAnsi="Arial"/>
                <w:sz w:val="14"/>
                <w:szCs w:val="14"/>
                <w:b w:val="1"/>
                <w:bCs w:val="1"/>
                <w:color w:val="auto"/>
                <w:w w:val="92"/>
              </w:rPr>
              <w:t>Location/Amount of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92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AOCI on</w:t>
            </w:r>
          </w:p>
        </w:tc>
        <w:tc>
          <w:tcPr>
            <w:tcW w:w="2220" w:type="dxa"/>
            <w:vAlign w:val="bottom"/>
            <w:gridSpan w:val="5"/>
          </w:tcPr>
          <w:p>
            <w:pPr>
              <w:jc w:val="center"/>
              <w:ind w:left="620"/>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5"/>
          </w:tcPr>
          <w:p>
            <w:pPr>
              <w:jc w:val="center"/>
              <w:ind w:left="641"/>
              <w:spacing w:after="0" w:line="149" w:lineRule="exact"/>
              <w:rPr>
                <w:sz w:val="20"/>
                <w:szCs w:val="20"/>
                <w:color w:val="auto"/>
              </w:rPr>
            </w:pPr>
            <w:r>
              <w:rPr>
                <w:rFonts w:ascii="Arial" w:cs="Arial" w:eastAsia="Arial" w:hAnsi="Arial"/>
                <w:sz w:val="14"/>
                <w:szCs w:val="14"/>
                <w:b w:val="1"/>
                <w:bCs w:val="1"/>
                <w:color w:val="auto"/>
                <w:w w:val="92"/>
              </w:rPr>
              <w:t>Statement of Operations 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92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3"/>
              </w:rPr>
              <w:t>Into Statement of Operations</w:t>
            </w:r>
          </w:p>
        </w:tc>
        <w:tc>
          <w:tcPr>
            <w:tcW w:w="200" w:type="dxa"/>
            <w:vAlign w:val="bottom"/>
          </w:tcPr>
          <w:p>
            <w:pPr>
              <w:spacing w:after="0"/>
              <w:rPr>
                <w:sz w:val="12"/>
                <w:szCs w:val="12"/>
                <w:color w:val="auto"/>
              </w:rPr>
            </w:pPr>
          </w:p>
        </w:tc>
        <w:tc>
          <w:tcPr>
            <w:tcW w:w="222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2220" w:type="dxa"/>
            <w:vAlign w:val="bottom"/>
            <w:gridSpan w:val="5"/>
          </w:tcPr>
          <w:p>
            <w:pPr>
              <w:jc w:val="center"/>
              <w:ind w:left="600"/>
              <w:spacing w:after="0"/>
              <w:rPr>
                <w:sz w:val="20"/>
                <w:szCs w:val="20"/>
                <w:color w:val="auto"/>
              </w:rPr>
            </w:pPr>
            <w:r>
              <w:rPr>
                <w:rFonts w:ascii="Arial" w:cs="Arial" w:eastAsia="Arial" w:hAnsi="Arial"/>
                <w:sz w:val="14"/>
                <w:szCs w:val="14"/>
                <w:b w:val="1"/>
                <w:bCs w:val="1"/>
                <w:color w:val="auto"/>
                <w:w w:val="94"/>
              </w:rPr>
              <w:t>(Effective Portion)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center"/>
              <w:ind w:left="641"/>
              <w:spacing w:after="0"/>
              <w:rPr>
                <w:sz w:val="20"/>
                <w:szCs w:val="20"/>
                <w:color w:val="auto"/>
              </w:rPr>
            </w:pPr>
            <w:r>
              <w:rPr>
                <w:rFonts w:ascii="Arial" w:cs="Arial" w:eastAsia="Arial" w:hAnsi="Arial"/>
                <w:sz w:val="14"/>
                <w:szCs w:val="14"/>
                <w:b w:val="1"/>
                <w:bCs w:val="1"/>
                <w:color w:val="auto"/>
                <w:w w:val="95"/>
              </w:rPr>
              <w:t xml:space="preserve">(Ineffective Portion) </w:t>
            </w:r>
            <w:r>
              <w:rPr>
                <w:rFonts w:ascii="Arial" w:cs="Arial" w:eastAsia="Arial" w:hAnsi="Arial"/>
                <w:sz w:val="14"/>
                <w:szCs w:val="14"/>
                <w:color w:val="auto"/>
                <w:w w:val="95"/>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right"/>
              <w:ind w:right="114"/>
              <w:spacing w:after="0" w:line="119"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6"/>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300" w:type="dxa"/>
            <w:vAlign w:val="bottom"/>
            <w:vMerge w:val="restart"/>
          </w:tcPr>
          <w:p>
            <w:pPr>
              <w:ind w:left="100"/>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220" w:type="dxa"/>
            <w:vAlign w:val="bottom"/>
            <w:vMerge w:val="restart"/>
          </w:tcPr>
          <w:p>
            <w:pPr>
              <w:ind w:left="60"/>
              <w:spacing w:after="0"/>
              <w:rPr>
                <w:sz w:val="20"/>
                <w:szCs w:val="20"/>
                <w:color w:val="auto"/>
              </w:rPr>
            </w:pPr>
            <w:r>
              <w:rPr>
                <w:rFonts w:ascii="Arial" w:cs="Arial" w:eastAsia="Arial" w:hAnsi="Arial"/>
                <w:sz w:val="18"/>
                <w:szCs w:val="18"/>
                <w:color w:val="auto"/>
                <w:w w:val="93"/>
              </w:rPr>
              <w:t>Other income (expense), net</w:t>
            </w:r>
          </w:p>
        </w:tc>
        <w:tc>
          <w:tcPr>
            <w:tcW w:w="2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 (3,905)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 (756)</w:t>
            </w: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2,191</w:t>
            </w:r>
          </w:p>
        </w:tc>
        <w:tc>
          <w:tcPr>
            <w:tcW w:w="20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color w:val="auto"/>
                <w:w w:val="99"/>
              </w:rPr>
              <w:t>$ (1,798)</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 (135)</w:t>
            </w:r>
          </w:p>
        </w:tc>
        <w:tc>
          <w:tcPr>
            <w:tcW w:w="130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Pr>
          <w:p>
            <w:pPr>
              <w:spacing w:after="0"/>
              <w:rPr>
                <w:sz w:val="18"/>
                <w:szCs w:val="18"/>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3"/>
              </w:rPr>
              <w:t>Other income (expense),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5"/>
              </w:rPr>
              <w:t>(125)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3"/>
              </w:rPr>
              <w:t>Other income (expense),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 (5,703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(891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(2,226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Total Revenue</w:t>
            </w: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592,202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571,504</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-770890</wp:posOffset>
            </wp:positionV>
            <wp:extent cx="699770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-488315</wp:posOffset>
            </wp:positionV>
            <wp:extent cx="69977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-162560</wp:posOffset>
            </wp:positionV>
            <wp:extent cx="699770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760" w:space="160"/>
            <w:col w:w="8280"/>
          </w:cols>
          <w:pgMar w:left="240" w:top="459" w:right="459" w:bottom="1440" w:gutter="0" w:footer="0" w:header="0"/>
          <w:type w:val="continuous"/>
        </w:sectPr>
      </w:pPr>
    </w:p>
    <w:p>
      <w:pPr>
        <w:jc w:val="both"/>
        <w:ind w:left="640" w:right="80" w:hanging="436"/>
        <w:spacing w:after="0" w:line="28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FASB issued the new guidance about hedging activities (ASU 2017-12), which provides new rules about income statement classification and eliminates the requirement to separately measure and report hedge ineffectiveness. In addition, under the same guidance, excluded time value for forward contracts is presented in earnings in the same income statement line item that is used to present the earnings effect of the hedged item.</w:t>
      </w:r>
    </w:p>
    <w:p>
      <w:pPr>
        <w:ind w:left="640"/>
        <w:spacing w:after="0" w:line="323" w:lineRule="auto"/>
        <w:rPr>
          <w:rFonts w:ascii="Arial" w:cs="Arial" w:eastAsia="Arial" w:hAnsi="Arial"/>
          <w:sz w:val="16"/>
          <w:szCs w:val="16"/>
          <w:color w:val="auto"/>
        </w:rPr>
      </w:pPr>
      <w:r>
        <w:rPr>
          <w:rFonts w:ascii="Arial" w:cs="Arial" w:eastAsia="Arial" w:hAnsi="Arial"/>
          <w:sz w:val="16"/>
          <w:szCs w:val="16"/>
          <w:color w:val="auto"/>
        </w:rPr>
        <w:t>The Company adopted the new guidance in the first quarter of 2019 and recorded $98 thousand as a reduction of net sales for the same period, and the comparative prior period amounts were not restated and continued to be reported under the accounting standards in effect for such period.</w:t>
      </w:r>
    </w:p>
    <w:p>
      <w:pPr>
        <w:spacing w:after="0" w:line="13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September 30, 2019, the amount expected to be reclassified from accumulated other comprehensive income into loss within the next twelve months is $2,199 thousand.</w:t>
      </w:r>
    </w:p>
    <w:p>
      <w:pPr>
        <w:spacing w:after="0" w:line="17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Company set aside $9,400 thousand and $4,000 thousand in cash deposits to the counterparties, Nomura Financial Investment (Korea) Co., Ltd. (“NFIK”) and Deutsche Bank AG, Seoul Branch (“DB”), as required for the zero cost collar and forward contracts outstanding as of September 30, 2019 and December 31, 2018, respectively. These cash deposits are recorded as hedge collateral on the consolidated balance sheets.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 $590 thousand and $1,810 thousand of additional cash collateral were required and recorded as hedge collateral on the consolidated balance sheets as of September 30, 2019 and December 31, 2018, respectively.</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These forward and zero cost collar contracts may be terminated by the counterparty in a number of circumstances, including if the Company’s long-term debt rating falls below B-/B3 or if the Company’s total cash and cash equivalents is less than $30,000 thousand at the end of a fiscal quarter, unless a waiver is obtained from the counterparty.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As of September 30, 2019, the following table represents the Company’s assets and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gridSpan w:val="2"/>
            <w:vMerge w:val="restart"/>
          </w:tcPr>
          <w:p>
            <w:pPr>
              <w:jc w:val="center"/>
              <w:ind w:left="428"/>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52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Other</w:t>
            </w:r>
          </w:p>
        </w:tc>
        <w:tc>
          <w:tcPr>
            <w:tcW w:w="5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Carrying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240" w:type="dxa"/>
            <w:vAlign w:val="bottom"/>
            <w:gridSpan w:val="3"/>
          </w:tcPr>
          <w:p>
            <w:pPr>
              <w:jc w:val="center"/>
              <w:ind w:left="41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4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7"/>
              </w:rPr>
              <w:t>Measurement</w:t>
            </w:r>
          </w:p>
        </w:tc>
        <w:tc>
          <w:tcPr>
            <w:tcW w:w="5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5"/>
              </w:rPr>
              <w:t>Inputs</w:t>
            </w:r>
          </w:p>
        </w:tc>
        <w:tc>
          <w:tcPr>
            <w:tcW w:w="5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w w:val="91"/>
              </w:rPr>
              <w:t>September 30, 2019</w:t>
            </w:r>
          </w:p>
        </w:tc>
        <w:tc>
          <w:tcPr>
            <w:tcW w:w="1720" w:type="dxa"/>
            <w:vAlign w:val="bottom"/>
            <w:gridSpan w:val="3"/>
          </w:tcPr>
          <w:p>
            <w:pPr>
              <w:ind w:left="520"/>
              <w:spacing w:after="0"/>
              <w:rPr>
                <w:sz w:val="20"/>
                <w:szCs w:val="20"/>
                <w:color w:val="auto"/>
              </w:rPr>
            </w:pPr>
            <w:r>
              <w:rPr>
                <w:rFonts w:ascii="Arial" w:cs="Arial" w:eastAsia="Arial" w:hAnsi="Arial"/>
                <w:sz w:val="14"/>
                <w:szCs w:val="14"/>
                <w:b w:val="1"/>
                <w:bCs w:val="1"/>
                <w:color w:val="auto"/>
                <w:w w:val="90"/>
              </w:rPr>
              <w:t>September 30, 2019</w:t>
            </w: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w w:val="99"/>
              </w:rPr>
              <w:t>Derivative assets (other current assets)</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2,234</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2,234</w:t>
            </w:r>
          </w:p>
        </w:tc>
        <w:tc>
          <w:tcPr>
            <w:tcW w:w="54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2,234</w:t>
            </w:r>
          </w:p>
        </w:tc>
        <w:tc>
          <w:tcPr>
            <w:tcW w:w="5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As of December 31, 2018,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2"/>
            <w:vMerge w:val="restart"/>
          </w:tcPr>
          <w:p>
            <w:pPr>
              <w:jc w:val="center"/>
              <w:ind w:left="508"/>
              <w:spacing w:after="0"/>
              <w:rPr>
                <w:sz w:val="20"/>
                <w:szCs w:val="20"/>
                <w:color w:val="auto"/>
              </w:rPr>
            </w:pPr>
            <w:r>
              <w:rPr>
                <w:rFonts w:ascii="Arial" w:cs="Arial" w:eastAsia="Arial" w:hAnsi="Arial"/>
                <w:sz w:val="14"/>
                <w:szCs w:val="14"/>
                <w:b w:val="1"/>
                <w:bCs w:val="1"/>
                <w:color w:val="auto"/>
                <w:w w:val="91"/>
              </w:rPr>
              <w:t>Quoted Prices in</w:t>
            </w:r>
          </w:p>
        </w:tc>
        <w:tc>
          <w:tcPr>
            <w:tcW w:w="5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58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w:t>
            </w:r>
          </w:p>
        </w:tc>
        <w:tc>
          <w:tcPr>
            <w:tcW w:w="16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3"/>
              </w:rPr>
              <w:t>Carrying Value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280" w:type="dxa"/>
            <w:vAlign w:val="bottom"/>
            <w:gridSpan w:val="3"/>
          </w:tcPr>
          <w:p>
            <w:pPr>
              <w:jc w:val="center"/>
              <w:ind w:left="479"/>
              <w:spacing w:after="0" w:line="149" w:lineRule="exact"/>
              <w:rPr>
                <w:sz w:val="20"/>
                <w:szCs w:val="20"/>
                <w:color w:val="auto"/>
              </w:rPr>
            </w:pPr>
            <w:r>
              <w:rPr>
                <w:rFonts w:ascii="Arial" w:cs="Arial" w:eastAsia="Arial" w:hAnsi="Arial"/>
                <w:sz w:val="14"/>
                <w:szCs w:val="14"/>
                <w:b w:val="1"/>
                <w:bCs w:val="1"/>
                <w:color w:val="auto"/>
                <w:w w:val="94"/>
              </w:rPr>
              <w:t>Observable</w:t>
            </w:r>
          </w:p>
        </w:tc>
        <w:tc>
          <w:tcPr>
            <w:tcW w:w="1500" w:type="dxa"/>
            <w:vAlign w:val="bottom"/>
            <w:gridSpan w:val="3"/>
          </w:tcPr>
          <w:p>
            <w:pPr>
              <w:jc w:val="center"/>
              <w:ind w:left="42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Measurement</w:t>
            </w:r>
          </w:p>
        </w:tc>
        <w:tc>
          <w:tcPr>
            <w:tcW w:w="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w w:val="90"/>
              </w:rPr>
              <w:t>December 31, 2018</w:t>
            </w:r>
          </w:p>
        </w:tc>
        <w:tc>
          <w:tcPr>
            <w:tcW w:w="172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December 31, 2018</w:t>
            </w:r>
          </w:p>
        </w:tc>
        <w:tc>
          <w:tcPr>
            <w:tcW w:w="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58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724</w:t>
            </w:r>
          </w:p>
        </w:tc>
        <w:tc>
          <w:tcPr>
            <w:tcW w:w="58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Long-Term Borrowings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2018</w:t>
            </w: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tcBorders>
              <w:top w:val="single" w:sz="8" w:color="auto"/>
            </w:tcBorders>
          </w:tcPr>
          <w:p>
            <w:pPr>
              <w:jc w:val="center"/>
              <w:ind w:left="82"/>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center"/>
              <w:ind w:left="82"/>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w w:val="99"/>
              </w:rPr>
              <w:t>(In thousands of US dollars)</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5.0% Exchangeable Senior Notes due March 2021 (Level 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81,594</w:t>
            </w:r>
          </w:p>
        </w:tc>
        <w:tc>
          <w:tcPr>
            <w:tcW w:w="860" w:type="dxa"/>
            <w:vAlign w:val="bottom"/>
          </w:tcPr>
          <w:p>
            <w:pPr>
              <w:jc w:val="center"/>
              <w:ind w:left="82"/>
              <w:spacing w:after="0"/>
              <w:rPr>
                <w:sz w:val="20"/>
                <w:szCs w:val="20"/>
                <w:color w:val="auto"/>
              </w:rPr>
            </w:pPr>
            <w:r>
              <w:rPr>
                <w:rFonts w:ascii="Arial" w:cs="Arial" w:eastAsia="Arial" w:hAnsi="Arial"/>
                <w:sz w:val="18"/>
                <w:szCs w:val="18"/>
                <w:color w:val="auto"/>
                <w:w w:val="87"/>
              </w:rPr>
              <w:t>$ 116,078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81,418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Senior Notes due July 2021 (Level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222,561</w:t>
            </w:r>
          </w:p>
        </w:tc>
        <w:tc>
          <w:tcPr>
            <w:tcW w:w="86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93"/>
              </w:rPr>
              <w:t>$219,765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222,159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202,046</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10, “Long-Term Borrowings.”</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On July 18, 2013, the Company issued 6.625% senior notes due July 15, 2021 (the “2021 Notes”) of $225,000 thousand, which represents the principal amount, excluding $1,125 thousand of original issue discount and $5,039 thousand of debt issuance costs. In December 2018 and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10, “Long-Term Borrowings.”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Values Measured on a Non-recurring Basis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September 30, 2019 and 2018, the Company did not have any assets or liabilities measured at fair value on a non-recurring basis.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Long-Term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September 30, 2019 and December 31, 2018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224,250</w:t>
            </w:r>
          </w:p>
        </w:tc>
        <w:tc>
          <w:tcPr>
            <w:tcW w:w="2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w w:val="99"/>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and nine months ended September 30, 2019 were $1,404 thousand and $4,206 thousand, respectively. Interest expense related to the Exchangeable Notes for the three and nine months ended September 30, 2018 were $1,422 thousand and $4,251 thousand, respectively.</w:t>
      </w:r>
    </w:p>
    <w:p>
      <w:pPr>
        <w:spacing w:after="0" w:line="173"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nine months ended September 30, 2019.</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On or after July 15, 2019, the Company can optionally redeem all or a part of the 2021 Notes at a redemption price equal to 100% of the principal amount of the notes plus accrued and unpaid interest and special interest, if any, on the notes redeemed, to the applicable date of redemption.</w:t>
      </w:r>
    </w:p>
    <w:p>
      <w:pPr>
        <w:spacing w:after="0" w:line="124"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 related to the 2021 Notes for the three and nine months ended September 30, 2019 was $3,935 thousand and $11,794 thousand, respectively. Interest expense related to the 2021 Notes for the three and nine months ended September 30, 2018 was $3,933 thousand and $11,785 thousand, respectively.</w:t>
      </w:r>
    </w:p>
    <w:p>
      <w:pPr>
        <w:spacing w:after="0" w:line="15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nine months ended September 30, 2019.</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Accrued Severance Benefits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2019, 98% of employees of the Company were eligible for severance benefits.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9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28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auto"/>
              </w:rPr>
              <w:t>September 30, 2019</w:t>
            </w:r>
          </w:p>
        </w:tc>
        <w:tc>
          <w:tcPr>
            <w:tcW w:w="80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auto"/>
              </w:rPr>
              <w:t>September 30, 2018</w:t>
            </w: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146,261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146,375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149,795</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Provisions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4,085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10,491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5,521</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14,686</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(1,616)</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(3,250)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(9,004)</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(5,413)</w:t>
            </w:r>
          </w:p>
        </w:tc>
        <w:tc>
          <w:tcPr>
            <w:tcW w:w="4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(10,387)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1,194</w:t>
            </w: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(5,637)</w:t>
            </w:r>
          </w:p>
        </w:tc>
      </w:tr>
      <w:tr>
        <w:trPr>
          <w:trHeight w:val="27"/>
        </w:trPr>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143,317</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149,840</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149,840</w:t>
            </w:r>
          </w:p>
        </w:tc>
        <w:tc>
          <w:tcPr>
            <w:tcW w:w="100" w:type="dxa"/>
            <w:vAlign w:val="bottom"/>
            <w:shd w:val="clear" w:color="auto" w:fill="CCEEFF"/>
          </w:tcPr>
          <w:p>
            <w:pPr>
              <w:spacing w:after="0"/>
              <w:rPr>
                <w:sz w:val="18"/>
                <w:szCs w:val="18"/>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Less: Cumulative contributions to</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severance insurance deposit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accounts</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(3,760)</w:t>
            </w:r>
          </w:p>
        </w:tc>
        <w:tc>
          <w:tcPr>
            <w:tcW w:w="4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(3,760)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(858)</w:t>
            </w:r>
          </w:p>
        </w:tc>
        <w:tc>
          <w:tcPr>
            <w:tcW w:w="4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r>
      <w:tr>
        <w:trPr>
          <w:trHeight w:val="216"/>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National Pension Fund</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(211)</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r>
      <w:tr>
        <w:trPr>
          <w:trHeight w:val="202"/>
        </w:trPr>
        <w:tc>
          <w:tcPr>
            <w:tcW w:w="2840" w:type="dxa"/>
            <w:vAlign w:val="bottom"/>
          </w:tcPr>
          <w:p>
            <w:pPr>
              <w:ind w:left="360"/>
              <w:spacing w:after="0" w:line="201" w:lineRule="exact"/>
              <w:rPr>
                <w:sz w:val="20"/>
                <w:szCs w:val="20"/>
                <w:color w:val="auto"/>
              </w:rPr>
            </w:pPr>
            <w:r>
              <w:rPr>
                <w:rFonts w:ascii="Arial" w:cs="Arial" w:eastAsia="Arial" w:hAnsi="Arial"/>
                <w:sz w:val="18"/>
                <w:szCs w:val="18"/>
                <w:color w:val="auto"/>
              </w:rPr>
              <w:t>Group severance insurance</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Pr>
          <w:p>
            <w:pPr>
              <w:ind w:left="540"/>
              <w:spacing w:after="0"/>
              <w:rPr>
                <w:sz w:val="20"/>
                <w:szCs w:val="20"/>
                <w:color w:val="auto"/>
              </w:rPr>
            </w:pPr>
            <w:r>
              <w:rPr>
                <w:rFonts w:ascii="Arial" w:cs="Arial" w:eastAsia="Arial" w:hAnsi="Arial"/>
                <w:sz w:val="18"/>
                <w:szCs w:val="18"/>
                <w:color w:val="auto"/>
              </w:rPr>
              <w:t>plan</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(552)</w:t>
            </w:r>
          </w:p>
        </w:tc>
        <w:tc>
          <w:tcPr>
            <w:tcW w:w="4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r>
      <w:tr>
        <w:trPr>
          <w:trHeight w:val="27"/>
        </w:trPr>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138,794</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138,794</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148,148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right="220" w:firstLine="441"/>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Beginning in July 2018, the Company has contributed a certain percentage of severance benefits, accrued for eligible employees for their services from January 1, 2018, to certain severance insurance deposit accounts.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620" w:type="dxa"/>
            <w:vAlign w:val="bottom"/>
            <w:gridSpan w:val="4"/>
          </w:tcPr>
          <w:p>
            <w:pPr>
              <w:ind w:left="2480"/>
              <w:spacing w:after="0"/>
              <w:rPr>
                <w:sz w:val="20"/>
                <w:szCs w:val="20"/>
                <w:color w:val="auto"/>
              </w:rPr>
            </w:pPr>
            <w:r>
              <w:rPr>
                <w:rFonts w:ascii="Arial" w:cs="Arial" w:eastAsia="Arial" w:hAnsi="Arial"/>
                <w:sz w:val="14"/>
                <w:szCs w:val="14"/>
                <w:b w:val="1"/>
                <w:bCs w:val="1"/>
                <w:color w:val="auto"/>
                <w:w w:val="93"/>
              </w:rPr>
              <w:t>Severance benefit</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2020</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2022</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1,243</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2,531</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2025 – 2029</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Foreign Currency Gain (Loss), Net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September 30, 2019 and December 31, 2018, the outstanding intercompany loan balances including accrued interest between the Korean subsidiary and the Dutch subsidiary were $679,585 thousand and $666,597 thousand, respectively. The Korean won to U.S. dollar exchange rates were 1,201.3:1, 1,118.1:1 using the first base rate as of September 30, 2019 and December 31, 2018, respectively, as quoted by the KEB Hana Bank.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Income tax expense recorded for the three and nine months ended September 30, 2019 was $1,454 thousand and $3,107 thousand, respectively. Income tax expense recorded for the three and nine months ended September 30, 2018 was $1,608 thousand and $4,119 thousand, respectively. Income tax expense was recorded for the Company’s Korean subsidiary based on the estimated taxable income for the respective periods, combined with its ability to utilize net operating loss carryforwards up to 70% in 2018 and 60% in 2019.</w:t>
      </w:r>
    </w:p>
    <w:p>
      <w:pPr>
        <w:spacing w:after="0" w:line="17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December 22, 2017, H.R. 1, originally known as the Tax Cuts and Jobs Act, was enacted in the U.S. (the “Tax Reform Act”). The Tax Reform Act reduces the U.S. federal statutory rate to 21.0% from 35.0% effective January 1, 2018. The Tax Reform Act contains several key provisions, including global intangible low tax income and foreign derived intangible income provisions. For the year ended December 31, 2018, the Company analyzed the mandatory deemed repatriation tax and concluded that the Company has no tax liability on previously untaxed accumulated earnings and profits of its foreign subsidiaries. Based on the review of the additional guidance and proposed regulations issued during the third quarter of 2019, there was no significant impact on the Company’s consolidated financial statements for the nine months ended September 30, 2019.</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Geographic and Segment Information</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Company has two operating segments: its Foundry Services Group and Standard Products Group. The Company’s chief operating decision maker is its Chief Executive Officer, who allocates resources and assesses performance of the business and other activities based on gross profit.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60" w:type="dxa"/>
            <w:vAlign w:val="bottom"/>
            <w:tcBorders>
              <w:top w:val="single" w:sz="8" w:color="auto"/>
            </w:tcBorders>
            <w:gridSpan w:val="3"/>
          </w:tcPr>
          <w:p>
            <w:pPr>
              <w:jc w:val="center"/>
              <w:ind w:left="35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6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60" w:type="dxa"/>
            <w:vAlign w:val="bottom"/>
            <w:tcBorders>
              <w:top w:val="single" w:sz="8" w:color="auto"/>
            </w:tcBorders>
            <w:gridSpan w:val="3"/>
          </w:tcPr>
          <w:p>
            <w:pPr>
              <w:jc w:val="center"/>
              <w:ind w:left="35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90,340</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83,862</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220,513</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242,198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90,550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77,578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233,041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48,690</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44,458</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138,443</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Total Standard Products Group</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139,240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122,036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371,484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329,139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700"/>
              <w:spacing w:after="0"/>
              <w:rPr>
                <w:sz w:val="20"/>
                <w:szCs w:val="20"/>
                <w:color w:val="auto"/>
              </w:rPr>
            </w:pPr>
            <w:r>
              <w:rPr>
                <w:rFonts w:ascii="Arial" w:cs="Arial" w:eastAsia="Arial" w:hAnsi="Arial"/>
                <w:sz w:val="18"/>
                <w:szCs w:val="18"/>
                <w:color w:val="auto"/>
              </w:rPr>
              <w:t>Total net sales</w:t>
            </w: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229,677</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592,202</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571,504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60" w:type="dxa"/>
            <w:vAlign w:val="bottom"/>
            <w:tcBorders>
              <w:top w:val="single" w:sz="8" w:color="auto"/>
            </w:tcBorders>
            <w:gridSpan w:val="3"/>
          </w:tcPr>
          <w:p>
            <w:pPr>
              <w:jc w:val="center"/>
              <w:ind w:left="35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6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60" w:type="dxa"/>
            <w:vAlign w:val="bottom"/>
            <w:tcBorders>
              <w:top w:val="single" w:sz="8" w:color="auto"/>
            </w:tcBorders>
            <w:gridSpan w:val="3"/>
          </w:tcPr>
          <w:p>
            <w:pPr>
              <w:jc w:val="center"/>
              <w:ind w:left="359"/>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25,547</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20,443</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41,361</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63,292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60,866</w:t>
            </w:r>
          </w:p>
        </w:tc>
        <w:tc>
          <w:tcPr>
            <w:tcW w:w="6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55,749</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127,407</w:t>
            </w:r>
          </w:p>
        </w:tc>
        <w:tc>
          <w:tcPr>
            <w:tcW w:w="6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revenue for Foundry Services Group is disaggregated depending on the timing of revenue recognition (in thousands):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11"/>
          </w:tcPr>
          <w:p>
            <w:pPr>
              <w:ind w:left="140"/>
              <w:spacing w:after="0"/>
              <w:rPr>
                <w:sz w:val="20"/>
                <w:szCs w:val="20"/>
                <w:color w:val="auto"/>
              </w:rPr>
            </w:pPr>
            <w:r>
              <w:rPr>
                <w:rFonts w:ascii="Arial" w:cs="Arial" w:eastAsia="Arial" w:hAnsi="Arial"/>
                <w:sz w:val="14"/>
                <w:szCs w:val="14"/>
                <w:b w:val="1"/>
                <w:bCs w:val="1"/>
                <w:color w:val="auto"/>
              </w:rPr>
              <w:t>Three Months Ended September 30, 2019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7"/>
          </w:tcPr>
          <w:p>
            <w:pPr>
              <w:ind w:left="260"/>
              <w:spacing w:after="0"/>
              <w:rPr>
                <w:sz w:val="20"/>
                <w:szCs w:val="20"/>
                <w:color w:val="auto"/>
              </w:rPr>
            </w:pPr>
            <w:r>
              <w:rPr>
                <w:rFonts w:ascii="Arial" w:cs="Arial" w:eastAsia="Arial" w:hAnsi="Arial"/>
                <w:sz w:val="14"/>
                <w:szCs w:val="14"/>
                <w:b w:val="1"/>
                <w:bCs w:val="1"/>
                <w:color w:val="auto"/>
              </w:rPr>
              <w:t>Nine Months Ended September 30,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20" w:type="dxa"/>
            <w:vAlign w:val="bottom"/>
            <w:tcBorders>
              <w:top w:val="single" w:sz="8" w:color="auto"/>
            </w:tcBorders>
            <w:gridSpan w:val="5"/>
          </w:tcPr>
          <w:p>
            <w:pPr>
              <w:ind w:left="20"/>
              <w:spacing w:after="0" w:line="119" w:lineRule="exact"/>
              <w:rPr>
                <w:sz w:val="20"/>
                <w:szCs w:val="20"/>
                <w:color w:val="auto"/>
              </w:rPr>
            </w:pPr>
            <w:r>
              <w:rPr>
                <w:rFonts w:ascii="Arial" w:cs="Arial" w:eastAsia="Arial" w:hAnsi="Arial"/>
                <w:sz w:val="13"/>
                <w:szCs w:val="13"/>
                <w:b w:val="1"/>
                <w:bCs w:val="1"/>
                <w:color w:val="auto"/>
              </w:rPr>
              <w:t>Revenue recognized</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Revenue</w:t>
            </w: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at the time of</w:t>
            </w:r>
          </w:p>
        </w:tc>
        <w:tc>
          <w:tcPr>
            <w:tcW w:w="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at the time of</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shipment or delivery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over time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0" w:type="dxa"/>
            <w:vAlign w:val="bottom"/>
            <w:gridSpan w:val="5"/>
          </w:tcPr>
          <w:p>
            <w:pPr>
              <w:jc w:val="center"/>
              <w:ind w:left="196"/>
              <w:spacing w:after="0"/>
              <w:rPr>
                <w:sz w:val="20"/>
                <w:szCs w:val="20"/>
                <w:color w:val="auto"/>
              </w:rPr>
            </w:pPr>
            <w:r>
              <w:rPr>
                <w:rFonts w:ascii="Arial" w:cs="Arial" w:eastAsia="Arial" w:hAnsi="Arial"/>
                <w:sz w:val="14"/>
                <w:szCs w:val="14"/>
                <w:b w:val="1"/>
                <w:bCs w:val="1"/>
                <w:color w:val="auto"/>
                <w:w w:val="93"/>
              </w:rPr>
              <w:t>shipment or delivery</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18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43,328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4"/>
              </w:rPr>
              <w:t>$ 47,012</w:t>
            </w:r>
          </w:p>
        </w:tc>
        <w:tc>
          <w:tcPr>
            <w:tcW w:w="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$90,340</w:t>
            </w:r>
          </w:p>
        </w:tc>
        <w:tc>
          <w:tcPr>
            <w:tcW w:w="2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102,888</w:t>
            </w:r>
          </w:p>
        </w:tc>
        <w:tc>
          <w:tcPr>
            <w:tcW w:w="20" w:type="dxa"/>
            <w:vAlign w:val="bottom"/>
          </w:tcPr>
          <w:p>
            <w:pPr>
              <w:spacing w:after="0"/>
              <w:rPr>
                <w:sz w:val="20"/>
                <w:szCs w:val="20"/>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w w:val="90"/>
              </w:rPr>
              <w:t>$117,625</w:t>
            </w:r>
          </w:p>
        </w:tc>
        <w:tc>
          <w:tcPr>
            <w:tcW w:w="10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$220,513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11"/>
          </w:tcPr>
          <w:p>
            <w:pPr>
              <w:ind w:left="180"/>
              <w:spacing w:after="0"/>
              <w:rPr>
                <w:sz w:val="20"/>
                <w:szCs w:val="20"/>
                <w:color w:val="auto"/>
              </w:rPr>
            </w:pPr>
            <w:r>
              <w:rPr>
                <w:rFonts w:ascii="Arial" w:cs="Arial" w:eastAsia="Arial" w:hAnsi="Arial"/>
                <w:sz w:val="14"/>
                <w:szCs w:val="14"/>
                <w:b w:val="1"/>
                <w:bCs w:val="1"/>
                <w:color w:val="auto"/>
              </w:rPr>
              <w:t>Three Months Ended September 30, 2018</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7"/>
          </w:tcPr>
          <w:p>
            <w:pPr>
              <w:ind w:left="260"/>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Borders>
              <w:top w:val="single" w:sz="8" w:color="auto"/>
            </w:tcBorders>
            <w:gridSpan w:val="4"/>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Revenue</w:t>
            </w: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at the time of</w:t>
            </w:r>
          </w:p>
        </w:tc>
        <w:tc>
          <w:tcPr>
            <w:tcW w:w="8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at the time of</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shipment or delivery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shipment or delivery</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18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26,257</w:t>
            </w:r>
          </w:p>
        </w:tc>
        <w:tc>
          <w:tcPr>
            <w:tcW w:w="220" w:type="dxa"/>
            <w:vAlign w:val="bottom"/>
          </w:tcPr>
          <w:p>
            <w:pPr>
              <w:spacing w:after="0"/>
              <w:rPr>
                <w:sz w:val="20"/>
                <w:szCs w:val="20"/>
                <w:color w:val="auto"/>
              </w:rPr>
            </w:pPr>
          </w:p>
        </w:tc>
        <w:tc>
          <w:tcPr>
            <w:tcW w:w="760" w:type="dxa"/>
            <w:vAlign w:val="bottom"/>
            <w:gridSpan w:val="4"/>
          </w:tcPr>
          <w:p>
            <w:pPr>
              <w:jc w:val="center"/>
              <w:ind w:left="16"/>
              <w:spacing w:after="0"/>
              <w:rPr>
                <w:sz w:val="20"/>
                <w:szCs w:val="20"/>
                <w:color w:val="auto"/>
              </w:rPr>
            </w:pPr>
            <w:r>
              <w:rPr>
                <w:rFonts w:ascii="Arial" w:cs="Arial" w:eastAsia="Arial" w:hAnsi="Arial"/>
                <w:sz w:val="18"/>
                <w:szCs w:val="18"/>
                <w:color w:val="auto"/>
                <w:w w:val="94"/>
              </w:rPr>
              <w:t>$ 57,605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$83,862</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52,024</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w w:val="90"/>
              </w:rPr>
              <w:t>$190,174</w:t>
            </w:r>
          </w:p>
        </w:tc>
        <w:tc>
          <w:tcPr>
            <w:tcW w:w="10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$242,198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420" w:type="dxa"/>
            <w:vAlign w:val="bottom"/>
            <w:tcBorders>
              <w:top w:val="single" w:sz="8" w:color="auto"/>
            </w:tcBorders>
            <w:gridSpan w:val="3"/>
          </w:tcPr>
          <w:p>
            <w:pPr>
              <w:ind w:left="5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138,125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12,916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8"/>
                <w:szCs w:val="18"/>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229,677</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420" w:type="dxa"/>
            <w:vAlign w:val="bottom"/>
            <w:tcBorders>
              <w:top w:val="single" w:sz="8" w:color="auto"/>
            </w:tcBorders>
            <w:gridSpan w:val="3"/>
          </w:tcPr>
          <w:p>
            <w:pPr>
              <w:ind w:left="5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342,413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302,906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36,935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40" w:type="dxa"/>
            <w:vAlign w:val="bottom"/>
            <w:shd w:val="clear" w:color="auto" w:fill="CCEEFF"/>
          </w:tcPr>
          <w:p>
            <w:pPr>
              <w:spacing w:after="0"/>
              <w:rPr>
                <w:sz w:val="18"/>
                <w:szCs w:val="18"/>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571,504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For the three months ended September 30, 2019 and 2018, of the Company’s net sales in Asia Pacific (other than Korea), net sales in Greater China (China, Hong Kong and Macau) represented 73.4% and 64.1%, respectively, and net sales in Taiwan represented 22.3% and 29.7%, respectively.</w:t>
      </w:r>
    </w:p>
    <w:p>
      <w:pPr>
        <w:spacing w:after="0" w:line="124"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nine months ended September 30, 2019 and 2018, of the Company’s net sales in Asia Pacific (other than Korea), net sales in Greater China (China, Hong Kong and Macau) represented 75.9% and 67.6%, respectively, and net sales in Taiwan represented 20.4% and 25.8%, respectively.</w:t>
      </w:r>
    </w:p>
    <w:p>
      <w:pPr>
        <w:spacing w:after="0" w:line="12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Net sales from the Company’s top ten largest customers accounted for 69% and 65% for the three months ended September 30, 2019 and 2018, respectively, and 68% and 62% for the nine months ended September 30, 2019 and 2018, respectively.</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three months ended September 30, 2019, the Company had one customer that represented 34.0% of its net sales, and for the nine months ended September 30, 2019, the Company had one customer that represented 33.0% of its net sales.</w:t>
      </w:r>
    </w:p>
    <w:p>
      <w:pPr>
        <w:spacing w:after="0" w:line="17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For the three months ended September 30, 2018, the Company had two customers that represented 18.8% and 17.6% of its net sales, respectively, and for the nine months ended September 30, 2018, the Company had two customers that represented 21.6% and 13.0% of its net sales, respectively.</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98% of the Company’s property, plant and equipment are located in Korea as of September 30, 2019.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September 30, 2019 and December 31, 2018, respectively (in thousands):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7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right="620" w:firstLine="441"/>
        <w:spacing w:after="0" w:line="276" w:lineRule="auto"/>
        <w:rPr>
          <w:sz w:val="20"/>
          <w:szCs w:val="20"/>
          <w:color w:val="auto"/>
        </w:rPr>
      </w:pPr>
      <w:r>
        <w:rPr>
          <w:rFonts w:ascii="Arial" w:cs="Arial" w:eastAsia="Arial" w:hAnsi="Arial"/>
          <w:sz w:val="18"/>
          <w:szCs w:val="18"/>
          <w:color w:val="auto"/>
        </w:rPr>
        <w:t>Changes in accumulated other comprehensive income (loss) for the three months ended September 30, 2019 and 2018 are as follows (in thousands):</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48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(5,077</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15,931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(2,803)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560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15,931</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2018</w:t>
            </w:r>
          </w:p>
        </w:tc>
        <w:tc>
          <w:tcPr>
            <w:tcW w:w="48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6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(18,780</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(1,279</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(20,059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60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Changes in accumulated other comprehensive income (loss) for the nine months ended September 30, 2019 and 2018 are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(20,061</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(20,110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30,915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(5,703)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30,915</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(2,150)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(38,413</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(33,114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15,806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15,806</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(5,392)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There was no income tax impact related to changes in accumulated other comprehensive income (loss) for the nine months ended September 30, 2019 and 2018 due to net operating loss carry-forwards available to offset taxable income and full allowance for deferred tax assets.</w:t>
      </w:r>
    </w:p>
    <w:p>
      <w:pPr>
        <w:spacing w:after="0" w:line="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240" w:top="459"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Earnings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three and nine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 and 2018:</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Net income (loss)</w:t>
      </w:r>
    </w:p>
    <w:p>
      <w:pPr>
        <w:spacing w:after="0" w:line="49" w:lineRule="exact"/>
        <w:rPr>
          <w:sz w:val="20"/>
          <w:szCs w:val="20"/>
          <w:color w:val="auto"/>
        </w:rPr>
      </w:pPr>
    </w:p>
    <w:p>
      <w:pPr>
        <w:ind w:left="1520" w:right="1420"/>
        <w:spacing w:after="0" w:line="258" w:lineRule="auto"/>
        <w:rPr>
          <w:sz w:val="20"/>
          <w:szCs w:val="20"/>
          <w:color w:val="auto"/>
        </w:rPr>
      </w:pPr>
      <w:r>
        <w:rPr>
          <w:rFonts w:ascii="Arial" w:cs="Arial" w:eastAsia="Arial" w:hAnsi="Arial"/>
          <w:sz w:val="18"/>
          <w:szCs w:val="18"/>
          <w:color w:val="auto"/>
        </w:rPr>
        <w:t>Basic weighted average common stock outstanding 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-273050</wp:posOffset>
            </wp:positionV>
            <wp:extent cx="531685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b w:val="1"/>
          <w:bCs w:val="1"/>
          <w:color w:val="auto"/>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531685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1520" w:right="1320"/>
        <w:spacing w:after="0" w:line="325" w:lineRule="auto"/>
        <w:rPr>
          <w:sz w:val="20"/>
          <w:szCs w:val="20"/>
          <w:color w:val="auto"/>
        </w:rPr>
      </w:pPr>
      <w:r>
        <w:rPr>
          <w:rFonts w:ascii="Arial" w:cs="Arial" w:eastAsia="Arial" w:hAnsi="Arial"/>
          <w:sz w:val="16"/>
          <w:szCs w:val="16"/>
          <w:color w:val="auto"/>
        </w:rPr>
        <w:t>Add back: Interest expense on Exchangeable Notes Net income (loss) allocated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-315595</wp:posOffset>
            </wp:positionV>
            <wp:extent cx="531685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520" w:right="1420"/>
        <w:spacing w:after="0" w:line="274" w:lineRule="auto"/>
        <w:rPr>
          <w:sz w:val="20"/>
          <w:szCs w:val="20"/>
          <w:color w:val="auto"/>
        </w:rPr>
      </w:pPr>
      <w:r>
        <w:rPr>
          <w:rFonts w:ascii="Arial" w:cs="Arial" w:eastAsia="Arial" w:hAnsi="Arial"/>
          <w:sz w:val="17"/>
          <w:szCs w:val="17"/>
          <w:color w:val="auto"/>
        </w:rPr>
        <w:t>Basic weighted average common stock outstanding Net effect of dilutive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-273685</wp:posOffset>
            </wp:positionV>
            <wp:extent cx="531685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ind w:left="1700" w:right="380" w:hanging="179"/>
        <w:spacing w:after="0" w:line="257" w:lineRule="auto"/>
        <w:rPr>
          <w:sz w:val="20"/>
          <w:szCs w:val="20"/>
          <w:color w:val="auto"/>
        </w:rPr>
      </w:pPr>
      <w:r>
        <w:rPr>
          <w:rFonts w:ascii="Arial" w:cs="Arial" w:eastAsia="Arial" w:hAnsi="Arial"/>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-280670</wp:posOffset>
            </wp:positionV>
            <wp:extent cx="5316855"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6855" cy="274320"/>
                    </a:xfrm>
                    <a:prstGeom prst="rect">
                      <a:avLst/>
                    </a:prstGeom>
                    <a:noFill/>
                  </pic:spPr>
                </pic:pic>
              </a:graphicData>
            </a:graphic>
          </wp:anchor>
        </w:drawing>
      </w:r>
    </w:p>
    <w:p>
      <w:pPr>
        <w:ind w:left="1520" w:right="1280"/>
        <w:spacing w:after="0" w:line="277" w:lineRule="auto"/>
        <w:rPr>
          <w:sz w:val="20"/>
          <w:szCs w:val="20"/>
          <w:color w:val="auto"/>
        </w:rPr>
      </w:pPr>
      <w:r>
        <w:rPr>
          <w:rFonts w:ascii="Arial" w:cs="Arial" w:eastAsia="Arial" w:hAnsi="Arial"/>
          <w:sz w:val="18"/>
          <w:szCs w:val="18"/>
          <w:color w:val="auto"/>
        </w:rPr>
        <w:t>Diluted weighted average common stock outstanding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-156210</wp:posOffset>
            </wp:positionV>
            <wp:extent cx="531685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-119380</wp:posOffset>
            </wp:positionV>
            <wp:extent cx="531685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Net loss</w:t>
      </w:r>
    </w:p>
    <w:p>
      <w:pPr>
        <w:spacing w:after="0" w:line="49" w:lineRule="exact"/>
        <w:rPr>
          <w:sz w:val="20"/>
          <w:szCs w:val="20"/>
          <w:color w:val="auto"/>
        </w:rPr>
      </w:pPr>
    </w:p>
    <w:p>
      <w:pPr>
        <w:ind w:left="1520" w:right="560"/>
        <w:spacing w:after="0" w:line="277" w:lineRule="auto"/>
        <w:rPr>
          <w:sz w:val="20"/>
          <w:szCs w:val="20"/>
          <w:color w:val="auto"/>
        </w:rPr>
      </w:pPr>
      <w:r>
        <w:rPr>
          <w:rFonts w:ascii="Arial" w:cs="Arial" w:eastAsia="Arial" w:hAnsi="Arial"/>
          <w:sz w:val="18"/>
          <w:szCs w:val="18"/>
          <w:color w:val="auto"/>
        </w:rPr>
        <w:t>Basic and diluted weighted average common stock outstanding 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-293370</wp:posOffset>
            </wp:positionV>
            <wp:extent cx="531685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ind w:right="12"/>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6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17,222</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34,357,745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34,573,377</w:t>
            </w:r>
          </w:p>
        </w:tc>
        <w:tc>
          <w:tcPr>
            <w:tcW w:w="60" w:type="dxa"/>
            <w:vAlign w:val="bottom"/>
          </w:tcPr>
          <w:p>
            <w:pPr>
              <w:spacing w:after="0"/>
              <w:rPr>
                <w:sz w:val="17"/>
                <w:szCs w:val="17"/>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20"/>
                <w:szCs w:val="20"/>
                <w:color w:val="auto"/>
              </w:rPr>
            </w:pPr>
          </w:p>
        </w:tc>
      </w:tr>
      <w:tr>
        <w:trPr>
          <w:trHeight w:val="418"/>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(1,607)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17,222</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6"/>
              </w:rPr>
              <w:t>34,357,745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8"/>
              </w:rPr>
              <w:t>34,573,377</w:t>
            </w: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1,000,020</w:t>
            </w: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10,448,213</w:t>
            </w:r>
          </w:p>
        </w:tc>
        <w:tc>
          <w:tcPr>
            <w:tcW w:w="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34,357,745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46,021,610</w:t>
            </w:r>
          </w:p>
        </w:tc>
        <w:tc>
          <w:tcPr>
            <w:tcW w:w="60" w:type="dxa"/>
            <w:vAlign w:val="bottom"/>
          </w:tcPr>
          <w:p>
            <w:pPr>
              <w:spacing w:after="0"/>
              <w:rPr>
                <w:sz w:val="18"/>
                <w:szCs w:val="18"/>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19"/>
        </w:trPr>
        <w:tc>
          <w:tcPr>
            <w:tcW w:w="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ind w:right="12"/>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60" w:type="dxa"/>
            <w:vAlign w:val="bottom"/>
          </w:tcPr>
          <w:p>
            <w:pPr>
              <w:spacing w:after="0"/>
              <w:rPr>
                <w:sz w:val="10"/>
                <w:szCs w:val="10"/>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(45,252)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(1,520)</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34,266,513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34,416,887</w:t>
            </w:r>
          </w:p>
        </w:tc>
        <w:tc>
          <w:tcPr>
            <w:tcW w:w="60" w:type="dxa"/>
            <w:vAlign w:val="bottom"/>
          </w:tcPr>
          <w:p>
            <w:pPr>
              <w:spacing w:after="0"/>
              <w:rPr>
                <w:sz w:val="17"/>
                <w:szCs w:val="17"/>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(0.04)</w:t>
            </w:r>
          </w:p>
        </w:tc>
      </w:tr>
    </w:tbl>
    <w:p>
      <w:pPr>
        <w:spacing w:after="0" w:line="201" w:lineRule="exact"/>
        <w:rPr>
          <w:sz w:val="20"/>
          <w:szCs w:val="20"/>
          <w:color w:val="auto"/>
        </w:rPr>
      </w:pPr>
    </w:p>
    <w:p>
      <w:pPr>
        <w:sectPr>
          <w:pgSz w:w="11900" w:h="16838" w:orient="portrait"/>
          <w:cols w:equalWidth="0" w:num="2">
            <w:col w:w="6640" w:space="720"/>
            <w:col w:w="3800"/>
          </w:cols>
          <w:pgMar w:left="240" w:top="459" w:right="499" w:bottom="1440" w:gutter="0" w:footer="0" w:header="0"/>
          <w:type w:val="continuous"/>
        </w:sectPr>
      </w:pPr>
    </w:p>
    <w:p>
      <w:pPr>
        <w:ind w:left="200" w:right="360" w:firstLine="441"/>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0" w:type="dxa"/>
            <w:vAlign w:val="bottom"/>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4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20" w:type="dxa"/>
            <w:vAlign w:val="bottom"/>
            <w:tcBorders>
              <w:top w:val="single" w:sz="8" w:color="auto"/>
            </w:tcBorders>
            <w:gridSpan w:val="2"/>
          </w:tcPr>
          <w:p>
            <w:pPr>
              <w:ind w:left="4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20" w:type="dxa"/>
            <w:vAlign w:val="bottom"/>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3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0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1320" w:type="dxa"/>
            <w:vAlign w:val="bottom"/>
            <w:gridSpan w:val="2"/>
          </w:tcPr>
          <w:p>
            <w:pPr>
              <w:ind w:left="720"/>
              <w:spacing w:after="0"/>
              <w:rPr>
                <w:sz w:val="20"/>
                <w:szCs w:val="20"/>
                <w:color w:val="auto"/>
              </w:rPr>
            </w:pPr>
            <w:r>
              <w:rPr>
                <w:rFonts w:ascii="Arial" w:cs="Arial" w:eastAsia="Arial" w:hAnsi="Arial"/>
                <w:sz w:val="14"/>
                <w:szCs w:val="14"/>
                <w:b w:val="1"/>
                <w:bCs w:val="1"/>
                <w:color w:val="auto"/>
              </w:rPr>
              <w:t>2018</w:t>
            </w:r>
          </w:p>
        </w:tc>
        <w:tc>
          <w:tcPr>
            <w:tcW w:w="130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13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8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2,479,423</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9"/>
              </w:rPr>
              <w:t>723,117</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2,479,423</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592,967</w:t>
            </w:r>
          </w:p>
        </w:tc>
        <w:tc>
          <w:tcPr>
            <w:tcW w:w="44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592,967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581,759</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the three months ended September 30, 2019, 10,144,155, for the nine months ended September 30, 2019, 10,156,810, and for the nine months ended September 30, 2018, 10,448,213, of potential common stock from the assumed conversion of Exchangeable Notes were excluded from the computation of diluted loss per share as the effect was anti-dilutive for the periods.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240" w:top="459"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September 30, 2019 and December 31, 2018, respectively.</w:t>
      </w:r>
    </w:p>
    <w:p>
      <w:pPr>
        <w:spacing w:after="0" w:line="173"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$5,847 thousand and $8,132 thousand as other current assets as of September 30, 2019 and December 31, 2018, respectively.</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February 22, 2019 (“2018 Form 10-K”).</w:t>
      </w:r>
    </w:p>
    <w:p>
      <w:pPr>
        <w:spacing w:after="0" w:line="18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radio frequency applications. We have a proven record with about 40 years of operating history, a portfolio of approximately 3,000 registered patents and pending applications and extensive engineering and manufacturing process expertise.</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two operation segments: our Foundry Services Group and our Standard Products Group. 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Since 2007, we have designed and manufactured organic light emitting diodes (“OLED”) display driver integrated circuits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Evaluation</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On February 14, 2019, we announced that we have undertaken a strategic evaluation of our Foundry Services Group business and the fabrication facility located in Cheongju (“Fab 4”), the larger of our two 8-inch manufacturing facilities. Fab 4 is an analog and mixed-signal fab that produces approximately 73% of our total capacity, and is used primarily to meet wafer demand from customers of our Foundry Services Group that rely on outside suppliers. Certain customer products of our Foundry Service Group are currently manufactured in our smaller 8-inch fabrication facility in Gumi. We have engaged J.P. Morgan Securities LLC as our financial advisor to assist in the evaluation and we have also retained legal advisors to assist in the evaluation. For the nine months ended September 30, 2019, we recorded $2.6 million in legal and consulting service fees incurred in connection with the strategic evaluation and recorded such costs as restructuring and other charges in our consolidated statements of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December 2018, we repurchased a principal amount of $0.5 million and $1.6 million of the 2021 Notes and the Exchangeable Notes, respectively. As a result, we recorded a $0.2 million net loss as early extinguishment loss on our consolidated statements of operations for the year ended December 31, 2018.</w:t>
      </w:r>
    </w:p>
    <w:p>
      <w:pPr>
        <w:spacing w:after="0" w:line="18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In January and February 2019, we additionally repurchased a principal amount of $0.3 million and $0.9 million of the 2021 Notes and the Exchangeable Notes, respectively. As a result, we recorded a $0.04 million net loss as early extinguishment loss on our consolidated statements of operations for the three months ended March 31,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Water Treatment Facility Arrangement</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On June 29, 2018, we entered into an arrangement whereby we acquired a water treatment facility to support our fabrication facility in Gumi, Korea from SK hynix for $4.2 million, and sold it for $4.2 million to a third party management company that we have engaged to run the facility for a 10-year term. This arrangement is accounted for as a financing due to our Korean subsidiary’s continuing involvement with the facility. As a result, on the acquisition date, we recorded the water treatment facility of $4.2 million as property, plant and equipment, net, which is depreciated over its useful life. We also recorded the related liabilities of $0.6 million as other current liabilities and $3.6 million as other non-current liabilities, which relates to the financing and service portion of the arrangement and is amortized using the effective interest method over the contract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5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a result, the aggregate tax and penalty assessment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In addition, KNTS assessed an administrative fine of $2.0 million in connection with the above-described tax audit.</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We recorded the $0.5 million related to employee withholding amounts as other receivables in our consolidated balance sheets as of December 31, 2017, as we expected to obtain reimbursement of the applicable amounts from those employees. Of the $0.5 million, we have collected $0.1 million and established an allowance of $0.4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65"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December 10, 2015, we entered into a Memorandum of Understanding with the plaintiffs’ representatives to settle the Class Action Litigation, as defined and detailed in “Item 8. Financial Statements and Supplementary Data—Notes to Consolidated Financial Statements—Note 18. Commitments and Contingencies” in our 2018 Form 10-K,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8. Financial Statements and Supplementary Data—Notes to Consolidated Financial Statements—Note 18. Commitments and Contingencies” in our 2018 Form 10-K,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May 1, 2017, the SEC announced that it had reached a final settlement with us, resolving the SEC’s investigation, as detailed in “Item 8. Financial Statements and Supplementary Data—Notes to Consolidated Financial Statements—Note 18. Commitments and Contingencies” in our 2018 Form 10-K. In connection therewith,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three months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three months ended June 30, 2017.</w:t>
      </w:r>
    </w:p>
    <w:p>
      <w:pPr>
        <w:spacing w:after="0" w:line="179"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As a result of the Restatement, we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of Restatement related costs for the year ended December 31, 2016. For the three months March 31, 2018, the reversal of a $0.8 million accrual related to certain legal fees, incurred in prior periods and reimbursed by insurers, was recorded as a Restatement related gain.</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w:t>
      </w:r>
    </w:p>
    <w:p>
      <w:pPr>
        <w:spacing w:after="0" w:line="94" w:lineRule="exact"/>
        <w:rPr>
          <w:sz w:val="20"/>
          <w:szCs w:val="20"/>
          <w:color w:val="auto"/>
        </w:rPr>
      </w:pPr>
    </w:p>
    <w:p>
      <w:pPr>
        <w:ind w:left="1180" w:right="20" w:hanging="436"/>
        <w:spacing w:after="0" w:line="287"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semiconductor 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492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Our Foundry Services Group business represented 37.2% and 42.4% of our net sales for the nine months ended September 30, 2019 and September 30, 2018, respectively. Gross profit from our Foundry Services Group business was $41.4 million and $63.3 million for the nine months ended September 30, 2019 and September 30, 2018, respectively.</w:t>
      </w:r>
    </w:p>
    <w:p>
      <w:pPr>
        <w:spacing w:after="0" w:line="78" w:lineRule="exact"/>
        <w:rPr>
          <w:rFonts w:ascii="Arial" w:cs="Arial" w:eastAsia="Arial" w:hAnsi="Arial"/>
          <w:sz w:val="16"/>
          <w:szCs w:val="16"/>
          <w:color w:val="auto"/>
        </w:rPr>
      </w:pPr>
    </w:p>
    <w:p>
      <w:pPr>
        <w:ind w:left="1180" w:hanging="436"/>
        <w:spacing w:after="0" w:line="283"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Our Standard Products Group includes our Display Solutions and Power Solutions business lines. Our Display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Our Standard Products Group, which includes our Display Solutions and Power Solutions business lines, represented 62.7% and 57.6% of our net sales for the nine months ended September 30, 2019 and September 30, 2018, respectively. Gross profit from our Standard Products Group was $85.8 million and</w:t>
      </w:r>
    </w:p>
    <w:p>
      <w:pPr>
        <w:ind w:left="1180"/>
        <w:spacing w:after="0"/>
        <w:rPr>
          <w:rFonts w:ascii="Arial" w:cs="Arial" w:eastAsia="Arial" w:hAnsi="Arial"/>
          <w:sz w:val="16"/>
          <w:szCs w:val="16"/>
          <w:color w:val="auto"/>
        </w:rPr>
      </w:pPr>
      <w:r>
        <w:rPr>
          <w:rFonts w:ascii="Arial" w:cs="Arial" w:eastAsia="Arial" w:hAnsi="Arial"/>
          <w:sz w:val="18"/>
          <w:szCs w:val="18"/>
          <w:color w:val="auto"/>
        </w:rPr>
        <w:t>$90.9 million for the nine months ended September 30, 2019 and September 30, 2018, respectively.</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use the terms Adjusted EBITDA and Adjusted Net Income throughout this Report. Adjusted EBITDA, as we define it, is a non-US GAAP measure. We define Adjusted EBITDA for the periods indicated as EBITDA (as defined below), adjusted to exclude (i) restructuring and other charges,</w:t>
      </w:r>
    </w:p>
    <w:p>
      <w:pPr>
        <w:ind w:left="200" w:right="20" w:firstLine="4"/>
        <w:spacing w:after="0" w:line="255" w:lineRule="auto"/>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equity-based compensation expense, (iii) foreign currency loss (gain), net, (iv) derivative valuation loss, net, (v) restatement related gain, (vi) loss on early extinguishment of long-term borrowings, net and (vii) others. EBITDA for the periods indicated is defined as net income (loss) before interest expense, net, income tax expense, and depreciation and amortization.</w:t>
      </w:r>
    </w:p>
    <w:p>
      <w:pPr>
        <w:spacing w:after="0" w:line="19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1180" w:right="220" w:hanging="436"/>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1180" w:right="400" w:hanging="436"/>
        <w:spacing w:after="0" w:line="286"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70" w:lineRule="exact"/>
        <w:rPr>
          <w:rFonts w:ascii="Arial" w:cs="Arial" w:eastAsia="Arial" w:hAnsi="Arial"/>
          <w:sz w:val="17"/>
          <w:szCs w:val="17"/>
          <w:color w:val="auto"/>
        </w:rPr>
      </w:pPr>
    </w:p>
    <w:p>
      <w:pPr>
        <w:ind w:left="1180" w:right="220" w:hanging="436"/>
        <w:spacing w:after="0" w:line="308"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38"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Nine Months</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4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jc w:val="center"/>
              <w:ind w:left="76"/>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Equity-based compensation expense(b)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Derivative valuation loss, net(d)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gain(e)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02"/>
        </w:trPr>
        <w:tc>
          <w:tcPr>
            <w:tcW w:w="20" w:type="dxa"/>
            <w:vAlign w:val="bottom"/>
          </w:tcPr>
          <w:p>
            <w:pPr>
              <w:spacing w:after="0"/>
              <w:rPr>
                <w:sz w:val="17"/>
                <w:szCs w:val="17"/>
                <w:color w:val="auto"/>
              </w:rPr>
            </w:pPr>
          </w:p>
        </w:tc>
        <w:tc>
          <w:tcPr>
            <w:tcW w:w="4580" w:type="dxa"/>
            <w:vAlign w:val="bottom"/>
          </w:tcPr>
          <w:p>
            <w:pPr>
              <w:ind w:left="340"/>
              <w:spacing w:after="0" w:line="201" w:lineRule="exact"/>
              <w:rPr>
                <w:sz w:val="20"/>
                <w:szCs w:val="20"/>
                <w:color w:val="auto"/>
              </w:rPr>
            </w:pPr>
            <w:r>
              <w:rPr>
                <w:rFonts w:ascii="Arial" w:cs="Arial" w:eastAsia="Arial" w:hAnsi="Arial"/>
                <w:sz w:val="18"/>
                <w:szCs w:val="18"/>
                <w:color w:val="auto"/>
                <w:w w:val="97"/>
              </w:rPr>
              <w:t>Loss on early extinguishment of long-term borrowings,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520"/>
              <w:spacing w:after="0"/>
              <w:rPr>
                <w:sz w:val="20"/>
                <w:szCs w:val="20"/>
                <w:color w:val="auto"/>
              </w:rPr>
            </w:pPr>
            <w:r>
              <w:rPr>
                <w:rFonts w:ascii="Arial" w:cs="Arial" w:eastAsia="Arial" w:hAnsi="Arial"/>
                <w:sz w:val="18"/>
                <w:szCs w:val="18"/>
                <w:color w:val="auto"/>
              </w:rPr>
              <w:t>net(f)</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92"/>
              <w:spacing w:after="0"/>
              <w:rPr>
                <w:sz w:val="20"/>
                <w:szCs w:val="20"/>
                <w:color w:val="auto"/>
              </w:rPr>
            </w:pPr>
            <w:r>
              <w:rPr>
                <w:rFonts w:ascii="Arial" w:cs="Arial" w:eastAsia="Arial" w:hAnsi="Arial"/>
                <w:sz w:val="18"/>
                <w:szCs w:val="18"/>
                <w:color w:val="auto"/>
                <w:w w:val="89"/>
              </w:rPr>
              <w:t>36</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6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three months ended September 30, 2019, this adjustment eliminates $0.8 million in legal and consulting service fees incurred in connection with our strategic evaluation. For the nine months ended September 30, 2019, this adjustment eliminates the impact of a $2.2 million restructuring-related charge to our fab employees and $2.6 million in legal and consulting service fees incurred in connection with our strategic evaluation. As these expenses meaningfully impacted our operating results and are not expected to represent an ongoing operating expense to us, we believe our operating performance results are more usefully compared if these expenses are excluded.</w:t>
      </w:r>
    </w:p>
    <w:p>
      <w:pPr>
        <w:spacing w:after="0" w:line="3"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2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 w:lineRule="exact"/>
        <w:rPr>
          <w:rFonts w:ascii="Arial" w:cs="Arial" w:eastAsia="Arial" w:hAnsi="Arial"/>
          <w:sz w:val="17"/>
          <w:szCs w:val="17"/>
          <w:color w:val="auto"/>
        </w:rPr>
      </w:pPr>
    </w:p>
    <w:p>
      <w:pPr>
        <w:ind w:left="640" w:right="8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For the three and nine months ended September 30, 2019, this adjustment represents derivatives value changes excluded from the risk being hedged. For the three and nine months ended September 30, 2018,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7"/>
          <w:szCs w:val="17"/>
          <w:color w:val="auto"/>
        </w:rPr>
      </w:pPr>
    </w:p>
    <w:p>
      <w:pPr>
        <w:ind w:left="640" w:right="220" w:hanging="436"/>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nine months ended September 30, 2018, this adjustment eliminates the reversal of a $0.8 million accrual related to certain legal fees incurred in prior periods and reimbursed by insurers.</w:t>
      </w:r>
    </w:p>
    <w:p>
      <w:pPr>
        <w:spacing w:after="0" w:line="2"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nine months ended September 30, 2019, this adjustment eliminates $0.04 million in expenses related to the repurchase of a portion of the 2021 Notes and the Exchangeable Notes in the first quarter of 2019.</w:t>
      </w:r>
    </w:p>
    <w:p>
      <w:pPr>
        <w:jc w:val="both"/>
        <w:ind w:left="640" w:right="100" w:hanging="436"/>
        <w:spacing w:after="0" w:line="30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nine months ended September 30, 2019, this adjustment eliminates $0.5 million in legal settlement charge related to a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47" w:lineRule="exact"/>
        <w:rPr>
          <w:rFonts w:ascii="Arial" w:cs="Arial" w:eastAsia="Arial" w:hAnsi="Arial"/>
          <w:sz w:val="16"/>
          <w:szCs w:val="16"/>
          <w:color w:val="auto"/>
        </w:rPr>
      </w:pPr>
    </w:p>
    <w:p>
      <w:pPr>
        <w:ind w:left="640" w:right="160"/>
        <w:spacing w:after="0" w:line="277"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180" w:hanging="436"/>
        <w:spacing w:after="0"/>
        <w:tabs>
          <w:tab w:leader="none" w:pos="11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present Adjusted Net Income for a number of reasons, including:</w:t>
      </w:r>
    </w:p>
    <w:p>
      <w:pPr>
        <w:spacing w:after="0" w:line="60" w:lineRule="exact"/>
        <w:rPr>
          <w:sz w:val="20"/>
          <w:szCs w:val="20"/>
          <w:color w:val="auto"/>
        </w:rPr>
      </w:pPr>
    </w:p>
    <w:p>
      <w:pPr>
        <w:ind w:left="1180" w:right="200" w:hanging="436"/>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Adjusted Net Income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reporting Adjusted Net Income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Adjusted Net Income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for the periods indicated as net income (loss), adjusted to exclude (i) restructuring and other charges, (ii) equity-based compensation expense, (iii) foreign currency loss (gain), net, (iv) derivative valuation loss, net, (v) restatement related gain, (vi) loss on early extinguishment of long-term borrowings, net and (vii) others.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Nine Months</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Equity-based compensation expense(b)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Derivative valuation loss, net(d)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gain(e)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02"/>
        </w:trPr>
        <w:tc>
          <w:tcPr>
            <w:tcW w:w="20" w:type="dxa"/>
            <w:vAlign w:val="bottom"/>
          </w:tcPr>
          <w:p>
            <w:pPr>
              <w:spacing w:after="0"/>
              <w:rPr>
                <w:sz w:val="17"/>
                <w:szCs w:val="17"/>
                <w:color w:val="auto"/>
              </w:rPr>
            </w:pPr>
          </w:p>
        </w:tc>
        <w:tc>
          <w:tcPr>
            <w:tcW w:w="4840" w:type="dxa"/>
            <w:vAlign w:val="bottom"/>
          </w:tcPr>
          <w:p>
            <w:pPr>
              <w:ind w:left="340"/>
              <w:spacing w:after="0" w:line="201" w:lineRule="exact"/>
              <w:rPr>
                <w:sz w:val="20"/>
                <w:szCs w:val="20"/>
                <w:color w:val="auto"/>
              </w:rPr>
            </w:pPr>
            <w:r>
              <w:rPr>
                <w:rFonts w:ascii="Arial" w:cs="Arial" w:eastAsia="Arial" w:hAnsi="Arial"/>
                <w:sz w:val="18"/>
                <w:szCs w:val="18"/>
                <w:color w:val="auto"/>
              </w:rPr>
              <w:t>Loss on early extinguishment of long-term borrowings,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net(f)</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Adjusted Net Income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line="26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three months ended September 30, 2019, this adjustment eliminates $0.8 million in legal and consulting service fees incurred in connection with our strategic evaluation. For the nine months ended September 30, 2019, this adjustment eliminates the impact of a $2.2 million restructuring-related charge to our fab employees and $2.6 million in legal and consulting service fees incurred in connection with our strategic evaluation. As these expenses meaningfully impacted our operating results and are not expected to represent an ongoing operating expense to us, we believe our operating performance results are more usefully compared if these expenses are excluded.</w:t>
      </w:r>
    </w:p>
    <w:p>
      <w:pPr>
        <w:spacing w:after="0" w:line="3"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20" w:hanging="436"/>
        <w:spacing w:after="0" w:line="270"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6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For the three and nine months ended September 30, 2019, this adjustment represents derivatives value changes excluded from the risk being hedged. For the three and nine months ended September 30, 2018,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7"/>
          <w:szCs w:val="17"/>
          <w:color w:val="auto"/>
        </w:rPr>
      </w:pPr>
    </w:p>
    <w:p>
      <w:pPr>
        <w:ind w:left="640" w:right="22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nine months ended September 30, 2018, this adjustment eliminates the reversal of a $0.8 million accrual related to certain legal fees incurred in prior periods and reimbursed by insurers.</w:t>
      </w:r>
    </w:p>
    <w:p>
      <w:pPr>
        <w:spacing w:after="0" w:line="2" w:lineRule="exact"/>
        <w:rPr>
          <w:rFonts w:ascii="Arial" w:cs="Arial" w:eastAsia="Arial" w:hAnsi="Arial"/>
          <w:sz w:val="16"/>
          <w:szCs w:val="16"/>
          <w:color w:val="auto"/>
        </w:rPr>
      </w:pPr>
    </w:p>
    <w:p>
      <w:pPr>
        <w:ind w:left="640" w:right="1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2019, this adjustment eliminates $0.04 million in expenses related to the repurchase of a portion of the 2021 Notes and the Exchangeable Notes in the first quarter of 2019.</w:t>
      </w:r>
    </w:p>
    <w:p>
      <w:pPr>
        <w:jc w:val="both"/>
        <w:ind w:left="640" w:right="100" w:hanging="436"/>
        <w:spacing w:after="0" w:line="30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nine months ended September 30, 2019, this adjustment eliminates $0.5 million in legal settlement charge related to a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47" w:lineRule="exact"/>
        <w:rPr>
          <w:rFonts w:ascii="Arial" w:cs="Arial" w:eastAsia="Arial" w:hAnsi="Arial"/>
          <w:sz w:val="16"/>
          <w:szCs w:val="16"/>
          <w:color w:val="auto"/>
        </w:rPr>
      </w:pPr>
    </w:p>
    <w:p>
      <w:pPr>
        <w:ind w:left="640"/>
        <w:spacing w:after="0" w:line="286" w:lineRule="auto"/>
        <w:rPr>
          <w:rFonts w:ascii="Arial" w:cs="Arial" w:eastAsia="Arial" w:hAnsi="Arial"/>
          <w:sz w:val="16"/>
          <w:szCs w:val="16"/>
          <w:color w:val="auto"/>
        </w:rPr>
      </w:pPr>
      <w:r>
        <w:rPr>
          <w:rFonts w:ascii="Arial" w:cs="Arial" w:eastAsia="Arial" w:hAnsi="Arial"/>
          <w:sz w:val="17"/>
          <w:szCs w:val="17"/>
          <w:color w:val="auto"/>
        </w:rPr>
        <w:t>There was no tax impact from the adjustments to net loss to calculate our Adjusted Net Income for the nine months ended September 30, 2019 and 2018 due to net operating loss carry-forwards available to offset taxable income and full allowance for deferred tax assets. We believe that all adjustments to net loss used to calculate Adjusted Net Income were applied consistently to the periods presented.</w:t>
      </w:r>
    </w:p>
    <w:p>
      <w:pPr>
        <w:spacing w:after="0" w:line="57" w:lineRule="exact"/>
        <w:rPr>
          <w:rFonts w:ascii="Arial" w:cs="Arial" w:eastAsia="Arial" w:hAnsi="Arial"/>
          <w:sz w:val="16"/>
          <w:szCs w:val="16"/>
          <w:color w:val="auto"/>
        </w:rPr>
      </w:pPr>
    </w:p>
    <w:p>
      <w:pPr>
        <w:ind w:left="640" w:right="180"/>
        <w:spacing w:after="0" w:line="277" w:lineRule="auto"/>
        <w:rPr>
          <w:rFonts w:ascii="Arial" w:cs="Arial" w:eastAsia="Arial" w:hAnsi="Arial"/>
          <w:sz w:val="16"/>
          <w:szCs w:val="16"/>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620" w:hanging="322"/>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620" w:right="360" w:hanging="322"/>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620" w:right="120" w:hanging="322"/>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640" w:right="40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supplementally.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For the nine months ended September 30, 2019 and 2018, we sold products to 333 and 345 customers, respectively, and our net sales to our ten largest customers represented 68% and 62%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92"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September 30, 2019, approximately 98% of our employees were eligible for severance benefits.</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The rapid technological change and product obsolescence that characterize our industry require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Foundry Services Group are for process development that serves as a common technology platform for all of our product lines. For our Standard Products Group, the majority of research and development expenses are material-related costs for OLED display driver IC product development involving fine processes.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September 30, 2019, the outstanding intercompany loan balance including accrued interest between our Korean subsidiary and our Dutch subsidiary was $679.6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67"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8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Three Months Ended September 30, 2019 and Three Months Ended September 30,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consolidated results of operations for the three months ended September 30, 2019 and the three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September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42"/>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Net Sales</w:t>
            </w:r>
          </w:p>
        </w:tc>
        <w:tc>
          <w:tcPr>
            <w:tcW w:w="1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$ 229.7</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$ 206.0</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150.3</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60.9</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55.7</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16.8</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18.6</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18.9</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25.9</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18.3</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2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Others, net</w:t>
            </w: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(26.6)</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 expense</w:t>
            </w:r>
          </w:p>
        </w:tc>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(0.1)</w:t>
            </w: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(0.2)</w:t>
            </w:r>
          </w:p>
        </w:tc>
        <w:tc>
          <w:tcPr>
            <w:tcW w:w="86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18.8</w:t>
            </w:r>
          </w:p>
        </w:tc>
        <w:tc>
          <w:tcPr>
            <w:tcW w:w="3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(19.0)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17.2</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(18.8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Sales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00" w:type="dxa"/>
            <w:vAlign w:val="bottom"/>
            <w:gridSpan w:val="3"/>
          </w:tcPr>
          <w:p>
            <w:pPr>
              <w:ind w:left="24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39.3%</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83.9</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77.6</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139.2</w:t>
            </w:r>
          </w:p>
        </w:tc>
        <w:tc>
          <w:tcPr>
            <w:tcW w:w="2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122.0</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420" w:type="dxa"/>
            <w:vAlign w:val="bottom"/>
            <w:gridSpan w:val="2"/>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3"/>
              </w:rPr>
              <w:t>$ 229.7</w:t>
            </w:r>
          </w:p>
        </w:tc>
        <w:tc>
          <w:tcPr>
            <w:tcW w:w="240" w:type="dxa"/>
            <w:vAlign w:val="bottom"/>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gridSpan w:val="2"/>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6"/>
              </w:rPr>
              <w:t>$ 206.0</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Sales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00" w:type="dxa"/>
            <w:vAlign w:val="bottom"/>
            <w:gridSpan w:val="3"/>
          </w:tcPr>
          <w:p>
            <w:pPr>
              <w:ind w:left="24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28.3%</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50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00" w:type="dxa"/>
            <w:vAlign w:val="bottom"/>
            <w:vMerge w:val="restart"/>
          </w:tcPr>
          <w:p>
            <w:pPr>
              <w:jc w:val="right"/>
              <w:ind w:right="9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Net sales were $229.7 million for the three months ended September 30, 2019, a $23.7 million, or 11.5%, increase compared to $206.0 million for the three months ended September 30, 2018. This increase was primarily attributable to an increase in revenue from both of our Foundry Services Group and Standard Products Group segments as described below.</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Net sales from our Foundry Services Group segment were $90.3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 $6.5 million, or 7.7%, increase compared to $83.9 million for the three months ended September 30, 2018. The increase was primarily attributable to an increase in sales of certain communication-related products from global power management IC foundry customers and higher sales of certain gate driver ICs for a foundry customer serving the global computing sector, which was offset in part by a decrease in demand from a customer serving the low- to mid-range mobile phone market.</w:t>
      </w:r>
    </w:p>
    <w:p>
      <w:pPr>
        <w:spacing w:after="0" w:line="188"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Net sales from our Standard Products Group segment were $139.2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a $17.2 million, or 14.1%, increase compared to $122.0 million for the three months ended September 30, 2018. This increase was primarily attributable to an increase in revenue related to our mobile OLED display driver ICs due to an increase in new OLED smartphones by Chinese and Korean manufacturers and higher demand for premium power products such as high-end MOSFETs primarily for TV and industrial applications. This increase was offset in part by a strategic reduction of our lower margin LCD business.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Total gross profit was $60.9 million for the three months ended September 30, 2019 compared to $55.7 million for the three months ended September 30, 2018, representing a $5.1 million, or 9.2%, increase. Gross profit as a percentage of net sales for the three months ended September 30, 2019 decreased to 26.5% compared to 27.1% for the three months ended September 30, 2018. The decrease in gross profit as a percentage of net sales was primarily attributable to a decrease in gross profit as a percentage of net sales from our Standard Products Group as further described below.</w:t>
      </w:r>
    </w:p>
    <w:p>
      <w:pPr>
        <w:spacing w:after="0" w:line="154"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$25.5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 $5.1 million, or 25.0%, increase compared to $20.4 million for the three months ended September 30, 2018. Gross profit as a percentage of net sales for the three months ended September 30, 2019 increased to 28.3% compared to 24.4% for the three months ended September 30, 2018. The increase in both gross profit and gross profit margin was primarily attributable to a favorable product mix and an increase in the utilization rate.</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$35.2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which remained flat, compared to $35.2 million for the three months ended September 30, 2018. Gross profit as a percentage of net sales for the three months ended September 30, 2019 decreased to 25.3% compared to 28.8% for the three months ended September 30, 2018. The decrease in gross profit margin was primarily attributable to an unfavorable product mix and an impact from lower yield of a newly introduced mobile display product during an early stage of production.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September 30, 2019 and the three months ended September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September 30, 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September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Net Sales</w:t>
            </w: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93.5</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229.7</w:t>
            </w:r>
          </w:p>
        </w:tc>
        <w:tc>
          <w:tcPr>
            <w:tcW w:w="260" w:type="dxa"/>
            <w:vAlign w:val="bottom"/>
            <w:vMerge w:val="continue"/>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206.0</w:t>
            </w:r>
          </w:p>
        </w:tc>
        <w:tc>
          <w:tcPr>
            <w:tcW w:w="260" w:type="dxa"/>
            <w:vAlign w:val="bottom"/>
            <w:vMerge w:val="continue"/>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Net sales in Korea for the three months ended September 30, 2019 decreased from $91.6 million to $71.0 million compared to the three months ended September 30, 2018, or by $20.6 million, or 22.5%, primarily due to a decrease in revenue related to mobile OLED display driver ICs and a strategic reduction of lower margin LCD business. This decrease was offset in part by higher sales of certain gate driver ICs for a foundry customer serving the global computing sector and increased sales of our premium power products.</w:t>
      </w:r>
    </w:p>
    <w:p>
      <w:pPr>
        <w:spacing w:after="0" w:line="18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Net sales in Asia Pacific (other than Korea) for the three months ended September 30, 2019 increased from $93.5 million to $138.1 million compared to the three months ended September 30, 2018, or by $44.7 million, or 47.8%, primarily due to an increase in revenue related to mobile OLED display driver ICs in connection with an increase in new OLED smartphones by Chinese and Korean manufacturers, and an increase in sales of a certain communication-related products from a global power management IC foundry customer.</w:t>
      </w:r>
    </w:p>
    <w:p>
      <w:pPr>
        <w:spacing w:after="0" w:line="17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Net sales in the United States for the three months ended September 30, 2019 increased from $5.8 million to $7.2 million compared to the three months ended September 30, 2018, or by $1.4 million, or 23.2%, primarily due to an increase in sales of certain products from a global power management IC foundry customer.</w:t>
      </w:r>
    </w:p>
    <w:p>
      <w:pPr>
        <w:spacing w:after="0" w:line="181"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Net sales in Europe for the three months ended September 30, 2019 decreased from $14.4 million to $12.9 million compared to the three months ended September 30, 2018, or by $1.5 million, or 10.6%, primarily due to a decrease in sales of sensor-related ICs for automotive applications, which was offset in part by an increase in sales of certain charger related products in the communications industry.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$16.8 million, or 7.3% of net sales,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2019, compared to $18.6 million, or 9.0% of net sales, for the three months ended September 30, 2018. The decrease of $1.8 million, or 9.4%, was primarily attributable to a decrease in certain employee incentives, equity-based compensation and legal and consulting service fees.</w:t>
      </w:r>
    </w:p>
    <w:p>
      <w:pPr>
        <w:spacing w:after="0" w:line="187" w:lineRule="exact"/>
        <w:rPr>
          <w:sz w:val="20"/>
          <w:szCs w:val="20"/>
          <w:color w:val="auto"/>
        </w:rPr>
      </w:pPr>
    </w:p>
    <w:p>
      <w:pPr>
        <w:jc w:val="both"/>
        <w:ind w:left="200" w:right="160" w:firstLine="441"/>
        <w:spacing w:after="0" w:line="340"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were $17.4 million, or 7.6% of net sales,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2019, compared to $18.9 million, or 9.2% of net sales, for the three months ended September 30, 2018. The decrease of $1.6 million, or 8.2%, was primarily attributable to a decrease in certain employee incentives, and a decrease in outside service fees and various overhead expenses.</w:t>
      </w:r>
    </w:p>
    <w:p>
      <w:pPr>
        <w:spacing w:after="0" w:line="13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and Other Charges. </w:t>
      </w:r>
      <w:r>
        <w:rPr>
          <w:rFonts w:ascii="Arial" w:cs="Arial" w:eastAsia="Arial" w:hAnsi="Arial"/>
          <w:sz w:val="18"/>
          <w:szCs w:val="18"/>
          <w:color w:val="auto"/>
        </w:rPr>
        <w:t>Restructuring and other charges were $0.8 million for the three months ended September 30, 2019,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resulted from legal and consulting service fees incurred in connection with the strategic evaluation of our Foundry Services Group business and Fab 4.</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As a result of the foregoing, an operating income of $25.9 million was recorded for the three months ended September 30, 2019 compared to an operating income of $18.3 million for the three months ended September 30, 2018. As discussed above, the increase in operating income of $7.7 million resulted primarily from a $5.1 million increase in gross profit, a $1.8 million decrease in selling, general and administrative expenses, and a $1.6 million decrease in research and development expenses, which was partially offset by a $0.8 million increase in restructuring and other charges.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$5.7 million and $5.6 million for the three months ended September 30, 2019 and September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loss for the three months ended September 30, 2019 was $21.2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gain of $6.0 million for the three months ended September 30, 2018. The net foreign currency loss for the three months ended September 30, 2019 was due to the depreciation in value of Korean won relative to the US dollar during the period. The net foreign currency gain for the three months ended September 30, 2018 was due to the appreciation in value of Korean won relative to the US dollar during the period.</w:t>
      </w:r>
    </w:p>
    <w:p>
      <w:pPr>
        <w:spacing w:after="0" w:line="15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360"/>
        <w:spacing w:after="0" w:line="295" w:lineRule="auto"/>
        <w:rPr>
          <w:sz w:val="20"/>
          <w:szCs w:val="20"/>
          <w:color w:val="auto"/>
        </w:rPr>
      </w:pPr>
      <w:r>
        <w:rPr>
          <w:rFonts w:ascii="Arial" w:cs="Arial" w:eastAsia="Arial" w:hAnsi="Arial"/>
          <w:sz w:val="16"/>
          <w:szCs w:val="16"/>
          <w:color w:val="auto"/>
        </w:rPr>
        <w:t>US dollar. As of September 30, 2019 and September 30, 2018, the outstanding intercompany loan balances, including accrued interests between our Korean subsidiary and our Dutch subsidiary were $679.6 million and $680.4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62"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Net were comprised of rental income, interest income, and gains and losses from the valuation of derivatives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as hedging instruments. Others, Net for the three months ended September 30, 2019 and the three months ended September 30, 2018 were $0.8 million and $0.2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Income tax expense was $1.5 million and $1.6 million for the three months ended September 30, 2019 and for the three months ended September 30, 2018, respectively. Income tax expense was recorded for our Korean subsidiary based on the estimated taxable income for the respective periods, combined with its ability to utilize net operating loss carryforwards up to 60% in 2019 and 70% in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a result of the foregoing, a net loss of $1.6 million was recorded for the three months ended September 30, 2019, compared to a net income of $17.2 million for the three months ended September 30, 2018. As discussed above, the decrease in net income of $18.8 million primarily resulted from a $27.2 million increase in net foreign currency loss, which was offset in part by a $7.7 million increase in operating income.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Nine Months Ended September 30, 2019 and Nine Months Ended September 30,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consolidated results of operations for the nine months ended September 30, 2019 and the nine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3"/>
              </w:rPr>
              <w:t>September 30, 2019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3"/>
              </w:rPr>
              <w:t>September 30, 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8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8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Net Sales</w:t>
            </w:r>
          </w:p>
        </w:tc>
        <w:tc>
          <w:tcPr>
            <w:tcW w:w="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$ 592.2</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$ 571.5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2360" w:type="dxa"/>
            <w:vAlign w:val="bottom"/>
            <w:gridSpan w:val="2"/>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464.8</w:t>
            </w: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60" w:type="dxa"/>
            <w:vAlign w:val="bottom"/>
            <w:gridSpan w:val="2"/>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0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8.8</w:t>
            </w: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9.6</w:t>
            </w: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w:t>
            </w: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60" w:type="dxa"/>
            <w:vAlign w:val="bottom"/>
            <w:gridSpan w:val="2"/>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20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vMerge w:val="restart"/>
          </w:tcPr>
          <w:p>
            <w:pPr>
              <w:jc w:val="right"/>
              <w:ind w:right="28"/>
              <w:spacing w:after="0"/>
              <w:rPr>
                <w:sz w:val="20"/>
                <w:szCs w:val="20"/>
                <w:color w:val="auto"/>
              </w:rPr>
            </w:pPr>
            <w:r>
              <w:rPr>
                <w:rFonts w:ascii="Arial" w:cs="Arial" w:eastAsia="Arial" w:hAnsi="Arial"/>
                <w:sz w:val="18"/>
                <w:szCs w:val="18"/>
                <w:color w:val="auto"/>
              </w:rPr>
              <w:t>(2.9)</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(2.9)</w:t>
            </w: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84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(16.5)</w:t>
            </w:r>
          </w:p>
        </w:tc>
        <w:tc>
          <w:tcPr>
            <w:tcW w:w="880" w:type="dxa"/>
            <w:vAlign w:val="bottom"/>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(7.0)</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2960" w:type="dxa"/>
            <w:vAlign w:val="bottom"/>
            <w:gridSpan w:val="5"/>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3"/>
          </w:tcPr>
          <w:p>
            <w:pPr>
              <w:jc w:val="right"/>
              <w:ind w:right="28"/>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vMerge w:val="restart"/>
          </w:tcPr>
          <w:p>
            <w:pPr>
              <w:jc w:val="right"/>
              <w:ind w:right="28"/>
              <w:spacing w:after="0"/>
              <w:rPr>
                <w:sz w:val="20"/>
                <w:szCs w:val="20"/>
                <w:color w:val="auto"/>
              </w:rPr>
            </w:pPr>
            <w:r>
              <w:rPr>
                <w:rFonts w:ascii="Arial" w:cs="Arial" w:eastAsia="Arial" w:hAnsi="Arial"/>
                <w:sz w:val="18"/>
                <w:szCs w:val="18"/>
                <w:color w:val="auto"/>
              </w:rPr>
              <w:t>(9.5)</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(6.5)</w:t>
            </w: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(56.5)</w:t>
            </w:r>
          </w:p>
        </w:tc>
        <w:tc>
          <w:tcPr>
            <w:tcW w:w="84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(37.0)</w:t>
            </w:r>
          </w:p>
        </w:tc>
        <w:tc>
          <w:tcPr>
            <w:tcW w:w="880" w:type="dxa"/>
            <w:vAlign w:val="bottom"/>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2360" w:type="dxa"/>
            <w:vAlign w:val="bottom"/>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(7.1)</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(45.3)</w:t>
            </w:r>
          </w:p>
        </w:tc>
        <w:tc>
          <w:tcPr>
            <w:tcW w:w="8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(7.6)</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(43.7)</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4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2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166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September 30, 2019</w:t>
            </w:r>
          </w:p>
        </w:tc>
        <w:tc>
          <w:tcPr>
            <w:tcW w:w="3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September 30, 2018</w:t>
            </w:r>
          </w:p>
        </w:tc>
        <w:tc>
          <w:tcPr>
            <w:tcW w:w="3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gridSpan w:val="2"/>
          </w:tcPr>
          <w:p>
            <w:pPr>
              <w:spacing w:after="0"/>
              <w:rPr>
                <w:sz w:val="10"/>
                <w:szCs w:val="10"/>
                <w:color w:val="auto"/>
              </w:rPr>
            </w:pPr>
          </w:p>
        </w:tc>
        <w:tc>
          <w:tcPr>
            <w:tcW w:w="8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w w:val="85"/>
              </w:rPr>
              <w:t>Net Sales</w:t>
            </w:r>
          </w:p>
        </w:tc>
        <w:tc>
          <w:tcPr>
            <w:tcW w:w="800" w:type="dxa"/>
            <w:vAlign w:val="bottom"/>
            <w:gridSpan w:val="5"/>
            <w:vMerge w:val="continue"/>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Net Sales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$ 220.5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$ 242.2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42.4%</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 (21.7)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233.0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08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371.5</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329.1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08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592.2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571.5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2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166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September 30, 2019</w:t>
            </w:r>
          </w:p>
        </w:tc>
        <w:tc>
          <w:tcPr>
            <w:tcW w:w="3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September 30, 2018</w:t>
            </w:r>
          </w:p>
        </w:tc>
        <w:tc>
          <w:tcPr>
            <w:tcW w:w="3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gridSpan w:val="2"/>
          </w:tcPr>
          <w:p>
            <w:pPr>
              <w:spacing w:after="0"/>
              <w:rPr>
                <w:sz w:val="10"/>
                <w:szCs w:val="10"/>
                <w:color w:val="auto"/>
              </w:rPr>
            </w:pPr>
          </w:p>
        </w:tc>
        <w:tc>
          <w:tcPr>
            <w:tcW w:w="8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center"/>
              <w:ind w:right="308"/>
              <w:spacing w:after="0"/>
              <w:rPr>
                <w:sz w:val="20"/>
                <w:szCs w:val="20"/>
                <w:color w:val="auto"/>
              </w:rPr>
            </w:pPr>
            <w:r>
              <w:rPr>
                <w:rFonts w:ascii="Arial" w:cs="Arial" w:eastAsia="Arial" w:hAnsi="Arial"/>
                <w:sz w:val="14"/>
                <w:szCs w:val="14"/>
                <w:b w:val="1"/>
                <w:bCs w:val="1"/>
                <w:color w:val="auto"/>
                <w:w w:val="85"/>
              </w:rPr>
              <w:t>Net Sales</w:t>
            </w:r>
          </w:p>
        </w:tc>
        <w:tc>
          <w:tcPr>
            <w:tcW w:w="800" w:type="dxa"/>
            <w:vAlign w:val="bottom"/>
            <w:gridSpan w:val="5"/>
            <w:vMerge w:val="continue"/>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Net Sales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$ 41.4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$ 63.3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26.1%</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 (21.9)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08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127.4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154.2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80" w:type="dxa"/>
            <w:vAlign w:val="bottom"/>
            <w:vMerge w:val="restart"/>
          </w:tcPr>
          <w:p>
            <w:pPr>
              <w:jc w:val="right"/>
              <w:ind w:right="1233"/>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Net sales were $592.2 million for the nine months ended September 30, 2019, a $20.7 million, or 3.6%, increase compared to $571.5 million for the nine months ended September 30, 2018. This increase was primarily attributable to an increase in revenue from our Standard Products Group, which was offset in part by an increase in revenue from our Foundry Services Group as described below.</w:t>
      </w:r>
    </w:p>
    <w:p>
      <w:pPr>
        <w:spacing w:after="0" w:line="18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$220.5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 $21.7 million, or 9.0%, decrease compared to $242.2 million for the nine months ended September 30, 2018. The decrease was primarily attributable to weaker demand from our foundry customers during the first half of 2019 as a result of softening global market conditions, including macroeconomic uncertainties, and us being more selective about new business as a result of our strategic evaluation of our Foundry Services Group business and Fab 4. This decrease was offset in part by an increase in sales of certain communication-related products from global power management IC foundry customers and higher sales of certain gate driver ICs for a foundry customer serving the global computing sector.</w:t>
      </w:r>
    </w:p>
    <w:p>
      <w:pPr>
        <w:spacing w:after="0" w:line="165"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Net sales from our Standard Products Group segment were $371.5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a $42.3 million, or 12.9%, increase compared to $329.1 million for the nine months ended September 30, 2018. This increase was primarily attributable to an increase in revenue related to our mobile OLED display driver ICs due to an increase in new OLED smartphones by Chinese and Korean manufacturers and higher demand for premium power products such as high-end MOSFETs and IGBTs primarily for TV and industrial applications. This increase was offset in part by a strategic reduction of our lower margin LCD business.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Total gross profit was $127.4 million for the nine months ended September 30, 2019 compared to $154.2 million for the nine months ended September 30, 2018, representing a $26.8 million, or 17.4%, decrease. Gross profit as a percentage of net sales for the nine months ended September 30, 2019 decreased to 21.5% compared to 27.0% for the nine months ended September 30, 2018. The decrease in gross profit and gross profit as a percentage of net sales was due to a decrease in gross profit and gross profit as a percentage of net sales in both of our Foundry Services Group and Standard Products Group segments as described below.</w:t>
      </w:r>
    </w:p>
    <w:p>
      <w:pPr>
        <w:spacing w:after="0" w:line="18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$41.4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 $21.9 million, or 34.7%, decrease compared to $63.3 million for the nine months ended September 30, 2018. Gross profit as a percentage of net sales for the nine months ended September 30, 2019 decreased to 18.8% compared to 26.1% for the nine months ended September 30, 2018. The decrease in both gross profit and gross profit margin was primarily attributable to an unfavorable product mix and a significant drop in the utilization rate during the first half of 2019, which was affected in part by a softening of global market conditions, including macroeconomic uncertainties, and by being more selective about new business as a result of the strategic evaluation of our Foundry Services Group business and Fab 4.</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Gross profit from our Standard Products Group segment was $85.8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a $5.0 million, or 5.5%, decrease from $90.9 million for the nine months ended September 30, 2018. Gross profit as a percentage of net sales for the nine months ended September 30, 2019 decreased to 23.1% compared to 27.6% for the nine months ended September 30, 2018. The decrease in both gross profit and gross profit margin was primarily attributable to inventory reserves related to certain legacy display products, a significant drop in the utilization rate during the first half of 2019 and an impact from lower yield of a newly introduced mobile display product during an early stage of production. This decrease was offset in part by a better product mix from an increase in sales of premium power products such as high-end MOSFETs and IGBTs primarily for TV and industrial applications.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report net sales by geographic region based on the location to which the products are billed. The following table sets forth our net sales by geographic region and the percentage of total net sales represented by each geographic region for the nine months ended September 30, 2019 and the nine months ended September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16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 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September 30, 2018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0"/>
                <w:szCs w:val="10"/>
                <w:color w:val="auto"/>
              </w:rPr>
            </w:pPr>
          </w:p>
        </w:tc>
        <w:tc>
          <w:tcPr>
            <w:tcW w:w="58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Net Sales</w:t>
            </w:r>
          </w:p>
        </w:tc>
        <w:tc>
          <w:tcPr>
            <w:tcW w:w="960" w:type="dxa"/>
            <w:vAlign w:val="bottom"/>
            <w:gridSpan w:val="3"/>
            <w:vMerge w:val="continue"/>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$ 190.8</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302.9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 xml:space="preserve"> 592.2</w:t>
            </w:r>
          </w:p>
        </w:tc>
        <w:tc>
          <w:tcPr>
            <w:tcW w:w="24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571.5</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Net sales in Korea for the nine months ended September 30, 2019 decreased from $204.3 million to $190.8 million compared to the nine months ended September 30, 2018, or by $13.5 million, or 6.6%, primarily due to a decrease in revenue related to mobile OLED display driver ICs and a strategic reduction of lower margin LCD business. This decrease was offset in part by higher sales of certain gate driver ICs for a foundry customer serving the global computing sector and increased sales of our premium power products.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Net sales in Asia Pacific (other than Korea) for the nine months ended September 30, 2019 increased from $302.9 million to $342.4 million compared to the nine months ended September 30, 2018, or by $39.5 million, or 13.0%, primarily due to an increase in revenue related to mobile OLED display driver ICs in connection with an increase in new OLED smartphones by Chinese and Korean manufacturers. This increase was offset in part by weaker demand during the first half of 2019 from our foundry customers in part as a result of softening global market conditions, including macroeconomic uncertainties, us being more selective about new business as a result of the strategic evaluation of the Foundry business and Fab 4, and a lower demand for certain of our lower margin power products.</w:t>
      </w:r>
    </w:p>
    <w:p>
      <w:pPr>
        <w:spacing w:after="0" w:line="19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sales in the United States for the nine months ended September 30, 2019 decreased from $29.2 million to $20.8 million compared to the nine months ended September 30, 2018, or by $8.5 million, or 28.9%, primarily due to a decrease in sales of certain products from a global power management IC foundry customer.</w:t>
      </w:r>
    </w:p>
    <w:p>
      <w:pPr>
        <w:spacing w:after="0" w:line="18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Net sales in Europe for the nine months ended September 30, 2019 increased from $33.0 million to $36.9 million compared to the nine months ended September 30, 2018, or by $3.9 million, or 11.8%, primarily due to an increase in sales of certain charger-related products in the communications industry, which was offset in part by lower demand from a customer serving the high-end smartphone market.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$51.9 million, or 8.8% of net sales,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2019, compared to $55.1 million, or 9.6% of net sales, for the nine months ended September 30, 2018. The decrease of $3.3 million, or 5.9%, was primarily attributable to a decrease in certain employee incentives, equity-based compensation and legal and consulting service fees.</w:t>
      </w:r>
    </w:p>
    <w:p>
      <w:pPr>
        <w:spacing w:after="0" w:line="18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$56.4 million, or 9.5% of net sales,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2019, compared to $59.5 million, or 10.4% of net sales, for the nine months ended September 30, 2018. The decrease of $3.1 million, or 5.3%, was primarily attributable to a decrease in certain employee incentives, and a decrease in outside service fees and various overhead expenses, which was offset in part by an increase in development activities for our 28-nanometer OLED display driver ICs.</w:t>
      </w:r>
    </w:p>
    <w:p>
      <w:pPr>
        <w:spacing w:after="0" w:line="17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and Other Charges. </w:t>
      </w:r>
      <w:r>
        <w:rPr>
          <w:rFonts w:ascii="Arial" w:cs="Arial" w:eastAsia="Arial" w:hAnsi="Arial"/>
          <w:sz w:val="18"/>
          <w:szCs w:val="18"/>
          <w:color w:val="auto"/>
        </w:rPr>
        <w:t>Restructuring and other charges were $4.8 million for the nine months ended September 30, 2019,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resulted from a $2.2 million restructuring related charge to our fab employees and $2.6 million in legal and consulting service fees incurred in connection with the strategic evaluation of our Foundry Services Group business and Fab 4.</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As a result of the foregoing, an operating income of $14.4 million was recorded for the nine months ended September 30, 2019 compared to an operating income of $39.6 million for the nine months ended September 30, 2018. As discussed above, the decrease in operating income of</w:t>
      </w:r>
    </w:p>
    <w:p>
      <w:pPr>
        <w:jc w:val="both"/>
        <w:ind w:left="200" w:right="140"/>
        <w:spacing w:after="0" w:line="255" w:lineRule="auto"/>
        <w:rPr>
          <w:sz w:val="20"/>
          <w:szCs w:val="20"/>
          <w:color w:val="auto"/>
        </w:rPr>
      </w:pPr>
      <w:r>
        <w:rPr>
          <w:rFonts w:ascii="Arial" w:cs="Arial" w:eastAsia="Arial" w:hAnsi="Arial"/>
          <w:sz w:val="18"/>
          <w:szCs w:val="18"/>
          <w:color w:val="auto"/>
        </w:rPr>
        <w:t>$25.2 million was resulted primarily from a $26.8 million decrease in gross profit and a $4.8 million increase in restructuring and other charges, which was partially offset by a $3.3 million decrease in selling, general and administrative expenses and a $3.1 million decrease in research and development expenses.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$17.0 million and $16.5 million for the nine months ended September 30, 2019 and September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nine months ended September 30, 2019 was $41.6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loss of $20.1 million for the nine months ended September 30, 2018, which was due to the depreciation in value of the Korean won relative to the US dollar during the period.</w:t>
      </w:r>
    </w:p>
    <w:p>
      <w:pPr>
        <w:spacing w:after="0" w:line="181"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340"/>
        <w:spacing w:after="0" w:line="295" w:lineRule="auto"/>
        <w:rPr>
          <w:sz w:val="20"/>
          <w:szCs w:val="20"/>
          <w:color w:val="auto"/>
        </w:rPr>
      </w:pPr>
      <w:r>
        <w:rPr>
          <w:rFonts w:ascii="Arial" w:cs="Arial" w:eastAsia="Arial" w:hAnsi="Arial"/>
          <w:sz w:val="16"/>
          <w:szCs w:val="16"/>
          <w:color w:val="auto"/>
        </w:rPr>
        <w:t>US dollar. As of September 30, 2019 and September 30, 2018, the outstanding intercompany loan balances, including accrued interests between our Korean subsidiary and our Dutch subsidiary were $679.6 million and $680.4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62"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Loss on Early Extinguishment of Long-Term Borrowings, Net. </w:t>
      </w:r>
      <w:r>
        <w:rPr>
          <w:rFonts w:ascii="Arial" w:cs="Arial" w:eastAsia="Arial" w:hAnsi="Arial"/>
          <w:sz w:val="18"/>
          <w:szCs w:val="18"/>
          <w:color w:val="auto"/>
        </w:rPr>
        <w:t>For the nine months ended September 30, 2019, we repurchased a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$0.3 million and $0.9 million of the 2021 Notes and the Exchangeable Notes, respectively. In connection with these repurchases, we recognized a $0.04 million of net loss.</w:t>
      </w:r>
    </w:p>
    <w:p>
      <w:pPr>
        <w:spacing w:after="0" w:line="181"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Net were comprised of rental income, interest income, and gains and losses from the valuation of derivatives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as hedging instruments. Others, Net for the nine months ended September 30, 2019 and the nine months ended September 30, 2018 were $2.1 million and negative $0.3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Income tax expense was $3.1 million and $4.1 million for the nine months ended September 30, 2019 and for the nine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2018, respectively. Income tax expense was recorded for our Korean subsidiary based on the estimated taxable income for the respective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periods, combined with its ability to utilize net operating loss carryforwards up to 60% in 2019 and 70% in 2018.</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a result of the foregoing, a net loss of $45.3 million was recorded for the nine months ended September 30, 2019, compared to a net loss of $1.5 million for the nine months ended September 30, 2018. As discussed above, the increase in net loss of $43.7 million primarily resulted from a $25.2 million decrease in operating income and a $21.5 million increase in net foreign currency loss.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Financial Statements and Supplementary Data—Notes to Consolidated Financial Statements—Note 2. Accounts Receivable” included elsewhere in this Report. In addition, from time to time, we may make payments to our vendors on extended terms with their consent. As of September 30, 2019, we did not have any accounts payable on extended terms or payment deferment with our vendors.</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may, from time to time, repurchase a portion of our outstanding 2021 Notes and our Exchangeable Notes through open market purchases or privately negotiated transactions subject to prevailing market conditions and our available cash reserves.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inflow provided by operating activities totaled $30.0 million for the nine months ended September 30, 2019, compared to $25.0 million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nine months ended September 30, 2018. The net operating cash inflow for the nine months ended September 30, 2019 reflects our net loss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$45.3 million, as adjusted favorably by $89.9 million, which mainly consisted of depreciation and amortization, provision for severance benefits and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foreign currency loss, and net unfavorable impact of $14.6 million from changes of operating assets and liabilities.</w:t>
      </w:r>
    </w:p>
    <w:p>
      <w:pPr>
        <w:spacing w:after="0" w:line="21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Our working capital balance as of September 30, 2019 was $222.1 million compared to $220.1 million as of December 31, 2018. The change was primarily attributable to the timing of cash received and payments made related to account receivables and account payables,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Cash outflow used in investing activities totaled $22.6 million for the nine months ended September 30, 2019, compared to $21.3 million of cash outflow used in investing activities for the nine months ended September 30, 2018. The $1.3 million increase was primarily attributable to a $4.7 million net increase in hedge collateral, a $1.5 million net increase in guarantee deposit, and $1.5 million decrease in proceed from disposal of plant, property and equipment, which was partially offset by a $6.5 million decrease in the purchase of plant, property and equipment. The purchase of plant, property and equipment for the nine months ended September 30, 2018 includes a $4.3 million payment for the purchase of certain facilities related to a water treatment facility arrangement.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Cash outflow used in financing activities totaled $3.3 million for the nine months ended September 30, 2019, compared to $5.1 million of cash inflow provided by financing activities for the nine months ended September 30, 2018. The financing cash outflow for the nine months ended September 30, 2019 was primarily attributable to a payment of $1.2 million for the repurchases of 2021 Notes and Exchangeable Notes in the first quarter of 2019 and a payment of $2.4 million for the repurchases of our common stock in January 2019 pursuant to our stock repurchase plan. The financing cash inflow for the nine months ended September 30, 2018 was primarily attributable to proceeds of $4.3 million in connection with the water treatment facility arrangement.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research and development capability. For the nine months ended September 30, 2019, capital expenditures for plant, property and equipment were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$16.7 million, a $6.5 million, or $27.9%, decrease from $23.2 million, including a $4.3 million payment for the purchase of certain facilities related to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water treatment facility arrangement, for the nine months ended September 30, 2018. The capital expenditures for the nine months ended September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 were related to meeting our customer demand, and supporting technology and facility improvement at our fabrication facilities.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September 30,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right"/>
              <w:ind w:right="34"/>
              <w:spacing w:after="0" w:line="119" w:lineRule="exact"/>
              <w:rPr>
                <w:sz w:val="20"/>
                <w:szCs w:val="20"/>
                <w:color w:val="auto"/>
              </w:rPr>
            </w:pPr>
            <w:r>
              <w:rPr>
                <w:rFonts w:ascii="Arial" w:cs="Arial" w:eastAsia="Arial" w:hAnsi="Arial"/>
                <w:sz w:val="13"/>
                <w:szCs w:val="13"/>
                <w:b w:val="1"/>
                <w:bCs w:val="1"/>
                <w:color w:val="auto"/>
              </w:rPr>
              <w:t>Remainder</w:t>
            </w: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60" w:type="dxa"/>
            <w:vAlign w:val="bottom"/>
          </w:tcPr>
          <w:p>
            <w:pPr>
              <w:jc w:val="right"/>
              <w:ind w:right="314"/>
              <w:spacing w:after="0" w:line="149" w:lineRule="exact"/>
              <w:rPr>
                <w:sz w:val="20"/>
                <w:szCs w:val="20"/>
                <w:color w:val="auto"/>
              </w:rPr>
            </w:pPr>
            <w:r>
              <w:rPr>
                <w:rFonts w:ascii="Arial" w:cs="Arial" w:eastAsia="Arial" w:hAnsi="Arial"/>
                <w:sz w:val="14"/>
                <w:szCs w:val="14"/>
                <w:b w:val="1"/>
                <w:bCs w:val="1"/>
                <w:color w:val="auto"/>
              </w:rPr>
              <w:t>of</w:t>
            </w:r>
          </w:p>
        </w:tc>
        <w:tc>
          <w:tcPr>
            <w:tcW w:w="5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2020</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$ 90.0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$ 85.8</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Senior notes(2)</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254.0</w:t>
            </w:r>
          </w:p>
        </w:tc>
        <w:tc>
          <w:tcPr>
            <w:tcW w:w="28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239.1</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Finance leases(3)</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0.4</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Services(3)(4)</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Others(5)</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280" w:hanging="436"/>
        <w:spacing w:after="0" w:line="256"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September 30, 2019, which bear interest at a rate of 5.0% per annum and are scheduled to mature in 2021 if not earlier exchanged at the price of approximately $8.26 per share of common stock.</w:t>
      </w:r>
    </w:p>
    <w:p>
      <w:pPr>
        <w:ind w:left="640" w:right="48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as well as $224.3 million aggregate principal amount of the 2021 Notes outstanding as of September 30, 2019, which bear interest at a rate of 6.625% per annum and are scheduled to mature in 2021 if not earlier redeemed.</w:t>
      </w: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1,201.3:1, the exchange rate as of September 30,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facilities in Korea based on the contractual terms.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Financial Statements and Supplementary Data—Notes to Consolidated Financial Statements—Note 10.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are a party to arrangements for the water treatment facilities in Cheongju and Gumi, Korea, which include 5-year and 10-year service agreements, respectively.</w:t>
      </w:r>
    </w:p>
    <w:p>
      <w:pPr>
        <w:spacing w:after="0" w:line="170"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September 30, 2019, our accrued severance benefits totaled $138.8 million and cumulative contributions to these severance insurance deposit accounts amounted to $3.8 million. Our related cash payments for future contributions are $0.8 million and $3.3 million for the remaining period of 2019 and 2020, respectively, to the extent that our obligations are contractual, fixed and reasonably estimable.</w:t>
      </w:r>
    </w:p>
    <w:p>
      <w:pPr>
        <w:spacing w:after="0" w:line="178"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follow US GAAP guidance on uncertain tax positions. Our unrecognized tax benefit totaled $0.4 million as of September 30, 2019. This unrecognized tax benefit has been excluded from the above table because we cannot estimate the period of cash settlement with the respective taxing authority.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2018, or our 2018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2018 Form 10-K, under “Management’s Discussion and Analysis of Financial Conditions and Reports of Operations—Critical Accounting Policies and Estimates.” Our critical accounting policies for leases as updated for the adoption of the new lease standard are disclosed in the following section. There have been no other material changes to our critical accounting policies and estimates as compared to our critical accounting policies and estimates included in our 2018 Form 10-K.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determine if an arrangement is a lease at inception of a contract considering whether the arrangement conveys the right to control the use of an identified asset over the period of use. Control of an underlying asset is conveyed if we have the right to direct the use of, and to obtain substantially all of the economic benefits from the use of, the identified asset. We account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Right-of-use assets represent our right to use an underlying asset during the lease term and lease liabilities represent our obligation to make lease payments arising from the lease. Right-of-use assets and liabilities are recognized based on the present value of the future minimum lease payments over the lease term. As most of our leases do not provide a readily determinable implicit rate, we estimate its incremental borrowing rates in determining the present value of future payments based on the lease term of each lease and market information available at commencement date. Fixed lease expenses for operating leases and depreciation expenses for finance leases are recognized on a straight-line basis over the respective lease term.</w:t>
      </w:r>
    </w:p>
    <w:p>
      <w:pPr>
        <w:spacing w:after="0" w:line="15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us. Operating lease right-of-use assets may also include any advance lease payments made and exclude lease incentives and initial direct costs incurred. We have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do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2019, for our Korean subsidiary, a 10% devaluation of the Korean won against the US dollar would have resulted in a decrease of $0.2 million in our US dollar financial instruments and cash balances.</w:t>
      </w:r>
    </w:p>
    <w:p>
      <w:pPr>
        <w:spacing w:after="0" w:line="19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See “Note 8.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of September 30, 2019, $83.74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September 30, 2019, $224.25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the preparation of this Report, we carried out an evaluation under the supervision of and with the participation of our management, including our Chief Executive Officer and Chief Financial Officer, as of September 30, 2019,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2019.</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2019 that have materially affected, or are reasonably likely to materially affect, our internal control over financial reporting.</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 discussion of legal proceedings, see “Part I: Item 3. Legal Proceedings” of our 2018 Form 10-K.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also “Part I: Item 1A. Risk Factors” and Note 18 to our consolidated financial statements in our 2018 Form 10-K for additional information.</w:t>
      </w:r>
    </w:p>
    <w:p>
      <w:pPr>
        <w:spacing w:after="0" w:line="39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2018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54"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related to the strategic review of our Foundry Services Group business and related fabrication facility.</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February 2019, we announced that we had initiated, with the assistance of external financial and legal advisors, a strategic review of our Foundry Services Group business and the fabrication facility located in Cheongju (“Fab 4”), the larger of our two 8-inch manufacturing facilities. There can be no assurance that the strategic review will result in a sale of the Foundry Services Group business, Fab 4, or any other transaction that we may consider in connection with such review, including accretive business conversions, joint ventures and partnerships. Since announcing the strategic review process, we have incurred, and expect to continue to incur, significant expenses in connection with the strategic review process, and our future results may be affected by the pursuit or consummation of any specific transaction or other strategic alternative resulting from the strategic review. While this strategic review is ongoing, we are exposed to certain risks and uncertainties, including potential risks and uncertainties in retaining and attracting employees during the review process; the diversion of management’s time to the review; potential loss of Foundry Services Group customers or future sales; and exposure to potential litigation in connection with the review process or any specific transaction or other strategic alternative resulting therefrom, all of which could disrupt and negatively affect our business. In addition, speculation regarding any developments related to this strategic review and perceived uncertainties related to the future of our Foundry Services Group business and Fab 4 could cause our stock price to fluctuate significantly. There is no finite timetable for completion of the strategic review, and we can provide no assurance that any transaction or other strategic alternative we may pursue will have a positive impact on our results of operations or financial condition</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7"/>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40" w:type="dxa"/>
            <w:vAlign w:val="bottom"/>
            <w:gridSpan w:val="4"/>
            <w:vMerge w:val="restart"/>
          </w:tcPr>
          <w:p>
            <w:pPr>
              <w:ind w:left="3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5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60" w:type="dxa"/>
            <w:vAlign w:val="bottom"/>
            <w:tcBorders>
              <w:top w:val="single" w:sz="8" w:color="auto"/>
            </w:tcBorders>
            <w:gridSpan w:val="6"/>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pursuant to Rule 13a-14(a) or Rule 15d-14(a) of the Securities Exchange Act of 1934 of the Chief Financial Officer.</w:t>
              </w:r>
            </w:hyperlink>
          </w:p>
        </w:tc>
        <w:tc>
          <w:tcPr>
            <w:tcW w:w="4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Executive Officer.</w:t>
              </w:r>
            </w:hyperlink>
          </w:p>
        </w:tc>
        <w:tc>
          <w:tcPr>
            <w:tcW w:w="8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200"/>
        <w:spacing w:after="0"/>
        <w:tabs>
          <w:tab w:leader="none" w:pos="5820" w:val="left"/>
          <w:tab w:leader="none" w:pos="6240" w:val="left"/>
        </w:tabs>
        <w:rPr>
          <w:sz w:val="20"/>
          <w:szCs w:val="20"/>
          <w:color w:val="auto"/>
        </w:rPr>
      </w:pPr>
      <w:r>
        <w:rPr>
          <w:rFonts w:ascii="Arial" w:cs="Arial" w:eastAsia="Arial" w:hAnsi="Arial"/>
          <w:sz w:val="18"/>
          <w:szCs w:val="18"/>
          <w:color w:val="auto"/>
        </w:rPr>
        <w:t>Dated: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0"/>
        <w:spacing w:after="0"/>
        <w:tabs>
          <w:tab w:leader="none" w:pos="5820" w:val="left"/>
          <w:tab w:leader="none" w:pos="6240" w:val="left"/>
        </w:tabs>
        <w:rPr>
          <w:sz w:val="20"/>
          <w:szCs w:val="20"/>
          <w:color w:val="auto"/>
        </w:rPr>
      </w:pPr>
      <w:r>
        <w:rPr>
          <w:rFonts w:ascii="Arial" w:cs="Arial" w:eastAsia="Arial" w:hAnsi="Arial"/>
          <w:sz w:val="18"/>
          <w:szCs w:val="18"/>
          <w:color w:val="auto"/>
        </w:rPr>
        <w:t>Dated: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80"/>
          </w:cols>
          <w:pgMar w:left="240" w:top="459" w:right="11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7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17" w:lineRule="exact"/>
        <w:rPr>
          <w:sz w:val="20"/>
          <w:szCs w:val="20"/>
          <w:color w:val="auto"/>
        </w:rPr>
      </w:pPr>
    </w:p>
    <w:p>
      <w:pPr>
        <w:ind w:left="620" w:hanging="176"/>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40" w:firstLine="444"/>
        <w:spacing w:after="0" w:line="264"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2019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November 7, 2019</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40" w:firstLine="444"/>
        <w:spacing w:after="0" w:line="264"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2019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November 7, 2019</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20"/>
    </w:lvl>
  </w:abstractNum>
  <w:abstractNum w:abstractNumId="3">
    <w:nsid w:val="7FDCC233"/>
    <w:multiLevelType w:val="hybridMultilevel"/>
    <w:lvl w:ilvl="0">
      <w:lvlJc w:val="left"/>
      <w:lvlText w:val="%1)"/>
      <w:numFmt w:val="decimal"/>
      <w:start w:val="84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2"/>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lvl w:ilvl="1">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4"/>
    </w:lvl>
    <w:lvl w:ilvl="1">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2019-12-28T02:14:56Z</dcterms:created>
  <dcterms:modified xsi:type="dcterms:W3CDTF">2019-12-28T02:14:56Z</dcterms:modified>
</cp:coreProperties>
</file>