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left="44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first quarter ended March 31, 2025, as presented in a press release dated May 12, 2025.</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ectPr>
          <w:pgSz w:w="11900" w:h="16838" w:orient="portrait"/>
          <w:cols w:equalWidth="0" w:num="1">
            <w:col w:w="10824"/>
          </w:cols>
          <w:pgMar w:left="436" w:top="293" w:right="639" w:bottom="1440" w:gutter="0" w:footer="0" w:header="0"/>
        </w:sectPr>
      </w:pPr>
    </w:p>
    <w:p>
      <w:pPr>
        <w:spacing w:after="0" w:line="24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396"/>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4864" w:space="720"/>
            <w:col w:w="5240"/>
          </w:cols>
          <w:pgMar w:left="436" w:top="293" w:right="639" w:bottom="1440" w:gutter="0" w:footer="0" w:header="0"/>
          <w:type w:val="continuous"/>
        </w:sect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for Magnachip Semiconductor Corporation dated May 12, 2025, announcing the results for the first quarter ended March 31,</w:t>
      </w:r>
    </w:p>
    <w:p>
      <w:pPr>
        <w:spacing w:after="0" w:line="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u w:val="single" w:color="auto"/>
          <w:color w:val="0000EE"/>
        </w:rPr>
        <w:t>2025.</w:t>
      </w:r>
    </w:p>
    <w:p>
      <w:pPr>
        <w:spacing w:after="0" w:line="9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24"/>
          </w:cols>
          <w:pgMar w:left="436" w:top="293" w:right="63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6593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59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Results for First Quarter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Results Summary</w:t>
      </w:r>
    </w:p>
    <w:p>
      <w:pPr>
        <w:spacing w:after="0" w:line="135" w:lineRule="exact"/>
        <w:rPr>
          <w:sz w:val="20"/>
          <w:szCs w:val="20"/>
          <w:color w:val="auto"/>
        </w:rPr>
      </w:pPr>
    </w:p>
    <w:p>
      <w:pPr>
        <w:ind w:left="960" w:right="160" w:hanging="532"/>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(“PAS”) and Power IC (“PIC”) businesses) of $44.7 million was in line with the mid-point of our guidance range of $42.0 to $47.0 million. Excluding Transitional Foundry Services, revenue from continuing operations increased 12.1% year-over-year.</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of 20.9% was above the high-end of our guidance range of 18.5% to 20.5%.</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0.3 million shares for an aggregate purchase price of $1.1 million during the quarter and ended Q1 with cash of $132.7 million.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shutdown of Display business, which is now classified as discontinued operations from Q1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Highlights</w:t>
      </w:r>
    </w:p>
    <w:p>
      <w:pPr>
        <w:spacing w:after="0" w:line="135" w:lineRule="exact"/>
        <w:rPr>
          <w:sz w:val="20"/>
          <w:szCs w:val="20"/>
          <w:color w:val="auto"/>
        </w:rPr>
      </w:pPr>
    </w:p>
    <w:p>
      <w:pPr>
        <w:ind w:left="960" w:right="2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was the fourth consecutive quarter of year-over-year growth from continuing operations primarily driven by Power Analog Solutions (PAS) growth in Communications, as well as strength in Power IC.</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from the Communication market was up 64% year-over-year.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IC (PIC) business increased 44.1% year-over-year in Q1 driven by strength for both TV-LED and OLED power ICs.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27 new-generation PAS products that are ready for commercial sampling.</w:t>
      </w:r>
    </w:p>
    <w:p>
      <w:pPr>
        <w:spacing w:after="0" w:line="130"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50 design-wins in Q1, up 13.6% from the 44 wins achieved in the year ago quarter. The design-wins include both our new generation Gen 6 Super Junction products and low-voltage Gen 8 MOSFETs, as well as our prior generation medium-voltage and Super Junction products.</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May 12, 2025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2025.</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YJ Kim, Magnachip’s CEO, said, “We delivered our fourth consecutive quarter of year-over-year growth from continuing operations, fueled by strong design-wins and momentum in Power Analog Solutions (PAS) and Power IC (PIC). In Q1 alone, we released 27 new-generation PAS products that are fully qualified and ready for commercial sampling, with design-wins spanning the Industrial, Automotive, Consumer, and Communication markets. We currently plan to launch a total of more than 40 new-generation PAS products in 2025 and approximately 55 more in 2026. These innovations not only open new revenue opportunities but are also expected to drive higher gross margins over time. While we remain mindful of geopolitical and macroeconomic uncertainties, we currently forecast sequential and year-over-year growth in revenue for continuing operations of PAS and PIC businesses in Q2.”</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YJ Kim added, “Through our 3-3-3 strategy—targeting $300 million in annual revenue, a 30% gross margin, and a three-year execution horizon—we are aligning our product roadmap, R&amp;D investments, and operational priorities to drive structural improvements and sustainable profitability.”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Shinyoung Park, Magnachip’s CFO, said, “In Q1, Magnachip achieved 12.1% year-over-year revenue growth from continuing operations and increased gross margin to 20.9%, up from 17.6% a year ago on an equivalent basis and exceeding the high-end of guidance. We expect to realize significant cost savings from the shutdown of our Display business, resulting in a 30% to 35% reduction in annualized operating expenses. Our balance sheet remains strong, and we are focused on prudent capital allocation as we transition to a more efficient, growth-oriented business model. This structural shift is creating a foundation for sustainable profitability and positions us to create long-term value for shareholders.”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183515</wp:posOffset>
            </wp:positionV>
            <wp:extent cx="1037590"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010"/>
                    </a:xfrm>
                    <a:prstGeom prst="rect">
                      <a:avLst/>
                    </a:prstGeom>
                    <a:noFill/>
                  </pic:spPr>
                </pic:pic>
              </a:graphicData>
            </a:graphic>
          </wp:anchor>
        </w:drawing>
        <w:t>Q1 2025 Financial Highlights</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0"/>
                <w:szCs w:val="10"/>
                <w:b w:val="1"/>
                <w:bCs w:val="1"/>
                <w:color w:val="auto"/>
              </w:rPr>
              <w:t>(1)</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3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2024</w:t>
            </w:r>
            <w:r>
              <w:rPr>
                <w:rFonts w:ascii="Times New Roman" w:cs="Times New Roman" w:eastAsia="Times New Roman" w:hAnsi="Times New Roman"/>
                <w:sz w:val="10"/>
                <w:szCs w:val="10"/>
                <w:b w:val="1"/>
                <w:bCs w:val="1"/>
                <w:color w:val="auto"/>
              </w:rPr>
              <w:t>(1)</w:t>
            </w:r>
          </w:p>
        </w:tc>
        <w:tc>
          <w:tcPr>
            <w:tcW w:w="4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5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 2024</w:t>
            </w: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2"/>
                <w:szCs w:val="12"/>
                <w:color w:val="auto"/>
              </w:rPr>
            </w:pPr>
          </w:p>
        </w:tc>
        <w:tc>
          <w:tcPr>
            <w:tcW w:w="9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44,722</w:t>
            </w:r>
          </w:p>
        </w:tc>
        <w:tc>
          <w:tcPr>
            <w:tcW w:w="3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4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3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solutions business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44,722</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48,858</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39,912</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39,857</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43,455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36,535</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IC</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4,865</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5,403</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3,377</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(2)</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2,295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3,526</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0.8%pts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6.3%pts</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 solutions business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2.3%pts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3.3%pts</w:t>
            </w:r>
          </w:p>
        </w:tc>
        <w:tc>
          <w:tcPr>
            <w:tcW w:w="0" w:type="dxa"/>
            <w:vAlign w:val="bottom"/>
          </w:tcPr>
          <w:p>
            <w:pPr>
              <w:spacing w:after="0"/>
              <w:rPr>
                <w:sz w:val="1"/>
                <w:szCs w:val="1"/>
                <w:color w:val="auto"/>
              </w:rPr>
            </w:pPr>
          </w:p>
        </w:tc>
      </w:tr>
      <w:tr>
        <w:trPr>
          <w:trHeight w:val="216"/>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2.7%pts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2.4%pts</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IC</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1.6%pts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4.7%pts</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(2)</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(6,288)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(7,837)</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(9,391)</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(5,082)</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(8,732)</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(14,284)</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(0.37)</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(0.37)</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2"/>
        </w:trPr>
        <w:tc>
          <w:tcPr>
            <w:tcW w:w="52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(1)(3)</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10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Q4 2024</w:t>
            </w:r>
            <w:r>
              <w:rPr>
                <w:rFonts w:ascii="Times New Roman" w:cs="Times New Roman" w:eastAsia="Times New Roman" w:hAnsi="Times New Roman"/>
                <w:sz w:val="10"/>
                <w:szCs w:val="10"/>
                <w:b w:val="1"/>
                <w:bCs w:val="1"/>
                <w:color w:val="auto"/>
              </w:rPr>
              <w:t>(1)</w:t>
            </w: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9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Q1 2024</w:t>
            </w:r>
            <w:r>
              <w:rPr>
                <w:rFonts w:ascii="Times New Roman" w:cs="Times New Roman" w:eastAsia="Times New Roman" w:hAnsi="Times New Roman"/>
                <w:sz w:val="10"/>
                <w:szCs w:val="10"/>
                <w:b w:val="1"/>
                <w:bCs w:val="1"/>
                <w:color w:val="auto"/>
              </w:rPr>
              <w:t>(1)</w:t>
            </w:r>
          </w:p>
        </w:tc>
        <w:tc>
          <w:tcPr>
            <w:tcW w:w="9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(2,073)</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(466)</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(4,803)</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(Loss)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(3,815)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4,634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(9,836)</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(Loss) per Common Share—Diluted</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(0.10)</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4"/>
              </w:rPr>
              <w:t>down</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(0.26)</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4" w:right="48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non-GAAP metrics summarized herein do not include any amounts relating to the Display business, which has been classified as discontinued operations from Q1 2025, and we have reclassified certain prior year amounts to conform to the current year’s presentation.</w:t>
      </w:r>
    </w:p>
    <w:p>
      <w:pPr>
        <w:ind w:left="424" w:right="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had wound down these foundry services by the end of 2024. Because these foundry services during the wind-down period had still been provided to the same buyer by us using our Fab 3 based on mutually agreed terms and conditions, we continued to report our revenue from providing these foundry services and related cost of sales within the Transitional Fab 3 Foundry Services line in our consolidated statement of operations until such wind down was completed. Management believes that disclosing revenue of Transitional Fab 3 Foundry Services separately from the Power solutions business allows investors to better understand the results of our core PAS and Power IC businesses.</w:t>
      </w:r>
    </w:p>
    <w:p>
      <w:pPr>
        <w:spacing w:after="0" w:line="3" w:lineRule="exact"/>
        <w:rPr>
          <w:rFonts w:ascii="Times New Roman" w:cs="Times New Roman" w:eastAsia="Times New Roman" w:hAnsi="Times New Roman"/>
          <w:sz w:val="18"/>
          <w:szCs w:val="18"/>
          <w:color w:val="auto"/>
        </w:rPr>
      </w:pPr>
    </w:p>
    <w:p>
      <w:pPr>
        <w:ind w:left="424" w:right="24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Q2 and Full-year 2025 Financial Guidance</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Beginning Q1 2025, the Company has become a pure-play Power company, with the display business classified as discontinued operations and reported separately from continuing operations, which will include PAS and Power IC business lines. While actual results may vary, Magnachip currently expects the following: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Q2 2025:</w:t>
      </w:r>
    </w:p>
    <w:p>
      <w:pPr>
        <w:spacing w:after="0" w:line="135" w:lineRule="exact"/>
        <w:rPr>
          <w:sz w:val="20"/>
          <w:szCs w:val="20"/>
          <w:color w:val="auto"/>
        </w:rPr>
      </w:pPr>
    </w:p>
    <w:p>
      <w:pPr>
        <w:ind w:left="964" w:right="20"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PAS and Power IC businesses) to be in the range of $45 to $49 million, up 5.2% sequentially and up 6.6% year-over-year at the mid-point. This compares with equivalent revenue of $44.7 million in Q1 2025 and $44.1 million in Q2 2024.</w:t>
      </w:r>
    </w:p>
    <w:p>
      <w:pPr>
        <w:spacing w:after="0" w:line="81"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to be in the range of 19.5% to 21.5%. This compares with equivalent gross profit margin of 20.9% in Q1 2025 and 22.5% in Q2 2024.</w:t>
      </w:r>
    </w:p>
    <w:p>
      <w:pPr>
        <w:sectPr>
          <w:pgSz w:w="11900" w:h="16838" w:orient="portrait"/>
          <w:cols w:equalWidth="0" w:num="1">
            <w:col w:w="11024"/>
          </w:cols>
          <w:pgMar w:left="436" w:top="111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182880</wp:posOffset>
            </wp:positionV>
            <wp:extent cx="1037590" cy="33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010"/>
                    </a:xfrm>
                    <a:prstGeom prst="rect">
                      <a:avLst/>
                    </a:prstGeom>
                    <a:noFill/>
                  </pic:spPr>
                </pic:pic>
              </a:graphicData>
            </a:graphic>
          </wp:anchor>
        </w:drawing>
        <w:t>For the full-year 2025, we currently reiterate</w:t>
      </w:r>
    </w:p>
    <w:p>
      <w:pPr>
        <w:spacing w:after="0" w:line="135" w:lineRule="exact"/>
        <w:rPr>
          <w:sz w:val="20"/>
          <w:szCs w:val="20"/>
          <w:color w:val="auto"/>
        </w:rPr>
      </w:pPr>
    </w:p>
    <w:p>
      <w:pPr>
        <w:ind w:left="960" w:right="10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to grow mid-to-high single digit year-over-year as compared with equivalent revenue of $185.8 million in 2024.</w:t>
      </w:r>
    </w:p>
    <w:p>
      <w:pPr>
        <w:spacing w:after="0" w:line="67"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between 19.5% to 21.5%, reflecting the fact that we have completed the wind down of Transitional Foundry Services and new generation power products will just begin production in the second half 2025. The equivalent gross profit margin was 21.5%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will host a corresponding conference call at 2:00 p.m. PT / 5:00 p.m. ET on Monday, May 12, 2025,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https://register-conf.media-server.com/register/BIeaa8b9af1cc64fa4a8f5e1951afc70ab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second quarter and full year 2025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including between Russia-Ukraine and between Israel-Hamas, sustained military action and conflict in the Red Sea, and global macroeconomic conditions resulting from trade and tariff actions instituted between the U.S. and other countries on Magnachip’s future operating results and financial performance.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Russia-Ukraine and between Israel-Hamas and sustained military action and conflict in the Red Sea;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14, 2025,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000"/>
          </w:cols>
          <w:pgMar w:left="440" w:top="100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182880</wp:posOffset>
            </wp:positionV>
            <wp:extent cx="10541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42900"/>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steven@blueshirtgroup.co</w:t>
      </w:r>
    </w:p>
    <w:p>
      <w:pPr>
        <w:sectPr>
          <w:pgSz w:w="11900" w:h="16838" w:orient="portrait"/>
          <w:cols w:equalWidth="0" w:num="1">
            <w:col w:w="10820"/>
          </w:cols>
          <w:pgMar w:left="440" w:top="1130" w:right="639" w:bottom="1440" w:gutter="0" w:footer="0" w:header="0"/>
        </w:sectPr>
      </w:pPr>
    </w:p>
    <w:bookmarkStart w:id="7" w:name="page8"/>
    <w:bookmarkEnd w:id="7"/>
    <w:p>
      <w:pPr>
        <w:jc w:val="center"/>
        <w:ind w:left="440" w:right="25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182880</wp:posOffset>
            </wp:positionV>
            <wp:extent cx="1037590" cy="334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01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10"/>
                <w:szCs w:val="10"/>
                <w:color w:val="auto"/>
              </w:rPr>
            </w:pPr>
          </w:p>
        </w:tc>
        <w:tc>
          <w:tcPr>
            <w:tcW w:w="1540" w:type="dxa"/>
            <w:vAlign w:val="bottom"/>
            <w:gridSpan w:val="3"/>
          </w:tcPr>
          <w:p>
            <w:pPr>
              <w:jc w:val="center"/>
              <w:ind w:right="58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800" w:type="dxa"/>
            <w:vAlign w:val="bottom"/>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r>
      <w:tr>
        <w:trPr>
          <w:trHeight w:val="173"/>
        </w:trPr>
        <w:tc>
          <w:tcPr>
            <w:tcW w:w="6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CCEEFF"/>
            </w:tcBorders>
          </w:tcPr>
          <w:p>
            <w:pPr>
              <w:spacing w:after="0"/>
              <w:rPr>
                <w:sz w:val="15"/>
                <w:szCs w:val="15"/>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Power solutions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44,722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48,858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39,912</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3,526</w:t>
            </w:r>
          </w:p>
        </w:tc>
      </w:tr>
      <w:tr>
        <w:trPr>
          <w:trHeight w:val="223"/>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22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Power solutions business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37,530</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32,868</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4,211</w:t>
            </w: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2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6,359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Power solutions business net sales</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10,388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9,540</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6,210</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2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(9,391)</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(13,265)</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 expense (benefit)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22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1,905</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22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(7,545)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(1,133)</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6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Discontinuing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Discontinuing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36,887,841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w w:val="98"/>
              </w:rPr>
              <w:t>36,921,300</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38,544,781</w:t>
            </w: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36,887,841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w w:val="98"/>
              </w:rPr>
              <w:t>36,921,300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38,544,781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ectPr>
          <w:pgSz w:w="11900" w:h="16838" w:orient="portrait"/>
          <w:cols w:equalWidth="0" w:num="1">
            <w:col w:w="11024"/>
          </w:cols>
          <w:pgMar w:left="436" w:top="792"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182880</wp:posOffset>
            </wp:positionV>
            <wp:extent cx="1037590" cy="334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01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132,654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138,610</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28,270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28,402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32,633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30,535</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80,289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81,463</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52,889</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20,390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21,956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373,867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379,316</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24,483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21,642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0"/>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27,211</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18,041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17,094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102,519</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57,571,469 shares issued and 36,675,789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March 31, 2025 and 57,498,507 shares issued and 36,912,118 outstanding at December 31, 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280,452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279,423</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244,576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20,895,680 shares at March 31, 2025 and 20,586,389 shares at December 31, 2024,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(227,047)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(225,883)</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(20,477)</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(21,893)</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276,797</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373,867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08"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182880</wp:posOffset>
            </wp:positionV>
            <wp:extent cx="1037590" cy="334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01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92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2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(15,417)</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4,099</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1,514</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10,226</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(reversal) for inventory reserves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1,233</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(5,256)</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(2,045)</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(4,669)</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(3,972)</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30,059</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(1,306)</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138,610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132,654</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171,602</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1224" w:right="43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183515</wp:posOffset>
            </wp:positionV>
            <wp:extent cx="1037590" cy="334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64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OPERATING LOSS FROM CONTINUING OPERATIONS TO ADJUSTED OPERATING LOSS FROM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7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574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continuing operations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3"/>
              </w:rPr>
              <w:t>(6,288)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(9,391)</w:t>
            </w:r>
          </w:p>
        </w:tc>
        <w:tc>
          <w:tcPr>
            <w:tcW w:w="12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 continuing operations</w:t>
            </w:r>
          </w:p>
        </w:tc>
        <w:tc>
          <w:tcPr>
            <w:tcW w:w="236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(5,420)</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(4,468)</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(8,563)</w:t>
            </w:r>
          </w:p>
        </w:tc>
      </w:tr>
      <w:tr>
        <w:trPr>
          <w:trHeight w:val="20"/>
        </w:trPr>
        <w:tc>
          <w:tcPr>
            <w:tcW w:w="5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0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pacing w:after="0" w:line="162"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Other charges.</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2024, we recorded in our consolidated statement of operations $1,589 thousand of one-time cumulative financial impact in connection with certain employee benefits.</w:t>
      </w:r>
    </w:p>
    <w:p>
      <w:pPr>
        <w:sectPr>
          <w:pgSz w:w="11900" w:h="16838" w:orient="portrait"/>
          <w:cols w:equalWidth="0" w:num="1">
            <w:col w:w="11024"/>
          </w:cols>
          <w:pgMar w:left="436" w:top="1008"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6234430</wp:posOffset>
            </wp:positionH>
            <wp:positionV relativeFrom="page">
              <wp:posOffset>183515</wp:posOffset>
            </wp:positionV>
            <wp:extent cx="103759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3464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RECONCILIATION OF LOSS FROM CONTINUING OPERATIONS TO ADJUSTED EBITDA FROM CONTINUING OPERATIONS AND</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ADJUSTED INCOME (LOSS) FROM CONTINUING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124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61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3,741</w:t>
            </w:r>
          </w:p>
        </w:tc>
      </w:tr>
      <w:tr>
        <w:trPr>
          <w:trHeight w:val="27"/>
        </w:trPr>
        <w:tc>
          <w:tcPr>
            <w:tcW w:w="6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 continuing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(10,594)</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gain,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 continuing operations</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(14,284)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gain,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(1,343)</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(Loss) – continuing operations</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(Loss) – continuing operations per common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36,887,841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36,921,300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38,544,781</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36,887,841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37,738,210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38,544,781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pacing w:after="0" w:line="162"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EBITDA from continuing operations and Adjusted Income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net, (iii) Derivative valuation gain, net and (iv) Other charges. EBITDA – continuing operations for the periods indicated is defined as loss from continuing operations before interest income, interest expense, income tax expense (benefit), net and depreciation and amortization.</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We prepare Adjusted Income (Loss) from continuing operations by adjusting loss from continuing operations to eliminate the impact of a number of non-cash expenses and other items that may be either one time or recurring that we do not consider to be indicative of our core ongoing operating performance. We believe that Adjusted Income (Loss) from continuing operations is particularly useful because it reflects the impact of our asset base and capital structure on our operating performance. We define Adjusted Income (Loss) from continuing operations for the periods as net loss, adjusted to exclude (i) Equity-based compensation expense, (ii) Foreign currency loss, net, (iii) Derivative valuation gain, net, (iv) Other charges and (v) Income tax effect on non-GAAP adjustments.</w:t>
      </w:r>
    </w:p>
    <w:p>
      <w:pPr>
        <w:spacing w:after="0" w:line="187"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2024, we recorded in our consolidated statement of operations $1,589 thousand of one-time cumulative financial impact in connection with certain employee benefits.</w:t>
      </w:r>
    </w:p>
    <w:sectPr>
      <w:pgSz w:w="11900" w:h="16838" w:orient="portrait"/>
      <w:cols w:equalWidth="0" w:num="1">
        <w:col w:w="11024"/>
      </w:cols>
      <w:pgMar w:left="436" w:top="10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2025-05-12T15:33:55Z</dcterms:created>
  <dcterms:modified xsi:type="dcterms:W3CDTF">2025-05-12T15:33:55Z</dcterms:modified>
</cp:coreProperties>
</file>