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LEE CHAE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MAGNACHIP SEMICONDUCTOR,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YEOUI-DAERO, YEONGDEUNGPO-GU</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SEOUL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07335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MAGNACHIP SEMICONDUCTOR Corp</w:t>
              </w:r>
            </w:hyperlink>
            <w:r>
              <w:rPr/>
              <w:t xml:space="preserve"> [ </w:t>
            </w:r>
            <w:r>
              <w:rPr>
                <w:rFonts w:ascii="Times;serif" w:hAnsi="Times;serif"/>
                <w:color w:val="0000FF"/>
                <w:sz w:val="24"/>
                <w:shd w:fill="FFFFFF" w:val="clear"/>
              </w:rPr>
              <w:t>MX</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288,750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288,750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148,750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accordance with his appointment as the Issuer's Chief Executive Officer and principal executive officer and as a director of the Issuer, Mr. Lee was granted an initial equity award under the Issuer's 2020 Equity Incentive Plan (as amended). Each grant will vest over four years, with a one-year cliff vesting period, subject to Mr. Lee's continued service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See above explanation.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June 26, 2026, the Issuer's Board of Directors appointed Mr. Chae Lee to serve as Issuer's Chief Executive Officer and principal executive officer effective July 1, 2026, and also appointed him to serve as a director, effective July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Shinyoung Park,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8322" TargetMode="External"/><Relationship Id="rId5" Type="http://schemas.openxmlformats.org/officeDocument/2006/relationships/hyperlink" Target="http://www.sec.gov/cgi-bin/browse-edgar?action=getcompany&amp;CIK=00013257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3751</Characters>
  <CharactersWithSpaces>4369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