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26, 2007</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333-147388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83820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109220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LLC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940" w:type="dxa"/>
            <w:vAlign w:val="bottom"/>
          </w:tcPr>
          <w:p>
            <w:pPr>
              <w:jc w:val="center"/>
              <w:ind w:right="926"/>
              <w:spacing w:after="0"/>
              <w:rPr>
                <w:sz w:val="20"/>
                <w:szCs w:val="20"/>
                <w:color w:val="auto"/>
              </w:rPr>
            </w:pPr>
            <w:r>
              <w:rPr>
                <w:rFonts w:ascii="Arial" w:cs="Arial" w:eastAsia="Arial" w:hAnsi="Arial"/>
                <w:sz w:val="18"/>
                <w:szCs w:val="18"/>
                <w:b w:val="1"/>
                <w:bCs w:val="1"/>
                <w:color w:val="auto"/>
                <w:w w:val="98"/>
              </w:rPr>
              <w:t>Delaware</w:t>
            </w:r>
          </w:p>
        </w:tc>
        <w:tc>
          <w:tcPr>
            <w:tcW w:w="3980" w:type="dxa"/>
            <w:vAlign w:val="bottom"/>
          </w:tcPr>
          <w:p>
            <w:pPr>
              <w:jc w:val="center"/>
              <w:ind w:right="66"/>
              <w:spacing w:after="0"/>
              <w:rPr>
                <w:sz w:val="20"/>
                <w:szCs w:val="20"/>
                <w:color w:val="auto"/>
              </w:rPr>
            </w:pPr>
            <w:r>
              <w:rPr>
                <w:rFonts w:ascii="Arial" w:cs="Arial" w:eastAsia="Arial" w:hAnsi="Arial"/>
                <w:sz w:val="18"/>
                <w:szCs w:val="18"/>
                <w:b w:val="1"/>
                <w:bCs w:val="1"/>
                <w:color w:val="auto"/>
                <w:w w:val="99"/>
              </w:rPr>
              <w:t>3674</w:t>
            </w:r>
          </w:p>
        </w:tc>
        <w:tc>
          <w:tcPr>
            <w:tcW w:w="2260" w:type="dxa"/>
            <w:vAlign w:val="bottom"/>
          </w:tcPr>
          <w:p>
            <w:pPr>
              <w:jc w:val="center"/>
              <w:ind w:left="1046"/>
              <w:spacing w:after="0"/>
              <w:rPr>
                <w:sz w:val="20"/>
                <w:szCs w:val="20"/>
                <w:color w:val="auto"/>
              </w:rPr>
            </w:pPr>
            <w:r>
              <w:rPr>
                <w:rFonts w:ascii="Arial" w:cs="Arial" w:eastAsia="Arial" w:hAnsi="Arial"/>
                <w:sz w:val="18"/>
                <w:szCs w:val="18"/>
                <w:b w:val="1"/>
                <w:bCs w:val="1"/>
                <w:color w:val="auto"/>
                <w:w w:val="97"/>
              </w:rPr>
              <w:t>83-0406195</w:t>
            </w:r>
          </w:p>
        </w:tc>
      </w:tr>
      <w:tr>
        <w:trPr>
          <w:trHeight w:val="149"/>
        </w:trPr>
        <w:tc>
          <w:tcPr>
            <w:tcW w:w="2940" w:type="dxa"/>
            <w:vAlign w:val="bottom"/>
          </w:tcPr>
          <w:p>
            <w:pPr>
              <w:jc w:val="center"/>
              <w:ind w:right="92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60" w:type="dxa"/>
            <w:vAlign w:val="bottom"/>
          </w:tcPr>
          <w:p>
            <w:pPr>
              <w:jc w:val="center"/>
              <w:ind w:left="106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940" w:type="dxa"/>
            <w:vAlign w:val="bottom"/>
          </w:tcPr>
          <w:p>
            <w:pPr>
              <w:jc w:val="center"/>
              <w:ind w:right="926"/>
              <w:spacing w:after="0"/>
              <w:rPr>
                <w:sz w:val="20"/>
                <w:szCs w:val="20"/>
                <w:color w:val="auto"/>
              </w:rPr>
            </w:pPr>
            <w:r>
              <w:rPr>
                <w:rFonts w:ascii="Arial" w:cs="Arial" w:eastAsia="Arial" w:hAnsi="Arial"/>
                <w:sz w:val="14"/>
                <w:szCs w:val="14"/>
                <w:b w:val="1"/>
                <w:bCs w:val="1"/>
                <w:color w:val="auto"/>
                <w:w w:val="97"/>
              </w:rPr>
              <w:t>incorporation or organization)</w:t>
            </w:r>
          </w:p>
        </w:tc>
        <w:tc>
          <w:tcPr>
            <w:tcW w:w="3980" w:type="dxa"/>
            <w:vAlign w:val="bottom"/>
          </w:tcPr>
          <w:p>
            <w:pPr>
              <w:jc w:val="center"/>
              <w:ind w:right="66"/>
              <w:spacing w:after="0"/>
              <w:rPr>
                <w:sz w:val="20"/>
                <w:szCs w:val="20"/>
                <w:color w:val="auto"/>
              </w:rPr>
            </w:pPr>
            <w:r>
              <w:rPr>
                <w:rFonts w:ascii="Arial" w:cs="Arial" w:eastAsia="Arial" w:hAnsi="Arial"/>
                <w:sz w:val="14"/>
                <w:szCs w:val="14"/>
                <w:b w:val="1"/>
                <w:bCs w:val="1"/>
                <w:color w:val="auto"/>
                <w:w w:val="96"/>
              </w:rPr>
              <w:t>Classification Code Number)</w:t>
            </w:r>
          </w:p>
        </w:tc>
        <w:tc>
          <w:tcPr>
            <w:tcW w:w="2260" w:type="dxa"/>
            <w:vAlign w:val="bottom"/>
          </w:tcPr>
          <w:p>
            <w:pPr>
              <w:jc w:val="center"/>
              <w:ind w:left="1046"/>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 rue de Merl, B.P. 709, L-2017</w:t>
      </w:r>
    </w:p>
    <w:p>
      <w:pPr>
        <w:jc w:val="center"/>
        <w:spacing w:after="0" w:line="234" w:lineRule="auto"/>
        <w:rPr>
          <w:sz w:val="20"/>
          <w:szCs w:val="20"/>
          <w:color w:val="auto"/>
        </w:rPr>
      </w:pPr>
      <w:r>
        <w:rPr>
          <w:rFonts w:ascii="Arial" w:cs="Arial" w:eastAsia="Arial" w:hAnsi="Arial"/>
          <w:sz w:val="18"/>
          <w:szCs w:val="18"/>
          <w:b w:val="1"/>
          <w:bCs w:val="1"/>
          <w:color w:val="auto"/>
        </w:rPr>
        <w:t>Luxembourg, Grand Duchy of Luxembourg</w:t>
      </w:r>
    </w:p>
    <w:p>
      <w:pPr>
        <w:jc w:val="center"/>
        <w:spacing w:after="0" w:line="231" w:lineRule="auto"/>
        <w:rPr>
          <w:sz w:val="20"/>
          <w:szCs w:val="20"/>
          <w:color w:val="auto"/>
        </w:rPr>
      </w:pPr>
      <w:r>
        <w:rPr>
          <w:rFonts w:ascii="Arial" w:cs="Arial" w:eastAsia="Arial" w:hAnsi="Arial"/>
          <w:sz w:val="18"/>
          <w:szCs w:val="18"/>
          <w:b w:val="1"/>
          <w:bCs w:val="1"/>
          <w:color w:val="auto"/>
        </w:rPr>
        <w:t>(352) 45-62-62</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104140</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McFarland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jc w:val="center"/>
        <w:spacing w:after="0" w:line="234" w:lineRule="auto"/>
        <w:rPr>
          <w:sz w:val="20"/>
          <w:szCs w:val="20"/>
          <w:color w:val="auto"/>
        </w:rPr>
      </w:pPr>
      <w:r>
        <w:rPr>
          <w:rFonts w:ascii="Arial" w:cs="Arial" w:eastAsia="Arial" w:hAnsi="Arial"/>
          <w:sz w:val="18"/>
          <w:szCs w:val="18"/>
          <w:b w:val="1"/>
          <w:bCs w:val="1"/>
          <w:color w:val="auto"/>
        </w:rPr>
        <w:t>c/o MagnaChip Semiconductor, Inc.</w:t>
      </w:r>
    </w:p>
    <w:p>
      <w:pPr>
        <w:jc w:val="center"/>
        <w:spacing w:after="0" w:line="235" w:lineRule="auto"/>
        <w:rPr>
          <w:sz w:val="20"/>
          <w:szCs w:val="20"/>
          <w:color w:val="auto"/>
        </w:rPr>
      </w:pPr>
      <w:r>
        <w:rPr>
          <w:rFonts w:ascii="Arial" w:cs="Arial" w:eastAsia="Arial" w:hAnsi="Arial"/>
          <w:sz w:val="18"/>
          <w:szCs w:val="18"/>
          <w:b w:val="1"/>
          <w:bCs w:val="1"/>
          <w:color w:val="auto"/>
        </w:rPr>
        <w:t>787 North Mary Avenue</w:t>
      </w:r>
    </w:p>
    <w:p>
      <w:pPr>
        <w:jc w:val="center"/>
        <w:spacing w:after="0" w:line="235" w:lineRule="auto"/>
        <w:rPr>
          <w:sz w:val="20"/>
          <w:szCs w:val="20"/>
          <w:color w:val="auto"/>
        </w:rPr>
      </w:pPr>
      <w:r>
        <w:rPr>
          <w:rFonts w:ascii="Arial" w:cs="Arial" w:eastAsia="Arial" w:hAnsi="Arial"/>
          <w:sz w:val="18"/>
          <w:szCs w:val="18"/>
          <w:b w:val="1"/>
          <w:bCs w:val="1"/>
          <w:color w:val="auto"/>
        </w:rPr>
        <w:t>Sunnyvale, California 94085</w:t>
      </w:r>
    </w:p>
    <w:p>
      <w:pPr>
        <w:jc w:val="center"/>
        <w:spacing w:after="0" w:line="235" w:lineRule="auto"/>
        <w:rPr>
          <w:sz w:val="20"/>
          <w:szCs w:val="20"/>
          <w:color w:val="auto"/>
        </w:rPr>
      </w:pPr>
      <w:r>
        <w:rPr>
          <w:rFonts w:ascii="Arial" w:cs="Arial" w:eastAsia="Arial" w:hAnsi="Arial"/>
          <w:sz w:val="18"/>
          <w:szCs w:val="18"/>
          <w:b w:val="1"/>
          <w:bCs w:val="1"/>
          <w:color w:val="auto"/>
        </w:rPr>
        <w:t>Telephone: (408) 636-5200</w:t>
      </w:r>
    </w:p>
    <w:p>
      <w:pPr>
        <w:jc w:val="center"/>
        <w:spacing w:after="0" w:line="230" w:lineRule="auto"/>
        <w:rPr>
          <w:sz w:val="20"/>
          <w:szCs w:val="20"/>
          <w:color w:val="auto"/>
        </w:rPr>
      </w:pPr>
      <w:r>
        <w:rPr>
          <w:rFonts w:ascii="Arial" w:cs="Arial" w:eastAsia="Arial" w:hAnsi="Arial"/>
          <w:sz w:val="18"/>
          <w:szCs w:val="18"/>
          <w:b w:val="1"/>
          <w:bCs w:val="1"/>
          <w:color w:val="auto"/>
        </w:rPr>
        <w:t>Fax: (408) 213-2450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78105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8" w:lineRule="exact"/>
        <w:rPr>
          <w:sz w:val="24"/>
          <w:szCs w:val="24"/>
          <w:color w:val="auto"/>
        </w:rPr>
      </w:pPr>
    </w:p>
    <w:tbl>
      <w:tblPr>
        <w:tblLayout w:type="fixed"/>
        <w:tblInd w:w="174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548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7"/>
              </w:rPr>
              <w:t>Sang H. Park</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8"/>
              </w:rPr>
              <w:t>Eva H. Davis</w:t>
            </w:r>
          </w:p>
        </w:tc>
      </w:tr>
      <w:tr>
        <w:trPr>
          <w:trHeight w:val="203"/>
        </w:trPr>
        <w:tc>
          <w:tcPr>
            <w:tcW w:w="2880" w:type="dxa"/>
            <w:vAlign w:val="bottom"/>
          </w:tcPr>
          <w:p>
            <w:pPr>
              <w:jc w:val="center"/>
              <w:ind w:right="532"/>
              <w:spacing w:after="0" w:line="202" w:lineRule="exact"/>
              <w:rPr>
                <w:sz w:val="20"/>
                <w:szCs w:val="20"/>
                <w:color w:val="auto"/>
              </w:rPr>
            </w:pPr>
            <w:r>
              <w:rPr>
                <w:rFonts w:ascii="Arial" w:cs="Arial" w:eastAsia="Arial" w:hAnsi="Arial"/>
                <w:sz w:val="18"/>
                <w:szCs w:val="18"/>
                <w:b w:val="1"/>
                <w:bCs w:val="1"/>
                <w:color w:val="auto"/>
                <w:w w:val="97"/>
              </w:rPr>
              <w:t>Thomas J. Friedmann</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Kirkland &amp; Ellis LLP</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8"/>
              </w:rPr>
              <w:t>Dechert LLP</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777 S. Figueroa Street, Suite 3700</w:t>
            </w:r>
          </w:p>
        </w:tc>
      </w:tr>
      <w:tr>
        <w:trPr>
          <w:trHeight w:val="203"/>
        </w:trPr>
        <w:tc>
          <w:tcPr>
            <w:tcW w:w="288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7"/>
              </w:rPr>
              <w:t>30 Rockefeller Plaza</w:t>
            </w:r>
          </w:p>
        </w:tc>
        <w:tc>
          <w:tcPr>
            <w:tcW w:w="5480" w:type="dxa"/>
            <w:vAlign w:val="bottom"/>
          </w:tcPr>
          <w:p>
            <w:pPr>
              <w:jc w:val="center"/>
              <w:ind w:left="2552"/>
              <w:spacing w:after="0" w:line="202" w:lineRule="exact"/>
              <w:rPr>
                <w:sz w:val="20"/>
                <w:szCs w:val="20"/>
                <w:color w:val="auto"/>
              </w:rPr>
            </w:pPr>
            <w:r>
              <w:rPr>
                <w:rFonts w:ascii="Arial" w:cs="Arial" w:eastAsia="Arial" w:hAnsi="Arial"/>
                <w:sz w:val="18"/>
                <w:szCs w:val="18"/>
                <w:b w:val="1"/>
                <w:bCs w:val="1"/>
                <w:color w:val="auto"/>
                <w:w w:val="97"/>
              </w:rPr>
              <w:t>Los Angeles, California 90017</w:t>
            </w:r>
          </w:p>
        </w:tc>
      </w:tr>
      <w:tr>
        <w:trPr>
          <w:trHeight w:val="203"/>
        </w:trPr>
        <w:tc>
          <w:tcPr>
            <w:tcW w:w="2880" w:type="dxa"/>
            <w:vAlign w:val="bottom"/>
          </w:tcPr>
          <w:p>
            <w:pPr>
              <w:jc w:val="center"/>
              <w:ind w:right="592"/>
              <w:spacing w:after="0" w:line="202" w:lineRule="exact"/>
              <w:rPr>
                <w:sz w:val="20"/>
                <w:szCs w:val="20"/>
                <w:color w:val="auto"/>
              </w:rPr>
            </w:pPr>
            <w:r>
              <w:rPr>
                <w:rFonts w:ascii="Arial" w:cs="Arial" w:eastAsia="Arial" w:hAnsi="Arial"/>
                <w:sz w:val="18"/>
                <w:szCs w:val="18"/>
                <w:b w:val="1"/>
                <w:bCs w:val="1"/>
                <w:color w:val="auto"/>
                <w:w w:val="96"/>
              </w:rPr>
              <w:t>New York, New York 10122</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7"/>
              </w:rPr>
              <w:t>Telephone: (213) 680-8400</w:t>
            </w:r>
          </w:p>
        </w:tc>
      </w:tr>
      <w:tr>
        <w:trPr>
          <w:trHeight w:val="203"/>
        </w:trPr>
        <w:tc>
          <w:tcPr>
            <w:tcW w:w="2880" w:type="dxa"/>
            <w:vAlign w:val="bottom"/>
          </w:tcPr>
          <w:p>
            <w:pPr>
              <w:jc w:val="center"/>
              <w:ind w:right="532"/>
              <w:spacing w:after="0" w:line="202" w:lineRule="exact"/>
              <w:rPr>
                <w:sz w:val="20"/>
                <w:szCs w:val="20"/>
                <w:color w:val="auto"/>
              </w:rPr>
            </w:pPr>
            <w:r>
              <w:rPr>
                <w:rFonts w:ascii="Arial" w:cs="Arial" w:eastAsia="Arial" w:hAnsi="Arial"/>
                <w:sz w:val="18"/>
                <w:szCs w:val="18"/>
                <w:b w:val="1"/>
                <w:bCs w:val="1"/>
                <w:color w:val="auto"/>
                <w:w w:val="97"/>
              </w:rPr>
              <w:t>Telephone: (212) 698-3500</w:t>
            </w:r>
          </w:p>
        </w:tc>
        <w:tc>
          <w:tcPr>
            <w:tcW w:w="5480" w:type="dxa"/>
            <w:vAlign w:val="bottom"/>
          </w:tcPr>
          <w:p>
            <w:pPr>
              <w:jc w:val="center"/>
              <w:ind w:left="2572"/>
              <w:spacing w:after="0" w:line="202" w:lineRule="exact"/>
              <w:rPr>
                <w:sz w:val="20"/>
                <w:szCs w:val="20"/>
                <w:color w:val="auto"/>
              </w:rPr>
            </w:pPr>
            <w:r>
              <w:rPr>
                <w:rFonts w:ascii="Arial" w:cs="Arial" w:eastAsia="Arial" w:hAnsi="Arial"/>
                <w:sz w:val="18"/>
                <w:szCs w:val="18"/>
                <w:b w:val="1"/>
                <w:bCs w:val="1"/>
                <w:color w:val="auto"/>
                <w:w w:val="98"/>
              </w:rPr>
              <w:t>Fax: (213) 680-8500</w:t>
            </w:r>
          </w:p>
        </w:tc>
      </w:tr>
      <w:tr>
        <w:trPr>
          <w:trHeight w:val="233"/>
        </w:trPr>
        <w:tc>
          <w:tcPr>
            <w:tcW w:w="2880" w:type="dxa"/>
            <w:vAlign w:val="bottom"/>
          </w:tcPr>
          <w:p>
            <w:pPr>
              <w:jc w:val="center"/>
              <w:ind w:right="552"/>
              <w:spacing w:after="0"/>
              <w:rPr>
                <w:sz w:val="20"/>
                <w:szCs w:val="20"/>
                <w:color w:val="auto"/>
              </w:rPr>
            </w:pPr>
            <w:r>
              <w:rPr>
                <w:rFonts w:ascii="Arial" w:cs="Arial" w:eastAsia="Arial" w:hAnsi="Arial"/>
                <w:sz w:val="18"/>
                <w:szCs w:val="18"/>
                <w:b w:val="1"/>
                <w:bCs w:val="1"/>
                <w:color w:val="auto"/>
                <w:w w:val="96"/>
              </w:rPr>
              <w:t>Fax: (212) 698-3599</w:t>
            </w:r>
          </w:p>
        </w:tc>
        <w:tc>
          <w:tcPr>
            <w:tcW w:w="5480" w:type="dxa"/>
            <w:vAlign w:val="bottom"/>
          </w:tcPr>
          <w:p>
            <w:pPr>
              <w:spacing w:after="0"/>
              <w:rPr>
                <w:sz w:val="20"/>
                <w:szCs w:val="20"/>
                <w:color w:val="auto"/>
              </w:rPr>
            </w:pPr>
          </w:p>
        </w:tc>
      </w:tr>
    </w:tbl>
    <w:p>
      <w:pPr>
        <w:spacing w:after="0" w:line="3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58" w:lineRule="exact"/>
        <w:rPr>
          <w:sz w:val="24"/>
          <w:szCs w:val="24"/>
          <w:color w:val="auto"/>
        </w:rPr>
      </w:pPr>
    </w:p>
    <w:p>
      <w:pPr>
        <w:ind w:right="460" w:firstLine="342"/>
        <w:spacing w:after="0" w:line="163"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6" w:lineRule="exact"/>
        <w:rPr>
          <w:sz w:val="24"/>
          <w:szCs w:val="24"/>
          <w:color w:val="auto"/>
        </w:rPr>
      </w:pPr>
    </w:p>
    <w:p>
      <w:pPr>
        <w:ind w:right="160" w:firstLine="342"/>
        <w:spacing w:after="0" w:line="163"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right="120" w:firstLine="342"/>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6" w:lineRule="exact"/>
        <w:rPr>
          <w:sz w:val="24"/>
          <w:szCs w:val="24"/>
          <w:color w:val="auto"/>
        </w:rPr>
      </w:pPr>
    </w:p>
    <w:p>
      <w:pPr>
        <w:ind w:right="120" w:firstLine="342"/>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Proposed maximum</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40" w:type="dxa"/>
            <w:vAlign w:val="bottom"/>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6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aggregate</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72"/>
        </w:trPr>
        <w:tc>
          <w:tcPr>
            <w:tcW w:w="7740" w:type="dxa"/>
            <w:vAlign w:val="bottom"/>
            <w:tcBorders>
              <w:bottom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5"/>
              </w:rPr>
              <w:t>offering price(1)</w:t>
            </w:r>
          </w:p>
        </w:tc>
        <w:tc>
          <w:tcPr>
            <w:tcW w:w="64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201"/>
        </w:trPr>
        <w:tc>
          <w:tcPr>
            <w:tcW w:w="774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w:t>
            </w:r>
          </w:p>
        </w:tc>
        <w:tc>
          <w:tcPr>
            <w:tcW w:w="1940" w:type="dxa"/>
            <w:vAlign w:val="bottom"/>
            <w:gridSpan w:val="2"/>
          </w:tcPr>
          <w:p>
            <w:pPr>
              <w:jc w:val="center"/>
              <w:ind w:left="552"/>
              <w:spacing w:after="0" w:line="201" w:lineRule="exact"/>
              <w:rPr>
                <w:sz w:val="20"/>
                <w:szCs w:val="20"/>
                <w:color w:val="auto"/>
              </w:rPr>
            </w:pPr>
            <w:r>
              <w:rPr>
                <w:rFonts w:ascii="Arial" w:cs="Arial" w:eastAsia="Arial" w:hAnsi="Arial"/>
                <w:sz w:val="18"/>
                <w:szCs w:val="18"/>
                <w:color w:val="auto"/>
                <w:w w:val="96"/>
              </w:rPr>
              <w:t>$575,000,000</w:t>
            </w:r>
          </w:p>
        </w:tc>
        <w:tc>
          <w:tcPr>
            <w:tcW w:w="1740" w:type="dxa"/>
            <w:vAlign w:val="bottom"/>
            <w:gridSpan w:val="2"/>
          </w:tcPr>
          <w:p>
            <w:pPr>
              <w:jc w:val="center"/>
              <w:ind w:left="552"/>
              <w:spacing w:after="0" w:line="201" w:lineRule="exact"/>
              <w:rPr>
                <w:sz w:val="20"/>
                <w:szCs w:val="20"/>
                <w:color w:val="auto"/>
              </w:rPr>
            </w:pPr>
            <w:r>
              <w:rPr>
                <w:rFonts w:ascii="Arial" w:cs="Arial" w:eastAsia="Arial" w:hAnsi="Arial"/>
                <w:sz w:val="18"/>
                <w:szCs w:val="18"/>
                <w:color w:val="auto"/>
                <w:w w:val="98"/>
              </w:rPr>
              <w:t>$17,652.50(2)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23" w:lineRule="auto"/>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w:t>
      </w:r>
    </w:p>
    <w:p>
      <w:pPr>
        <w:ind w:left="180" w:hanging="172"/>
        <w:spacing w:after="0"/>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53" w:lineRule="exact"/>
        <w:rPr>
          <w:sz w:val="24"/>
          <w:szCs w:val="24"/>
          <w:color w:val="auto"/>
        </w:rPr>
      </w:pPr>
    </w:p>
    <w:p>
      <w:pPr>
        <w:ind w:right="120" w:firstLine="342"/>
        <w:spacing w:after="0" w:line="23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December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149860</wp:posOffset>
            </wp:positionV>
            <wp:extent cx="188658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0" w:type="dxa"/>
            <w:vAlign w:val="bottom"/>
            <w:gridSpan w:val="2"/>
          </w:tcPr>
          <w:p>
            <w:pPr>
              <w:ind w:left="380"/>
              <w:spacing w:after="0"/>
              <w:rPr>
                <w:sz w:val="20"/>
                <w:szCs w:val="20"/>
                <w:color w:val="auto"/>
              </w:rPr>
            </w:pPr>
            <w:r>
              <w:rPr>
                <w:rFonts w:ascii="Arial" w:cs="Arial" w:eastAsia="Arial" w:hAnsi="Arial"/>
                <w:sz w:val="24"/>
                <w:szCs w:val="24"/>
                <w:color w:val="auto"/>
              </w:rPr>
              <w:t>Common Stock</w:t>
            </w:r>
          </w:p>
        </w:tc>
      </w:tr>
      <w:tr>
        <w:trPr>
          <w:trHeight w:val="252"/>
        </w:trPr>
        <w:tc>
          <w:tcPr>
            <w:tcW w:w="540" w:type="dxa"/>
            <w:vAlign w:val="bottom"/>
          </w:tcPr>
          <w:p>
            <w:pPr>
              <w:spacing w:after="0"/>
              <w:rPr>
                <w:sz w:val="21"/>
                <w:szCs w:val="21"/>
                <w:color w:val="auto"/>
              </w:rPr>
            </w:pPr>
          </w:p>
        </w:tc>
        <w:tc>
          <w:tcPr>
            <w:tcW w:w="3960" w:type="dxa"/>
            <w:vAlign w:val="bottom"/>
            <w:gridSpan w:val="3"/>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4380" w:type="dxa"/>
            <w:vAlign w:val="bottom"/>
          </w:tcPr>
          <w:p>
            <w:pPr>
              <w:spacing w:after="0"/>
              <w:rPr>
                <w:sz w:val="21"/>
                <w:szCs w:val="21"/>
                <w:color w:val="auto"/>
              </w:rPr>
            </w:pPr>
          </w:p>
        </w:tc>
      </w:tr>
      <w:tr>
        <w:trPr>
          <w:trHeight w:val="334"/>
        </w:trPr>
        <w:tc>
          <w:tcPr>
            <w:tcW w:w="540" w:type="dxa"/>
            <w:vAlign w:val="bottom"/>
          </w:tcPr>
          <w:p>
            <w:pPr>
              <w:spacing w:after="0"/>
              <w:rPr>
                <w:sz w:val="24"/>
                <w:szCs w:val="24"/>
                <w:color w:val="auto"/>
              </w:rPr>
            </w:pPr>
          </w:p>
        </w:tc>
        <w:tc>
          <w:tcPr>
            <w:tcW w:w="10760" w:type="dxa"/>
            <w:vAlign w:val="bottom"/>
            <w:gridSpan w:val="5"/>
          </w:tcPr>
          <w:p>
            <w:pPr>
              <w:ind w:left="40"/>
              <w:spacing w:after="0"/>
              <w:rPr>
                <w:sz w:val="20"/>
                <w:szCs w:val="20"/>
                <w:color w:val="auto"/>
              </w:rPr>
            </w:pPr>
            <w:r>
              <w:rPr>
                <w:rFonts w:ascii="Arial" w:cs="Arial" w:eastAsia="Arial" w:hAnsi="Arial"/>
                <w:sz w:val="18"/>
                <w:szCs w:val="18"/>
                <w:color w:val="auto"/>
                <w:w w:val="99"/>
              </w:rPr>
              <w:t>This is the initial public offering of common stock of MagnaChip Semiconductor Corporation. MagnaChip Semiconductor Corporation 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selling</w:t>
            </w:r>
          </w:p>
        </w:tc>
        <w:tc>
          <w:tcPr>
            <w:tcW w:w="10760" w:type="dxa"/>
            <w:vAlign w:val="bottom"/>
            <w:gridSpan w:val="5"/>
          </w:tcPr>
          <w:p>
            <w:pPr>
              <w:ind w:left="640"/>
              <w:spacing w:after="0" w:line="202" w:lineRule="exact"/>
              <w:rPr>
                <w:sz w:val="20"/>
                <w:szCs w:val="20"/>
                <w:color w:val="auto"/>
              </w:rPr>
            </w:pPr>
            <w:r>
              <w:rPr>
                <w:rFonts w:ascii="Arial" w:cs="Arial" w:eastAsia="Arial" w:hAnsi="Arial"/>
                <w:sz w:val="18"/>
                <w:szCs w:val="18"/>
                <w:color w:val="auto"/>
                <w:w w:val="99"/>
              </w:rPr>
              <w:t>shares of common stock, and the selling stockholders identified in this prospectus, including some of our executive officers, are</w:t>
            </w:r>
          </w:p>
        </w:tc>
      </w:tr>
      <w:tr>
        <w:trPr>
          <w:trHeight w:val="203"/>
        </w:trPr>
        <w:tc>
          <w:tcPr>
            <w:tcW w:w="2040" w:type="dxa"/>
            <w:vAlign w:val="bottom"/>
            <w:gridSpan w:val="2"/>
          </w:tcPr>
          <w:p>
            <w:pPr>
              <w:spacing w:after="0" w:line="202" w:lineRule="exact"/>
              <w:rPr>
                <w:sz w:val="20"/>
                <w:szCs w:val="20"/>
                <w:color w:val="auto"/>
              </w:rPr>
            </w:pPr>
            <w:r>
              <w:rPr>
                <w:rFonts w:ascii="Arial" w:cs="Arial" w:eastAsia="Arial" w:hAnsi="Arial"/>
                <w:sz w:val="18"/>
                <w:szCs w:val="18"/>
                <w:color w:val="auto"/>
              </w:rPr>
              <w:t>selling an additional</w:t>
            </w:r>
          </w:p>
        </w:tc>
        <w:tc>
          <w:tcPr>
            <w:tcW w:w="9260" w:type="dxa"/>
            <w:vAlign w:val="bottom"/>
            <w:gridSpan w:val="4"/>
          </w:tcPr>
          <w:p>
            <w:pPr>
              <w:ind w:left="200"/>
              <w:spacing w:after="0" w:line="202" w:lineRule="exact"/>
              <w:rPr>
                <w:sz w:val="20"/>
                <w:szCs w:val="20"/>
                <w:color w:val="auto"/>
              </w:rPr>
            </w:pPr>
            <w:r>
              <w:rPr>
                <w:rFonts w:ascii="Arial" w:cs="Arial" w:eastAsia="Arial" w:hAnsi="Arial"/>
                <w:sz w:val="18"/>
                <w:szCs w:val="18"/>
                <w:color w:val="auto"/>
                <w:w w:val="97"/>
              </w:rPr>
              <w:t>shares pursuant to the underwriters’ exercise of their option to purchase additional shares. We will not receive any of</w:t>
            </w:r>
          </w:p>
        </w:tc>
      </w:tr>
      <w:tr>
        <w:trPr>
          <w:trHeight w:val="211"/>
        </w:trPr>
        <w:tc>
          <w:tcPr>
            <w:tcW w:w="11300" w:type="dxa"/>
            <w:vAlign w:val="bottom"/>
            <w:gridSpan w:val="6"/>
          </w:tcPr>
          <w:p>
            <w:pPr>
              <w:spacing w:after="0"/>
              <w:rPr>
                <w:sz w:val="20"/>
                <w:szCs w:val="20"/>
                <w:color w:val="auto"/>
              </w:rPr>
            </w:pPr>
            <w:r>
              <w:rPr>
                <w:rFonts w:ascii="Arial" w:cs="Arial" w:eastAsia="Arial" w:hAnsi="Arial"/>
                <w:sz w:val="18"/>
                <w:szCs w:val="18"/>
                <w:color w:val="auto"/>
              </w:rPr>
              <w:t>the proceeds from the sale of the shares by the selling stockholders.</w:t>
            </w:r>
          </w:p>
        </w:tc>
      </w:tr>
      <w:tr>
        <w:trPr>
          <w:trHeight w:val="329"/>
        </w:trPr>
        <w:tc>
          <w:tcPr>
            <w:tcW w:w="540" w:type="dxa"/>
            <w:vAlign w:val="bottom"/>
          </w:tcPr>
          <w:p>
            <w:pPr>
              <w:spacing w:after="0"/>
              <w:rPr>
                <w:sz w:val="24"/>
                <w:szCs w:val="24"/>
                <w:color w:val="auto"/>
              </w:rPr>
            </w:pPr>
          </w:p>
        </w:tc>
        <w:tc>
          <w:tcPr>
            <w:tcW w:w="10760" w:type="dxa"/>
            <w:vAlign w:val="bottom"/>
            <w:gridSpan w:val="5"/>
          </w:tcPr>
          <w:p>
            <w:pPr>
              <w:ind w:left="40"/>
              <w:spacing w:after="0"/>
              <w:rPr>
                <w:sz w:val="20"/>
                <w:szCs w:val="20"/>
                <w:color w:val="auto"/>
              </w:rPr>
            </w:pPr>
            <w:r>
              <w:rPr>
                <w:rFonts w:ascii="Arial" w:cs="Arial" w:eastAsia="Arial" w:hAnsi="Arial"/>
                <w:sz w:val="18"/>
                <w:szCs w:val="18"/>
                <w:color w:val="auto"/>
                <w:w w:val="97"/>
              </w:rPr>
              <w:t>Prior to this offering, there has been no public market for our common stock. It is currently estimated that the initial public offering price per</w:t>
            </w:r>
          </w:p>
        </w:tc>
      </w:tr>
      <w:tr>
        <w:trPr>
          <w:trHeight w:val="211"/>
        </w:trPr>
        <w:tc>
          <w:tcPr>
            <w:tcW w:w="2040" w:type="dxa"/>
            <w:vAlign w:val="bottom"/>
            <w:gridSpan w:val="2"/>
          </w:tcPr>
          <w:p>
            <w:pPr>
              <w:spacing w:after="0"/>
              <w:rPr>
                <w:sz w:val="20"/>
                <w:szCs w:val="20"/>
                <w:color w:val="auto"/>
              </w:rPr>
            </w:pPr>
            <w:r>
              <w:rPr>
                <w:rFonts w:ascii="Arial" w:cs="Arial" w:eastAsia="Arial" w:hAnsi="Arial"/>
                <w:sz w:val="18"/>
                <w:szCs w:val="18"/>
                <w:color w:val="auto"/>
              </w:rPr>
              <w:t>share will be between $</w:t>
            </w:r>
          </w:p>
        </w:tc>
        <w:tc>
          <w:tcPr>
            <w:tcW w:w="1160" w:type="dxa"/>
            <w:vAlign w:val="bottom"/>
          </w:tcPr>
          <w:p>
            <w:pPr>
              <w:ind w:left="440"/>
              <w:spacing w:after="0"/>
              <w:rPr>
                <w:sz w:val="20"/>
                <w:szCs w:val="20"/>
                <w:color w:val="auto"/>
              </w:rPr>
            </w:pPr>
            <w:r>
              <w:rPr>
                <w:rFonts w:ascii="Arial" w:cs="Arial" w:eastAsia="Arial" w:hAnsi="Arial"/>
                <w:sz w:val="18"/>
                <w:szCs w:val="18"/>
                <w:color w:val="auto"/>
              </w:rPr>
              <w:t>and $</w:t>
            </w:r>
          </w:p>
        </w:tc>
        <w:tc>
          <w:tcPr>
            <w:tcW w:w="8100" w:type="dxa"/>
            <w:vAlign w:val="bottom"/>
            <w:gridSpan w:val="3"/>
          </w:tcPr>
          <w:p>
            <w:pPr>
              <w:ind w:left="300"/>
              <w:spacing w:after="0"/>
              <w:rPr>
                <w:sz w:val="20"/>
                <w:szCs w:val="20"/>
                <w:color w:val="auto"/>
              </w:rPr>
            </w:pPr>
            <w:r>
              <w:rPr>
                <w:rFonts w:ascii="Arial" w:cs="Arial" w:eastAsia="Arial" w:hAnsi="Arial"/>
                <w:sz w:val="18"/>
                <w:szCs w:val="18"/>
                <w:color w:val="auto"/>
              </w:rPr>
              <w:t>. We intend to list the common stock on the New York Stock Exchange under the symbol “MX”.</w:t>
            </w:r>
          </w:p>
        </w:tc>
      </w:tr>
    </w:tbl>
    <w:p>
      <w:pPr>
        <w:spacing w:after="0" w:line="109"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 </w:t>
      </w:r>
      <w:hyperlink w:anchor="page13">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9 to read about factors you should consider before buying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169545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7"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142875</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Per share</w:t>
            </w:r>
          </w:p>
        </w:tc>
        <w:tc>
          <w:tcPr>
            <w:tcW w:w="440" w:type="dxa"/>
            <w:vAlign w:val="bottom"/>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Total</w:t>
            </w:r>
          </w:p>
        </w:tc>
      </w:tr>
      <w:tr>
        <w:trPr>
          <w:trHeight w:val="199"/>
        </w:trPr>
        <w:tc>
          <w:tcPr>
            <w:tcW w:w="7480" w:type="dxa"/>
            <w:vAlign w:val="bottom"/>
          </w:tcPr>
          <w:p>
            <w:pPr>
              <w:spacing w:after="0" w:line="200" w:lineRule="exact"/>
              <w:rPr>
                <w:sz w:val="20"/>
                <w:szCs w:val="20"/>
                <w:color w:val="auto"/>
              </w:rPr>
            </w:pPr>
            <w:r>
              <w:rPr>
                <w:rFonts w:ascii="Arial" w:cs="Arial" w:eastAsia="Arial" w:hAnsi="Arial"/>
                <w:sz w:val="18"/>
                <w:szCs w:val="18"/>
                <w:color w:val="auto"/>
              </w:rPr>
              <w:t>Initial public offering price</w:t>
            </w:r>
          </w:p>
        </w:tc>
        <w:tc>
          <w:tcPr>
            <w:tcW w:w="2800" w:type="dxa"/>
            <w:vAlign w:val="bottom"/>
            <w:gridSpan w:val="2"/>
          </w:tcPr>
          <w:p>
            <w:pPr>
              <w:ind w:left="202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8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11"/>
        </w:trPr>
        <w:tc>
          <w:tcPr>
            <w:tcW w:w="7480" w:type="dxa"/>
            <w:vAlign w:val="bottom"/>
          </w:tcPr>
          <w:p>
            <w:pPr>
              <w:spacing w:after="0"/>
              <w:rPr>
                <w:sz w:val="20"/>
                <w:szCs w:val="20"/>
                <w:color w:val="auto"/>
              </w:rPr>
            </w:pPr>
            <w:r>
              <w:rPr>
                <w:rFonts w:ascii="Arial" w:cs="Arial" w:eastAsia="Arial" w:hAnsi="Arial"/>
                <w:sz w:val="18"/>
                <w:szCs w:val="18"/>
                <w:color w:val="auto"/>
              </w:rPr>
              <w:t>Proceeds, before expenses to MagnaChip Semiconductor Corporation</w:t>
            </w:r>
          </w:p>
        </w:tc>
        <w:tc>
          <w:tcPr>
            <w:tcW w:w="28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ind w:left="580"/>
              <w:spacing w:after="0"/>
              <w:rPr>
                <w:sz w:val="20"/>
                <w:szCs w:val="20"/>
                <w:color w:val="auto"/>
              </w:rPr>
            </w:pPr>
            <w:r>
              <w:rPr>
                <w:rFonts w:ascii="Arial" w:cs="Arial" w:eastAsia="Arial" w:hAnsi="Arial"/>
                <w:sz w:val="18"/>
                <w:szCs w:val="18"/>
                <w:color w:val="auto"/>
                <w:w w:val="97"/>
              </w:rPr>
              <w:t>To the extent that the underwriters sell more than</w:t>
            </w:r>
          </w:p>
        </w:tc>
        <w:tc>
          <w:tcPr>
            <w:tcW w:w="80" w:type="dxa"/>
            <w:vAlign w:val="bottom"/>
          </w:tcPr>
          <w:p>
            <w:pPr>
              <w:spacing w:after="0"/>
              <w:rPr>
                <w:sz w:val="18"/>
                <w:szCs w:val="18"/>
                <w:color w:val="auto"/>
              </w:rPr>
            </w:pPr>
          </w:p>
        </w:tc>
        <w:tc>
          <w:tcPr>
            <w:tcW w:w="6720" w:type="dxa"/>
            <w:vAlign w:val="bottom"/>
            <w:gridSpan w:val="4"/>
          </w:tcPr>
          <w:p>
            <w:pPr>
              <w:jc w:val="right"/>
              <w:spacing w:after="0"/>
              <w:rPr>
                <w:sz w:val="20"/>
                <w:szCs w:val="20"/>
                <w:color w:val="auto"/>
              </w:rPr>
            </w:pPr>
            <w:r>
              <w:rPr>
                <w:rFonts w:ascii="Arial" w:cs="Arial" w:eastAsia="Arial" w:hAnsi="Arial"/>
                <w:sz w:val="18"/>
                <w:szCs w:val="18"/>
                <w:color w:val="auto"/>
              </w:rPr>
              <w:t>shares of common stock, the underwriters have the option to purchase up to an</w:t>
            </w:r>
          </w:p>
        </w:tc>
      </w:tr>
      <w:tr>
        <w:trPr>
          <w:trHeight w:val="211"/>
        </w:trPr>
        <w:tc>
          <w:tcPr>
            <w:tcW w:w="800" w:type="dxa"/>
            <w:vAlign w:val="bottom"/>
          </w:tcPr>
          <w:p>
            <w:pPr>
              <w:spacing w:after="0"/>
              <w:rPr>
                <w:sz w:val="20"/>
                <w:szCs w:val="20"/>
                <w:color w:val="auto"/>
              </w:rPr>
            </w:pPr>
            <w:r>
              <w:rPr>
                <w:rFonts w:ascii="Arial" w:cs="Arial" w:eastAsia="Arial" w:hAnsi="Arial"/>
                <w:sz w:val="18"/>
                <w:szCs w:val="18"/>
                <w:color w:val="auto"/>
              </w:rPr>
              <w:t>additional</w:t>
            </w:r>
          </w:p>
        </w:tc>
        <w:tc>
          <w:tcPr>
            <w:tcW w:w="10420" w:type="dxa"/>
            <w:vAlign w:val="bottom"/>
            <w:gridSpan w:val="6"/>
          </w:tcPr>
          <w:p>
            <w:pPr>
              <w:jc w:val="right"/>
              <w:ind w:right="1957"/>
              <w:spacing w:after="0"/>
              <w:rPr>
                <w:sz w:val="20"/>
                <w:szCs w:val="20"/>
                <w:color w:val="auto"/>
              </w:rPr>
            </w:pPr>
            <w:r>
              <w:rPr>
                <w:rFonts w:ascii="Arial" w:cs="Arial" w:eastAsia="Arial" w:hAnsi="Arial"/>
                <w:sz w:val="18"/>
                <w:szCs w:val="18"/>
                <w:color w:val="auto"/>
              </w:rPr>
              <w:t>shares from the selling stockholders at the initial public offering price less the underwriting discount.</w:t>
            </w:r>
          </w:p>
        </w:tc>
      </w:tr>
      <w:tr>
        <w:trPr>
          <w:trHeight w:val="338"/>
        </w:trPr>
        <w:tc>
          <w:tcPr>
            <w:tcW w:w="7660" w:type="dxa"/>
            <w:vAlign w:val="bottom"/>
            <w:gridSpan w:val="6"/>
          </w:tcPr>
          <w:p>
            <w:pPr>
              <w:ind w:left="580"/>
              <w:spacing w:after="0"/>
              <w:rPr>
                <w:sz w:val="20"/>
                <w:szCs w:val="20"/>
                <w:color w:val="auto"/>
              </w:rPr>
            </w:pPr>
            <w:r>
              <w:rPr>
                <w:rFonts w:ascii="Arial" w:cs="Arial" w:eastAsia="Arial" w:hAnsi="Arial"/>
                <w:sz w:val="18"/>
                <w:szCs w:val="18"/>
                <w:color w:val="auto"/>
                <w:w w:val="99"/>
              </w:rPr>
              <w:t>The underwriters expect to deliver the shares against payment in New York, New York on</w:t>
            </w:r>
          </w:p>
        </w:tc>
        <w:tc>
          <w:tcPr>
            <w:tcW w:w="3560" w:type="dxa"/>
            <w:vAlign w:val="bottom"/>
          </w:tcPr>
          <w:p>
            <w:pPr>
              <w:jc w:val="right"/>
              <w:ind w:right="2457"/>
              <w:spacing w:after="0"/>
              <w:rPr>
                <w:sz w:val="20"/>
                <w:szCs w:val="20"/>
                <w:color w:val="auto"/>
              </w:rPr>
            </w:pPr>
            <w:r>
              <w:rPr>
                <w:rFonts w:ascii="Arial" w:cs="Arial" w:eastAsia="Arial" w:hAnsi="Arial"/>
                <w:sz w:val="18"/>
                <w:szCs w:val="18"/>
                <w:color w:val="auto"/>
              </w:rPr>
              <w:t>, 2008.</w:t>
            </w:r>
          </w:p>
        </w:tc>
      </w:tr>
      <w:tr>
        <w:trPr>
          <w:trHeight w:val="390"/>
        </w:trPr>
        <w:tc>
          <w:tcPr>
            <w:tcW w:w="8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Arial" w:cs="Arial" w:eastAsia="Arial" w:hAnsi="Arial"/>
                <w:sz w:val="22"/>
                <w:szCs w:val="22"/>
                <w:b w:val="1"/>
                <w:bCs w:val="1"/>
                <w:color w:val="auto"/>
              </w:rPr>
              <w:t>Goldman, Sachs &amp; Co.</w:t>
            </w:r>
          </w:p>
        </w:tc>
        <w:tc>
          <w:tcPr>
            <w:tcW w:w="80" w:type="dxa"/>
            <w:vAlign w:val="bottom"/>
          </w:tcPr>
          <w:p>
            <w:pPr>
              <w:spacing w:after="0"/>
              <w:rPr>
                <w:sz w:val="24"/>
                <w:szCs w:val="24"/>
                <w:color w:val="auto"/>
              </w:rPr>
            </w:pPr>
          </w:p>
        </w:tc>
        <w:tc>
          <w:tcPr>
            <w:tcW w:w="3160" w:type="dxa"/>
            <w:vAlign w:val="bottom"/>
            <w:gridSpan w:val="3"/>
          </w:tcPr>
          <w:p>
            <w:pPr>
              <w:jc w:val="right"/>
              <w:ind w:right="580"/>
              <w:spacing w:after="0"/>
              <w:rPr>
                <w:sz w:val="20"/>
                <w:szCs w:val="20"/>
                <w:color w:val="auto"/>
              </w:rPr>
            </w:pPr>
            <w:r>
              <w:rPr>
                <w:rFonts w:ascii="Arial" w:cs="Arial" w:eastAsia="Arial" w:hAnsi="Arial"/>
                <w:sz w:val="22"/>
                <w:szCs w:val="22"/>
                <w:b w:val="1"/>
                <w:bCs w:val="1"/>
                <w:color w:val="auto"/>
              </w:rPr>
              <w:t>UBS Investment Bank</w:t>
            </w:r>
          </w:p>
        </w:tc>
        <w:tc>
          <w:tcPr>
            <w:tcW w:w="3560" w:type="dxa"/>
            <w:vAlign w:val="bottom"/>
          </w:tcPr>
          <w:p>
            <w:pPr>
              <w:jc w:val="right"/>
              <w:ind w:right="777"/>
              <w:spacing w:after="0"/>
              <w:rPr>
                <w:sz w:val="20"/>
                <w:szCs w:val="20"/>
                <w:color w:val="auto"/>
              </w:rPr>
            </w:pPr>
            <w:r>
              <w:rPr>
                <w:rFonts w:ascii="Arial" w:cs="Arial" w:eastAsia="Arial" w:hAnsi="Arial"/>
                <w:sz w:val="22"/>
                <w:szCs w:val="22"/>
                <w:b w:val="1"/>
                <w:bCs w:val="1"/>
                <w:color w:val="auto"/>
              </w:rPr>
              <w:t>Credit Suisse</w:t>
            </w:r>
          </w:p>
        </w:tc>
      </w:tr>
      <w:tr>
        <w:trPr>
          <w:trHeight w:val="392"/>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rPr>
              <w:t>Citi</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8"/>
              </w:rPr>
              <w:t>Lehman Brothers</w:t>
            </w:r>
          </w:p>
        </w:tc>
      </w:tr>
      <w:tr>
        <w:trPr>
          <w:trHeight w:val="459"/>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w w:val="98"/>
              </w:rPr>
              <w:t>Jefferies &amp; Company</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7"/>
              </w:rPr>
              <w:t>JMP Securities</w:t>
            </w:r>
          </w:p>
        </w:tc>
      </w:tr>
      <w:tr>
        <w:trPr>
          <w:trHeight w:val="247"/>
        </w:trPr>
        <w:tc>
          <w:tcPr>
            <w:tcW w:w="8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343"/>
        </w:trPr>
        <w:tc>
          <w:tcPr>
            <w:tcW w:w="8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Prospectus dated</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 2008</w:t>
            </w:r>
          </w:p>
        </w:tc>
        <w:tc>
          <w:tcPr>
            <w:tcW w:w="3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[ARTWORK TO BE FILED]</w:t>
      </w:r>
    </w:p>
    <w:p>
      <w:pPr>
        <w:sectPr>
          <w:pgSz w:w="11900" w:h="16838" w:orient="portrait"/>
          <w:cols w:equalWidth="0" w:num="1">
            <w:col w:w="10219"/>
          </w:cols>
          <w:pgMar w:left="240" w:top="459"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60" w:type="dxa"/>
            <w:vAlign w:val="bottom"/>
            <w:gridSpan w:val="4"/>
          </w:tcPr>
          <w:p>
            <w:pPr>
              <w:ind w:left="540"/>
              <w:spacing w:after="0"/>
              <w:rPr>
                <w:sz w:val="20"/>
                <w:szCs w:val="20"/>
                <w:color w:val="auto"/>
              </w:rPr>
            </w:pPr>
            <w:r>
              <w:rPr>
                <w:rFonts w:ascii="Arial" w:cs="Arial" w:eastAsia="Arial" w:hAnsi="Arial"/>
                <w:sz w:val="18"/>
                <w:szCs w:val="18"/>
                <w:b w:val="1"/>
                <w:bCs w:val="1"/>
                <w:color w:val="auto"/>
              </w:rPr>
              <w:t>Table of Contents</w:t>
            </w:r>
          </w:p>
        </w:tc>
        <w:tc>
          <w:tcPr>
            <w:tcW w:w="3820" w:type="dxa"/>
            <w:vAlign w:val="bottom"/>
          </w:tcPr>
          <w:p>
            <w:pPr>
              <w:spacing w:after="0"/>
              <w:rPr>
                <w:sz w:val="20"/>
                <w:szCs w:val="20"/>
                <w:color w:val="auto"/>
              </w:rPr>
            </w:pPr>
          </w:p>
        </w:tc>
      </w:tr>
      <w:tr>
        <w:trPr>
          <w:trHeight w:val="367"/>
        </w:trPr>
        <w:tc>
          <w:tcPr>
            <w:tcW w:w="7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920" w:type="dxa"/>
            <w:vAlign w:val="bottom"/>
            <w:gridSpan w:val="1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Industry and Market Data</w:t>
              </w:r>
            </w:hyperlink>
          </w:p>
        </w:tc>
        <w:tc>
          <w:tcPr>
            <w:tcW w:w="5620" w:type="dxa"/>
            <w:vAlign w:val="bottom"/>
            <w:gridSpan w:val="1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55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Special Cautionary Statement Concerning Forward-Looking Statements</w:t>
              </w:r>
            </w:hyperlink>
          </w:p>
        </w:tc>
        <w:tc>
          <w:tcPr>
            <w:tcW w:w="2020" w:type="dxa"/>
            <w:vAlign w:val="bottom"/>
            <w:gridSpan w:val="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Dividend Policy</w:t>
              </w:r>
            </w:hyperlink>
          </w:p>
        </w:tc>
        <w:tc>
          <w:tcPr>
            <w:tcW w:w="6300" w:type="dxa"/>
            <w:vAlign w:val="bottom"/>
            <w:gridSpan w:val="1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Capitalization</w:t>
              </w:r>
            </w:hyperlink>
          </w:p>
        </w:tc>
        <w:tc>
          <w:tcPr>
            <w:tcW w:w="6400" w:type="dxa"/>
            <w:vAlign w:val="bottom"/>
            <w:gridSpan w:val="1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6540" w:type="dxa"/>
            <w:vAlign w:val="bottom"/>
            <w:gridSpan w:val="1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760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Selected Historical Consolidated Financial and Operating Data of MagnaChip Semiconductor LLC</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444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Unaudited Pro Forma Consolidated Financial Information</w:t>
              </w:r>
            </w:hyperlink>
          </w:p>
        </w:tc>
        <w:tc>
          <w:tcPr>
            <w:tcW w:w="3160" w:type="dxa"/>
            <w:vAlign w:val="bottom"/>
            <w:gridSpan w:val="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69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Management’s Discussion and Analysis of Financial Condition and Results of Operations</w:t>
              </w:r>
            </w:hyperlink>
          </w:p>
        </w:tc>
        <w:tc>
          <w:tcPr>
            <w:tcW w:w="680" w:type="dxa"/>
            <w:vAlign w:val="bottom"/>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Business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w:t>
              </w:r>
            </w:hyperlink>
          </w:p>
        </w:tc>
        <w:tc>
          <w:tcPr>
            <w:tcW w:w="6560" w:type="dxa"/>
            <w:vAlign w:val="bottom"/>
            <w:gridSpan w:val="18"/>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04">
              <w:r>
                <w:rPr>
                  <w:rFonts w:ascii="Arial" w:cs="Arial" w:eastAsia="Arial" w:hAnsi="Arial"/>
                  <w:sz w:val="18"/>
                  <w:szCs w:val="18"/>
                  <w:color w:val="0000EE"/>
                </w:rPr>
                <w:t>Principal and Selling Stockholders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37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Certain Relationships and Related Transactions</w:t>
              </w:r>
            </w:hyperlink>
          </w:p>
        </w:tc>
        <w:tc>
          <w:tcPr>
            <w:tcW w:w="3880" w:type="dxa"/>
            <w:vAlign w:val="bottom"/>
            <w:gridSpan w:val="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Description of Capital Stock</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28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Description of Certain Indebtedness</w:t>
              </w:r>
            </w:hyperlink>
          </w:p>
        </w:tc>
        <w:tc>
          <w:tcPr>
            <w:tcW w:w="4800" w:type="dxa"/>
            <w:vAlign w:val="bottom"/>
            <w:gridSpan w:val="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118</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Shares Eligible For Future Sale</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546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Material U.S. Federal Income Tax Consequences to Non-U.S. Holders</w:t>
              </w:r>
            </w:hyperlink>
          </w:p>
        </w:tc>
        <w:tc>
          <w:tcPr>
            <w:tcW w:w="2140" w:type="dxa"/>
            <w:vAlign w:val="bottom"/>
            <w:gridSpan w:val="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127</w:t>
            </w:r>
          </w:p>
        </w:tc>
      </w:tr>
      <w:tr>
        <w:trPr>
          <w:trHeight w:val="183"/>
        </w:trPr>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34">
              <w:r>
                <w:rPr>
                  <w:rFonts w:ascii="Arial" w:cs="Arial" w:eastAsia="Arial" w:hAnsi="Arial"/>
                  <w:sz w:val="18"/>
                  <w:szCs w:val="18"/>
                  <w:color w:val="0000EE"/>
                  <w:w w:val="96"/>
                </w:rPr>
                <w:t>Underwriting</w:t>
              </w:r>
            </w:hyperlink>
          </w:p>
        </w:tc>
        <w:tc>
          <w:tcPr>
            <w:tcW w:w="6600" w:type="dxa"/>
            <w:vAlign w:val="bottom"/>
            <w:gridSpan w:val="19"/>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r>
      <w:tr>
        <w:trPr>
          <w:trHeight w:val="183"/>
        </w:trPr>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Legal Matters</w:t>
              </w:r>
            </w:hyperlink>
          </w:p>
        </w:tc>
        <w:tc>
          <w:tcPr>
            <w:tcW w:w="6520" w:type="dxa"/>
            <w:vAlign w:val="bottom"/>
            <w:gridSpan w:val="1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Experts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20"/>
        </w:trPr>
        <w:tc>
          <w:tcPr>
            <w:tcW w:w="600" w:type="dxa"/>
            <w:vAlign w:val="bottom"/>
            <w:shd w:val="clear" w:color="auto" w:fill="0000EE"/>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39">
              <w:r>
                <w:rPr>
                  <w:rFonts w:ascii="Arial" w:cs="Arial" w:eastAsia="Arial" w:hAnsi="Arial"/>
                  <w:sz w:val="18"/>
                  <w:szCs w:val="18"/>
                  <w:color w:val="0000EE"/>
                </w:rPr>
                <w:t>Where You Can Find More Information</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30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40">
              <w:r>
                <w:rPr>
                  <w:rFonts w:ascii="Arial" w:cs="Arial" w:eastAsia="Arial" w:hAnsi="Arial"/>
                  <w:sz w:val="18"/>
                  <w:szCs w:val="18"/>
                  <w:color w:val="0000EE"/>
                </w:rPr>
                <w:t>Index to Financial Statements</w:t>
              </w:r>
            </w:hyperlink>
          </w:p>
        </w:tc>
        <w:tc>
          <w:tcPr>
            <w:tcW w:w="4600" w:type="dxa"/>
            <w:vAlign w:val="bottom"/>
            <w:gridSpan w:val="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128905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07"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4" w:lineRule="exact"/>
        <w:rPr>
          <w:sz w:val="20"/>
          <w:szCs w:val="20"/>
          <w:color w:val="auto"/>
        </w:rPr>
      </w:pPr>
    </w:p>
    <w:p>
      <w:pPr>
        <w:jc w:val="both"/>
        <w:ind w:right="80" w:firstLine="571"/>
        <w:spacing w:after="0" w:line="281"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124"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“MagnaChip” and “IC Media” are registered trademarks of us and our subsidiaries. All other product, service and company names mentioned in this prospectus are the service marks or trademarks of their respective owners.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201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200" w:firstLine="553"/>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section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reorganization (as described below), and such terms refer to MagnaChip Semiconductor Corporation and its consolidated subsidiaries for the periods after the consummation of the corporate reorganization. The term “Korea” refers to the Republic of Korea or South Korea.</w:t>
      </w:r>
    </w:p>
    <w:p>
      <w:pPr>
        <w:spacing w:after="0" w:line="137" w:lineRule="exact"/>
        <w:rPr>
          <w:sz w:val="20"/>
          <w:szCs w:val="20"/>
          <w:color w:val="auto"/>
        </w:rPr>
      </w:pPr>
    </w:p>
    <w:p>
      <w:pPr>
        <w:ind w:left="200" w:right="40" w:firstLine="553"/>
        <w:spacing w:after="0" w:line="241" w:lineRule="auto"/>
        <w:rPr>
          <w:sz w:val="20"/>
          <w:szCs w:val="20"/>
          <w:color w:val="auto"/>
        </w:rPr>
      </w:pPr>
      <w:r>
        <w:rPr>
          <w:rFonts w:ascii="Arial" w:cs="Arial" w:eastAsia="Arial" w:hAnsi="Arial"/>
          <w:sz w:val="18"/>
          <w:szCs w:val="18"/>
          <w:i w:val="1"/>
          <w:iCs w:val="1"/>
          <w:color w:val="auto"/>
        </w:rPr>
        <w:t>Immediately 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reorganization.” Unless otherwise indicated, the disclosure in this prospectus gives effect to the corporate reorganization.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60" w:firstLine="553"/>
        <w:spacing w:after="0" w:line="235" w:lineRule="auto"/>
        <w:rPr>
          <w:sz w:val="20"/>
          <w:szCs w:val="20"/>
          <w:color w:val="auto"/>
        </w:rPr>
      </w:pPr>
      <w:r>
        <w:rPr>
          <w:rFonts w:ascii="Arial" w:cs="Arial" w:eastAsia="Arial" w:hAnsi="Arial"/>
          <w:sz w:val="18"/>
          <w:szCs w:val="18"/>
          <w:color w:val="auto"/>
        </w:rPr>
        <w:t>MagnaChip is a leading, Asia-based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7,700 registered and pending patents and extensive engineering and manufacturing process expertise. Our wide variety of analog and mixed-signal semiconductor products and services combined with our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left="200" w:right="40" w:firstLine="553"/>
        <w:spacing w:after="0" w:line="236"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such as LG.Philips LCD Co., Ltd., Sharp Corporation and members of the Samsung group. As a result, we have been able to further strengthen our technology platform and focus on products and services that are in high demand by our customers and end consumers. We believe our end customers include a majority of the ten largest global consumer electronics companies by revenue. Our largest semiconductor manufacturing services customers include some of the fastest growing and leading semiconductor companies that design products for the consumer, computing, wireless and industrial end markets.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99" w:lineRule="exact"/>
        <w:rPr>
          <w:sz w:val="20"/>
          <w:szCs w:val="20"/>
          <w:color w:val="auto"/>
        </w:rPr>
      </w:pPr>
    </w:p>
    <w:p>
      <w:pPr>
        <w:ind w:left="200" w:right="20" w:firstLine="553"/>
        <w:spacing w:after="0" w:line="238" w:lineRule="auto"/>
        <w:rPr>
          <w:sz w:val="20"/>
          <w:szCs w:val="20"/>
          <w:color w:val="auto"/>
        </w:rPr>
      </w:pPr>
      <w:r>
        <w:rPr>
          <w:rFonts w:ascii="Arial" w:cs="Arial" w:eastAsia="Arial" w:hAnsi="Arial"/>
          <w:sz w:val="18"/>
          <w:szCs w:val="18"/>
          <w:color w:val="auto"/>
        </w:rPr>
        <w:t>The consumer electronics market is large and growing rapidly. This growth is being driven by consumers seeking to enjoy greater availability of rich media content, such as digital and high definition audio and video, mobile television, games and digital photography. In order to deliver the desired user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experience, many electronic devices now display high-resolution content, capture images, play digital audio and video and consume less power. According to iSuppli Corporation, the market opportunity for semiconductors used in consumer electronics, wireless communications and data processing applications is expected to rise to $260 billion in 2010, of which we believe that we will have an addressable market opportunity of $63 billion.</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left="200" w:right="100" w:firstLine="553"/>
        <w:spacing w:after="0" w:line="269" w:lineRule="auto"/>
        <w:rPr>
          <w:sz w:val="20"/>
          <w:szCs w:val="20"/>
          <w:color w:val="auto"/>
        </w:rPr>
      </w:pPr>
      <w:r>
        <w:rPr>
          <w:rFonts w:ascii="Arial" w:cs="Arial" w:eastAsia="Arial" w:hAnsi="Arial"/>
          <w:sz w:val="16"/>
          <w:szCs w:val="16"/>
          <w:color w:val="auto"/>
        </w:rPr>
        <w:t>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display driver solutions incorporate the industry’s most advanced display technologies, such as low temperature polysilicon, or LTPS, and active matrix organic light emitting diode, or AMOLED, as well as high volume display technologies such as thin film transistor, or TFT.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w:t>
      </w:r>
    </w:p>
    <w:p>
      <w:pPr>
        <w:spacing w:after="0" w:line="336"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We also offer manufacturing services to providers of analog and mixed-signal semiconductors that require differentiated, specialty analog and mixed-signal process technologies such as high voltage complementary metal oxide semiconductor, or CMOS, embedded memory and power. Our manufacturing facilities and processes do not require substantial investment in leading edge process equipment and can be utilized over an extended period of time. Our manufacturing base serves both our solutions products and manufacturing services customers, allowing us to optimize our asset utilization and leverage our investments across our product and service offerings.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 our strengths include:</w:t>
      </w:r>
    </w:p>
    <w:p>
      <w:pPr>
        <w:spacing w:after="0" w:line="77" w:lineRule="exact"/>
        <w:rPr>
          <w:sz w:val="20"/>
          <w:szCs w:val="20"/>
          <w:color w:val="auto"/>
        </w:rPr>
      </w:pPr>
    </w:p>
    <w:p>
      <w:pPr>
        <w:ind w:left="980" w:right="50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Leading analog and mixed-signal semiconductor technology platform that allows us to develop new products and meet market demands quickly;</w:t>
      </w:r>
    </w:p>
    <w:p>
      <w:pPr>
        <w:spacing w:after="0" w:line="73" w:lineRule="exact"/>
        <w:rPr>
          <w:rFonts w:ascii="Arial" w:cs="Arial" w:eastAsia="Arial" w:hAnsi="Arial"/>
          <w:sz w:val="18"/>
          <w:szCs w:val="18"/>
          <w:color w:val="auto"/>
        </w:rPr>
      </w:pPr>
    </w:p>
    <w:p>
      <w:pPr>
        <w:ind w:left="980" w:right="66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 history of established relationships and close collaboration with leading global consumer electronics companies, which enhances our visibility into new product opportunities, markets and technology trends;</w:t>
      </w:r>
    </w:p>
    <w:p>
      <w:pPr>
        <w:spacing w:after="0" w:line="73" w:lineRule="exact"/>
        <w:rPr>
          <w:rFonts w:ascii="Arial" w:cs="Arial" w:eastAsia="Arial" w:hAnsi="Arial"/>
          <w:sz w:val="18"/>
          <w:szCs w:val="18"/>
          <w:color w:val="auto"/>
        </w:rPr>
      </w:pPr>
    </w:p>
    <w:p>
      <w:pPr>
        <w:ind w:left="980" w:right="12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product and service offerings that support our business through fluctuations in end-market demand and allow us to cross-sell our products and services to our customers;</w:t>
      </w:r>
    </w:p>
    <w:p>
      <w:pPr>
        <w:spacing w:after="0" w:line="73" w:lineRule="exact"/>
        <w:rPr>
          <w:rFonts w:ascii="Arial" w:cs="Arial" w:eastAsia="Arial" w:hAnsi="Arial"/>
          <w:sz w:val="18"/>
          <w:szCs w:val="18"/>
          <w:color w:val="auto"/>
        </w:rPr>
      </w:pPr>
    </w:p>
    <w:p>
      <w:pPr>
        <w:ind w:left="980" w:right="400" w:hanging="243"/>
        <w:spacing w:after="0" w:line="299"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Distinctive process technology and manufacturing expertise, supported by our belief that the majority of our top twenty manufacturing services customers use us as their primary manufacturing source for the products that we manufacture for them;</w:t>
      </w:r>
    </w:p>
    <w:p>
      <w:pPr>
        <w:spacing w:after="0" w:line="27" w:lineRule="exact"/>
        <w:rPr>
          <w:rFonts w:ascii="Arial" w:cs="Arial" w:eastAsia="Arial" w:hAnsi="Arial"/>
          <w:sz w:val="16"/>
          <w:szCs w:val="16"/>
          <w:color w:val="auto"/>
        </w:rPr>
      </w:pPr>
    </w:p>
    <w:p>
      <w:pPr>
        <w:ind w:left="980" w:right="14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Longstanding presence of our management and manufacturing base in Asia and proximity to our largest customers and to the core of the global consumer electronics supply chain, which allows us to respond rapidly to our customers’ needs; and</w:t>
      </w:r>
    </w:p>
    <w:p>
      <w:pPr>
        <w:spacing w:after="0" w:line="73" w:lineRule="exact"/>
        <w:rPr>
          <w:rFonts w:ascii="Arial" w:cs="Arial" w:eastAsia="Arial" w:hAnsi="Arial"/>
          <w:sz w:val="18"/>
          <w:szCs w:val="18"/>
          <w:color w:val="auto"/>
        </w:rPr>
      </w:pPr>
    </w:p>
    <w:p>
      <w:pPr>
        <w:ind w:left="980" w:right="122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Manufacturing facilities with specialty processes and a low cost operating structure, which allows us to maintain price competitiveness across our product and service offerings.</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600" w:firstLine="553"/>
        <w:spacing w:after="0" w:line="299" w:lineRule="auto"/>
        <w:rPr>
          <w:sz w:val="20"/>
          <w:szCs w:val="20"/>
          <w:color w:val="auto"/>
        </w:rPr>
      </w:pPr>
      <w:r>
        <w:rPr>
          <w:rFonts w:ascii="Arial" w:cs="Arial" w:eastAsia="Arial" w:hAnsi="Arial"/>
          <w:sz w:val="16"/>
          <w:szCs w:val="16"/>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28" w:lineRule="exact"/>
        <w:rPr>
          <w:sz w:val="20"/>
          <w:szCs w:val="20"/>
          <w:color w:val="auto"/>
        </w:rPr>
      </w:pPr>
    </w:p>
    <w:p>
      <w:pPr>
        <w:ind w:left="980" w:right="100" w:hanging="243"/>
        <w:spacing w:after="0" w:line="23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leading analog and mixed-signal technology platform to deliver products with high levels of performance and integration, as well as to expand our technology offerings within our target markets, as we intend to do with our power management products;</w:t>
      </w:r>
    </w:p>
    <w:p>
      <w:pPr>
        <w:spacing w:after="0" w:line="72" w:lineRule="exact"/>
        <w:rPr>
          <w:rFonts w:ascii="Arial" w:cs="Arial" w:eastAsia="Arial" w:hAnsi="Arial"/>
          <w:sz w:val="18"/>
          <w:szCs w:val="18"/>
          <w:color w:val="auto"/>
        </w:rPr>
      </w:pPr>
    </w:p>
    <w:p>
      <w:pPr>
        <w:ind w:left="980" w:right="740" w:hanging="24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innovate and deliver new products, such as AMOLED display drivers, and specialized analog and mixed-signal semiconductor manufacturing services;</w:t>
      </w:r>
    </w:p>
    <w:p>
      <w:pPr>
        <w:spacing w:after="0" w:line="73" w:lineRule="exact"/>
        <w:rPr>
          <w:rFonts w:ascii="Arial" w:cs="Arial" w:eastAsia="Arial" w:hAnsi="Arial"/>
          <w:sz w:val="18"/>
          <w:szCs w:val="18"/>
          <w:color w:val="auto"/>
        </w:rPr>
      </w:pPr>
    </w:p>
    <w:p>
      <w:pPr>
        <w:ind w:left="980" w:right="240" w:hanging="24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business with our global customer base of leading consumer electronics original equipment manufacturers, or OEMs, by collaborating on critical design and product development;</w:t>
      </w:r>
    </w:p>
    <w:p>
      <w:pPr>
        <w:spacing w:after="0" w:line="73" w:lineRule="exact"/>
        <w:rPr>
          <w:rFonts w:ascii="Arial" w:cs="Arial" w:eastAsia="Arial" w:hAnsi="Arial"/>
          <w:sz w:val="18"/>
          <w:szCs w:val="18"/>
          <w:color w:val="auto"/>
        </w:rPr>
      </w:pPr>
    </w:p>
    <w:p>
      <w:pPr>
        <w:ind w:left="980" w:right="140" w:hanging="24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 our customer base by expanding our global design centers and local application engineering support and sales presence, particularly in China and other high growth regions;</w:t>
      </w:r>
    </w:p>
    <w:p>
      <w:pPr>
        <w:spacing w:after="0" w:line="73" w:lineRule="exact"/>
        <w:rPr>
          <w:rFonts w:ascii="Arial" w:cs="Arial" w:eastAsia="Arial" w:hAnsi="Arial"/>
          <w:sz w:val="18"/>
          <w:szCs w:val="18"/>
          <w:color w:val="auto"/>
        </w:rPr>
      </w:pPr>
    </w:p>
    <w:p>
      <w:pPr>
        <w:ind w:left="980" w:right="480" w:hanging="24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execution excellence in new product development, manufacturing efficiency and quality, customer service and personnel development; and</w:t>
      </w:r>
    </w:p>
    <w:p>
      <w:pPr>
        <w:spacing w:after="0" w:line="73" w:lineRule="exact"/>
        <w:rPr>
          <w:rFonts w:ascii="Arial" w:cs="Arial" w:eastAsia="Arial" w:hAnsi="Arial"/>
          <w:sz w:val="18"/>
          <w:szCs w:val="18"/>
          <w:color w:val="auto"/>
        </w:rPr>
      </w:pPr>
    </w:p>
    <w:p>
      <w:pPr>
        <w:ind w:left="980" w:right="200" w:hanging="243"/>
        <w:spacing w:after="0" w:line="23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 asset utilization and return on capital investments by maintaining our focus on specialty process technologies that do not require substantial investment in leading edge manufacturing equipment and by utilizing our manufacturing facilities for both our solutions products and manufacturing services customers.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Company</w:t>
      </w:r>
    </w:p>
    <w:p>
      <w:pPr>
        <w:spacing w:after="0" w:line="99" w:lineRule="exact"/>
        <w:rPr>
          <w:sz w:val="20"/>
          <w:szCs w:val="20"/>
          <w:color w:val="auto"/>
        </w:rPr>
      </w:pPr>
    </w:p>
    <w:p>
      <w:pPr>
        <w:ind w:left="200" w:right="220" w:firstLine="553"/>
        <w:spacing w:after="0" w:line="238" w:lineRule="auto"/>
        <w:rPr>
          <w:sz w:val="20"/>
          <w:szCs w:val="20"/>
          <w:color w:val="auto"/>
        </w:rPr>
      </w:pPr>
      <w:r>
        <w:rPr>
          <w:rFonts w:ascii="Arial" w:cs="Arial" w:eastAsia="Arial" w:hAnsi="Arial"/>
          <w:sz w:val="18"/>
          <w:szCs w:val="18"/>
          <w:color w:val="auto"/>
        </w:rPr>
        <w:t>Investing in our company entails a high degree of risk, including those summarized below and those more fully described in the “Risk Factors” section beginning on page 9 of this prospectus. You should consider carefully such risks before deciding to invest in shares of our common stock.</w:t>
      </w:r>
    </w:p>
    <w:p>
      <w:pPr>
        <w:spacing w:after="0" w:line="73" w:lineRule="exact"/>
        <w:rPr>
          <w:sz w:val="20"/>
          <w:szCs w:val="20"/>
          <w:color w:val="auto"/>
        </w:rPr>
      </w:pPr>
    </w:p>
    <w:p>
      <w:pPr>
        <w:ind w:left="980" w:right="54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increase net sales and profit levels during industry downturns;</w:t>
      </w:r>
    </w:p>
    <w:p>
      <w:pPr>
        <w:spacing w:after="0" w:line="73" w:lineRule="exact"/>
        <w:rPr>
          <w:rFonts w:ascii="Arial" w:cs="Arial" w:eastAsia="Arial" w:hAnsi="Arial"/>
          <w:sz w:val="18"/>
          <w:szCs w:val="18"/>
          <w:color w:val="auto"/>
        </w:rPr>
      </w:pPr>
    </w:p>
    <w:p>
      <w:pPr>
        <w:ind w:left="980" w:right="38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average selling prices of our semiconductor products have at times declined rapidly and will likely do so in the future, which could harm our revenue and gross profit;</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980" w:right="4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73" w:lineRule="exact"/>
        <w:rPr>
          <w:rFonts w:ascii="Arial" w:cs="Arial" w:eastAsia="Arial" w:hAnsi="Arial"/>
          <w:sz w:val="18"/>
          <w:szCs w:val="18"/>
          <w:color w:val="auto"/>
        </w:rPr>
      </w:pPr>
    </w:p>
    <w:p>
      <w:pPr>
        <w:ind w:left="980" w:right="22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is substantial, and we may not be able to generate sufficient cash to service all of our indebtedness and may be forced to take other actions to satisfy our obligations under our indebtedness, which may not be successful; and</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Control by our principal stockholders could adversely affect our other stockholders.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left="200" w:firstLine="553"/>
        <w:spacing w:after="0" w:line="238" w:lineRule="auto"/>
        <w:rPr>
          <w:sz w:val="20"/>
          <w:szCs w:val="20"/>
          <w:color w:val="auto"/>
        </w:rPr>
      </w:pPr>
      <w:r>
        <w:rPr>
          <w:rFonts w:ascii="Arial" w:cs="Arial" w:eastAsia="Arial" w:hAnsi="Arial"/>
          <w:sz w:val="18"/>
          <w:szCs w:val="18"/>
          <w:color w:val="auto"/>
        </w:rPr>
        <w:t>Prior to the closing of this offering, we will complete the corporate reorganization pursuant to which MagnaChip Semiconductor Corporation will succeed to the business of MagnaChip Semiconductor LLC and its consolidated subsidiaries, and the members of MagnaChip Semiconductor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8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9883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LLC will become stockholders of MagnaChip Semiconductor Corporation. Unless otherwise indicated, the disclosure in this prospectus gives effect to the corporate reorganization.</w:t>
      </w:r>
    </w:p>
    <w:p>
      <w:pPr>
        <w:spacing w:after="0" w:line="155" w:lineRule="exact"/>
        <w:rPr>
          <w:sz w:val="20"/>
          <w:szCs w:val="20"/>
          <w:color w:val="auto"/>
        </w:rPr>
      </w:pPr>
    </w:p>
    <w:p>
      <w:pPr>
        <w:jc w:val="both"/>
        <w:ind w:left="200" w:right="360" w:firstLine="553"/>
        <w:spacing w:after="0" w:line="237" w:lineRule="auto"/>
        <w:rPr>
          <w:sz w:val="20"/>
          <w:szCs w:val="20"/>
          <w:color w:val="auto"/>
        </w:rPr>
      </w:pPr>
      <w:r>
        <w:rPr>
          <w:rFonts w:ascii="Arial" w:cs="Arial" w:eastAsia="Arial" w:hAnsi="Arial"/>
          <w:sz w:val="18"/>
          <w:szCs w:val="18"/>
          <w:color w:val="auto"/>
        </w:rPr>
        <w:t xml:space="preserve">Our principal executive offices are located at: c/o MagnaChip Semiconductor S.A., 74, rue de Merl, B.P. 709, L-2017, Luxembourg, Grand Duchy of Luxembourg, and our telephone number is (352) 45-62-62. Our website address is </w:t>
      </w:r>
      <w:r>
        <w:rPr>
          <w:rFonts w:ascii="Arial" w:cs="Arial" w:eastAsia="Arial" w:hAnsi="Arial"/>
          <w:sz w:val="18"/>
          <w:szCs w:val="18"/>
          <w:i w:val="1"/>
          <w:iCs w:val="1"/>
          <w:color w:val="auto"/>
        </w:rPr>
        <w:t>www.magnachip.com</w:t>
      </w:r>
      <w:r>
        <w:rPr>
          <w:rFonts w:ascii="Arial" w:cs="Arial" w:eastAsia="Arial" w:hAnsi="Arial"/>
          <w:sz w:val="18"/>
          <w:szCs w:val="18"/>
          <w:color w:val="auto"/>
        </w:rPr>
        <w:t>. You should not consider the information contained on our website to be part of this prospectus or in deciding whether to purchase shares of our common stock.</w:t>
      </w:r>
    </w:p>
    <w:p>
      <w:pPr>
        <w:spacing w:after="0" w:line="155" w:lineRule="exact"/>
        <w:rPr>
          <w:sz w:val="20"/>
          <w:szCs w:val="20"/>
          <w:color w:val="auto"/>
        </w:rPr>
      </w:pPr>
    </w:p>
    <w:p>
      <w:pPr>
        <w:ind w:left="200" w:firstLine="553"/>
        <w:spacing w:after="0" w:line="237" w:lineRule="auto"/>
        <w:rPr>
          <w:sz w:val="20"/>
          <w:szCs w:val="20"/>
          <w:color w:val="auto"/>
        </w:rPr>
      </w:pPr>
      <w:r>
        <w:rPr>
          <w:rFonts w:ascii="Arial" w:cs="Arial" w:eastAsia="Arial" w:hAnsi="Arial"/>
          <w:sz w:val="18"/>
          <w:szCs w:val="18"/>
          <w:color w:val="auto"/>
        </w:rPr>
        <w:t>Our business was named MagnaChip Semiconductor when it was acquired from Hynix Semiconductor, Inc., or Hynix, in October 2004 by Citigroup Venture Capital Equity Partners, L.P., Francisco Partners L.P., certain investment funds advised by CVC Asia Pacific Limited or its affiliates, certain members of management and other investors. In this prospectus, we refer to these entities as Court Square, Francisco Partners and CVC Asia Pacific and, collectively, as the “sponsors” and to this acquisition as the “Original Acquisition.”</w:t>
      </w:r>
    </w:p>
    <w:p>
      <w:pPr>
        <w:spacing w:after="0" w:line="155" w:lineRule="exact"/>
        <w:rPr>
          <w:sz w:val="20"/>
          <w:szCs w:val="20"/>
          <w:color w:val="auto"/>
        </w:rPr>
      </w:pPr>
    </w:p>
    <w:p>
      <w:pPr>
        <w:jc w:val="both"/>
        <w:ind w:left="200" w:right="240" w:firstLine="553"/>
        <w:spacing w:after="0" w:line="264" w:lineRule="auto"/>
        <w:rPr>
          <w:sz w:val="20"/>
          <w:szCs w:val="20"/>
          <w:color w:val="auto"/>
        </w:rPr>
      </w:pPr>
      <w:r>
        <w:rPr>
          <w:rFonts w:ascii="Arial" w:cs="Arial" w:eastAsia="Arial" w:hAnsi="Arial"/>
          <w:sz w:val="16"/>
          <w:szCs w:val="16"/>
          <w:color w:val="auto"/>
        </w:rPr>
        <w:t>After the closing of this offering, pursuant to the terms of our amended and restated bylaws and an agreement among our sponsors and other stockholders, which we also refer to as the securityholders’ agreement, the sponsors, or their respective affiliates, have agreed to elect their respective designees to serve as members of our board of directors. On a pro forma basis after giving effect to the corporate</w:t>
      </w:r>
    </w:p>
    <w:p>
      <w:pPr>
        <w:spacing w:after="0" w:line="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reorganization, this offering and the application of proceeds therefrom, our sponsors would have owned shares of our common stock representing approximately % of the total amount outstanding, assuming no exercise of the underwriters’ option to purchase additional shares. In addition, under the “controlled company” exception to the independence requirements of the New York Stock Exchange, we will be exempt from the rules of the New York Stock Exchange that require that our board of directors be comprised of a majority of independent directors, that our compensation committee be comprised solely of independent directors and that our nominating and governance committee be comprised solely of independent directors.</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122" w:lineRule="exact"/>
        <w:rPr>
          <w:sz w:val="20"/>
          <w:szCs w:val="20"/>
          <w:color w:val="auto"/>
        </w:rPr>
      </w:pPr>
    </w:p>
    <w:p>
      <w:pPr>
        <w:sectPr>
          <w:pgSz w:w="11900" w:h="16838" w:orient="portrait"/>
          <w:cols w:equalWidth="0" w:num="2">
            <w:col w:w="6000" w:space="720"/>
            <w:col w:w="454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Shares of common stock offered by the selling stockholders pursuant to</w:t>
      </w:r>
    </w:p>
    <w:p>
      <w:pPr>
        <w:ind w:left="420"/>
        <w:spacing w:after="0"/>
        <w:rPr>
          <w:sz w:val="20"/>
          <w:szCs w:val="20"/>
          <w:color w:val="auto"/>
        </w:rPr>
      </w:pPr>
      <w:r>
        <w:rPr>
          <w:rFonts w:ascii="Arial" w:cs="Arial" w:eastAsia="Arial" w:hAnsi="Arial"/>
          <w:sz w:val="18"/>
          <w:szCs w:val="18"/>
          <w:color w:val="auto"/>
        </w:rPr>
        <w:t>the underwriters’ option to purchase additional shares</w:t>
      </w:r>
    </w:p>
    <w:p>
      <w:pPr>
        <w:spacing w:after="0" w:line="347"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shares</w:t>
      </w:r>
      <w:r>
        <w:rPr>
          <w:rFonts w:ascii="Arial" w:cs="Arial" w:eastAsia="Arial" w:hAnsi="Arial"/>
          <w:sz w:val="10"/>
          <w:szCs w:val="10"/>
          <w:color w:val="auto"/>
        </w:rPr>
        <w:t>(1)</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to be outstanding after this offering</w:t>
      </w:r>
    </w:p>
    <w:p>
      <w:pPr>
        <w:spacing w:after="0" w:line="1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shares</w:t>
      </w:r>
    </w:p>
    <w:p>
      <w:pPr>
        <w:sectPr>
          <w:pgSz w:w="11900" w:h="16838" w:orient="portrait"/>
          <w:cols w:equalWidth="0" w:num="1">
            <w:col w:w="11260"/>
          </w:cols>
          <w:pgMar w:left="240" w:top="459" w:right="399" w:bottom="1440" w:gutter="0" w:footer="0" w:header="0"/>
          <w:type w:val="continuous"/>
        </w:sectPr>
      </w:pP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intend to use the net proceeds received by us in connection with this offering to reduce our indebtedness, to repurchase all of our Series B preferred stock, to pay certain employee incentive payments, to pay certain amounts related to the termination of our sponsors’ advisory agreements and for general corporate purposes.</w:t>
      </w:r>
    </w:p>
    <w:p>
      <w:pPr>
        <w:spacing w:after="0" w:line="102"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81" w:lineRule="auto"/>
        <w:rPr>
          <w:sz w:val="20"/>
          <w:szCs w:val="20"/>
          <w:color w:val="auto"/>
        </w:rPr>
      </w:pPr>
      <w:r>
        <w:rPr>
          <w:rFonts w:ascii="Arial" w:cs="Arial" w:eastAsia="Arial" w:hAnsi="Arial"/>
          <w:sz w:val="16"/>
          <w:szCs w:val="16"/>
          <w:color w:val="auto"/>
        </w:rPr>
        <w:t>See “Risk Factors” and the other information included in this prospectus for a discussion of the factors you should consider carefully before deciding to invest in shares of our common stock.</w:t>
      </w:r>
    </w:p>
    <w:p>
      <w:pPr>
        <w:spacing w:after="0" w:line="7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220"/>
        <w:spacing w:after="0" w:line="239" w:lineRule="auto"/>
        <w:rPr>
          <w:sz w:val="20"/>
          <w:szCs w:val="20"/>
          <w:color w:val="auto"/>
        </w:rPr>
      </w:pPr>
      <w:r>
        <w:rPr>
          <w:rFonts w:ascii="Arial" w:cs="Arial" w:eastAsia="Arial" w:hAnsi="Arial"/>
          <w:sz w:val="18"/>
          <w:szCs w:val="18"/>
          <w:color w:val="auto"/>
        </w:rPr>
        <w:t>We do not anticipate paying any cash dividends on our common stock.</w:t>
      </w:r>
    </w:p>
    <w:p>
      <w:pPr>
        <w:spacing w:after="0" w:line="10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MX</w:t>
      </w:r>
    </w:p>
    <w:p>
      <w:pPr>
        <w:spacing w:after="0" w:line="20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spacing w:after="0" w:line="21" w:lineRule="exact"/>
        <w:rPr>
          <w:sz w:val="20"/>
          <w:szCs w:val="20"/>
          <w:color w:val="auto"/>
        </w:rPr>
      </w:pPr>
    </w:p>
    <w:p>
      <w:pPr>
        <w:ind w:left="740" w:hanging="543"/>
        <w:spacing w:after="0" w:line="238" w:lineRule="auto"/>
        <w:tabs>
          <w:tab w:leader="none" w:pos="740" w:val="left"/>
        </w:tabs>
        <w:numPr>
          <w:ilvl w:val="0"/>
          <w:numId w:val="5"/>
        </w:numPr>
        <w:rPr>
          <w:rFonts w:ascii="Arial" w:cs="Arial" w:eastAsia="Arial" w:hAnsi="Arial"/>
          <w:sz w:val="11"/>
          <w:szCs w:val="11"/>
          <w:color w:val="auto"/>
        </w:rPr>
      </w:pPr>
      <w:r>
        <w:rPr>
          <w:rFonts w:ascii="Arial" w:cs="Arial" w:eastAsia="Arial" w:hAnsi="Arial"/>
          <w:sz w:val="18"/>
          <w:szCs w:val="18"/>
          <w:color w:val="auto"/>
        </w:rPr>
        <w:t>The selling stockholders, including some of our executive officers, have provided the underwriters an option to purchase up to additional shares of our common stock. If the underwriters exercise their option to purchase additional shares, we will not receive any of the proceeds from the sale of our common stock by the selling stockholders.</w:t>
      </w:r>
    </w:p>
    <w:p>
      <w:pPr>
        <w:sectPr>
          <w:pgSz w:w="11900" w:h="16838" w:orient="portrait"/>
          <w:cols w:equalWidth="0" w:num="1">
            <w:col w:w="11260"/>
          </w:cols>
          <w:pgMar w:left="240" w:top="459" w:right="399" w:bottom="1440" w:gutter="0" w:footer="0" w:header="0"/>
          <w:type w:val="continuous"/>
        </w:sectPr>
      </w:pP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number of shares of our common stock outstanding after this offering is based 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Semiconductor LLC outstanding as of the date of this prospectus and: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 MagnaChip</w:t>
      </w:r>
    </w:p>
    <w:p>
      <w:pPr>
        <w:spacing w:after="0" w:line="297" w:lineRule="exact"/>
        <w:rPr>
          <w:sz w:val="20"/>
          <w:szCs w:val="20"/>
          <w:color w:val="auto"/>
        </w:rPr>
      </w:pPr>
    </w:p>
    <w:p>
      <w:pPr>
        <w:sectPr>
          <w:pgSz w:w="11900" w:h="16838" w:orient="portrait"/>
          <w:cols w:equalWidth="0" w:num="2">
            <w:col w:w="7400" w:space="680"/>
            <w:col w:w="3180"/>
          </w:cols>
          <w:pgMar w:left="240" w:top="459" w:right="399" w:bottom="1440" w:gutter="0" w:footer="0" w:header="0"/>
          <w:type w:val="continuous"/>
        </w:sectPr>
      </w:pPr>
    </w:p>
    <w:p>
      <w:pPr>
        <w:ind w:left="980" w:hanging="24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consummation of the corporate reorganization, pursuant to which all of the outstanding common units of MagnaChip</w:t>
      </w:r>
    </w:p>
    <w:p>
      <w:pPr>
        <w:jc w:val="both"/>
        <w:ind w:left="980" w:right="80"/>
        <w:spacing w:after="0" w:line="238" w:lineRule="auto"/>
        <w:rPr>
          <w:sz w:val="20"/>
          <w:szCs w:val="20"/>
          <w:color w:val="auto"/>
        </w:rPr>
      </w:pPr>
      <w:r>
        <w:rPr>
          <w:rFonts w:ascii="Arial" w:cs="Arial" w:eastAsia="Arial" w:hAnsi="Arial"/>
          <w:sz w:val="18"/>
          <w:szCs w:val="18"/>
          <w:color w:val="auto"/>
        </w:rPr>
        <w:t>Semiconductor LLC will be exchanged for shares of our common stock at a ratio of , and is based on the assumption that all of the Series B preferred units of MagnaChip Semiconductor LLC will be exchanged for shares of our Series B preferred stock at a ratio of 1:1;</w:t>
      </w:r>
    </w:p>
    <w:p>
      <w:pPr>
        <w:sectPr>
          <w:pgSz w:w="11900" w:h="16838" w:orient="portrait"/>
          <w:cols w:equalWidth="0" w:num="1">
            <w:col w:w="11260"/>
          </w:cols>
          <w:pgMar w:left="240" w:top="459" w:right="399" w:bottom="1440" w:gutter="0" w:footer="0" w:header="0"/>
          <w:type w:val="continuous"/>
        </w:sectPr>
      </w:pPr>
    </w:p>
    <w:p>
      <w:pPr>
        <w:spacing w:after="0" w:line="61" w:lineRule="exact"/>
        <w:rPr>
          <w:sz w:val="20"/>
          <w:szCs w:val="20"/>
          <w:color w:val="auto"/>
        </w:rPr>
      </w:pPr>
    </w:p>
    <w:p>
      <w:pPr>
        <w:ind w:left="740"/>
        <w:spacing w:after="0"/>
        <w:tabs>
          <w:tab w:leader="none" w:pos="2340" w:val="left"/>
        </w:tabs>
        <w:rPr>
          <w:sz w:val="20"/>
          <w:szCs w:val="20"/>
          <w:color w:val="auto"/>
        </w:rPr>
      </w:pPr>
      <w:r>
        <w:rPr>
          <w:rFonts w:ascii="Arial" w:cs="Arial" w:eastAsia="Arial" w:hAnsi="Arial"/>
          <w:sz w:val="18"/>
          <w:szCs w:val="18"/>
          <w:color w:val="auto"/>
        </w:rPr>
        <w:t>Ÿ  excludes</w:t>
      </w:r>
      <w:r>
        <w:rPr>
          <w:sz w:val="20"/>
          <w:szCs w:val="20"/>
          <w:color w:val="auto"/>
        </w:rPr>
        <w:tab/>
      </w:r>
      <w:r>
        <w:rPr>
          <w:rFonts w:ascii="Arial" w:cs="Arial" w:eastAsia="Arial" w:hAnsi="Arial"/>
          <w:sz w:val="16"/>
          <w:szCs w:val="16"/>
          <w:color w:val="auto"/>
        </w:rPr>
        <w:t>shares of our common stock reserved for issuance upon exercise of stock options outstanding as of</w:t>
      </w:r>
    </w:p>
    <w:p>
      <w:pPr>
        <w:spacing w:after="0" w:line="7" w:lineRule="exact"/>
        <w:rPr>
          <w:sz w:val="20"/>
          <w:szCs w:val="20"/>
          <w:color w:val="auto"/>
        </w:rPr>
      </w:pPr>
    </w:p>
    <w:p>
      <w:pPr>
        <w:ind w:left="980"/>
        <w:spacing w:after="0"/>
        <w:tabs>
          <w:tab w:leader="none" w:pos="4360" w:val="left"/>
        </w:tabs>
        <w:rPr>
          <w:sz w:val="20"/>
          <w:szCs w:val="20"/>
          <w:color w:val="auto"/>
        </w:rPr>
      </w:pPr>
      <w:r>
        <w:rPr>
          <w:rFonts w:ascii="Arial" w:cs="Arial" w:eastAsia="Arial" w:hAnsi="Arial"/>
          <w:sz w:val="18"/>
          <w:szCs w:val="18"/>
          <w:color w:val="auto"/>
        </w:rPr>
        <w:t>weighted average exercise price of</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at a</w:t>
      </w:r>
    </w:p>
    <w:p>
      <w:pPr>
        <w:spacing w:after="0" w:line="290" w:lineRule="exact"/>
        <w:rPr>
          <w:sz w:val="20"/>
          <w:szCs w:val="20"/>
          <w:color w:val="auto"/>
        </w:rPr>
      </w:pPr>
    </w:p>
    <w:p>
      <w:pPr>
        <w:sectPr>
          <w:pgSz w:w="11900" w:h="16838" w:orient="portrait"/>
          <w:cols w:equalWidth="0" w:num="2">
            <w:col w:w="10080" w:space="680"/>
            <w:col w:w="500"/>
          </w:cols>
          <w:pgMar w:left="240" w:top="459" w:right="399" w:bottom="1440" w:gutter="0" w:footer="0" w:header="0"/>
          <w:type w:val="continuous"/>
        </w:sectPr>
      </w:pPr>
    </w:p>
    <w:p>
      <w:pPr>
        <w:ind w:left="740"/>
        <w:spacing w:after="0"/>
        <w:tabs>
          <w:tab w:leader="none" w:pos="2340" w:val="left"/>
          <w:tab w:leader="none" w:pos="6380" w:val="left"/>
        </w:tabs>
        <w:rPr>
          <w:sz w:val="20"/>
          <w:szCs w:val="20"/>
          <w:color w:val="auto"/>
        </w:rPr>
      </w:pPr>
      <w:r>
        <w:rPr>
          <w:rFonts w:ascii="Arial" w:cs="Arial" w:eastAsia="Arial" w:hAnsi="Arial"/>
          <w:sz w:val="18"/>
          <w:szCs w:val="18"/>
          <w:color w:val="auto"/>
        </w:rPr>
        <w:t>Ÿ  excludes</w:t>
      </w:r>
      <w:r>
        <w:rPr>
          <w:sz w:val="20"/>
          <w:szCs w:val="20"/>
          <w:color w:val="auto"/>
        </w:rPr>
        <w:tab/>
      </w:r>
      <w:r>
        <w:rPr>
          <w:rFonts w:ascii="Arial" w:cs="Arial" w:eastAsia="Arial" w:hAnsi="Arial"/>
          <w:sz w:val="18"/>
          <w:szCs w:val="18"/>
          <w:color w:val="auto"/>
        </w:rPr>
        <w:t>shares of our common stock reserved as of</w:t>
      </w:r>
      <w:r>
        <w:rPr>
          <w:sz w:val="20"/>
          <w:szCs w:val="20"/>
          <w:color w:val="auto"/>
        </w:rPr>
        <w:tab/>
      </w:r>
      <w:r>
        <w:rPr>
          <w:rFonts w:ascii="Arial" w:cs="Arial" w:eastAsia="Arial" w:hAnsi="Arial"/>
          <w:sz w:val="16"/>
          <w:szCs w:val="16"/>
          <w:color w:val="auto"/>
        </w:rPr>
        <w:t>for issuance pursuant to future grants under our 2008 Equity</w:t>
      </w:r>
    </w:p>
    <w:p>
      <w:pPr>
        <w:sectPr>
          <w:pgSz w:w="11900" w:h="16838" w:orient="portrait"/>
          <w:cols w:equalWidth="0" w:num="1">
            <w:col w:w="11260"/>
          </w:cols>
          <w:pgMar w:left="240" w:top="459" w:right="399" w:bottom="1440" w:gutter="0" w:footer="0" w:header="0"/>
          <w:type w:val="continuous"/>
        </w:sectPr>
      </w:pPr>
    </w:p>
    <w:p>
      <w:pPr>
        <w:spacing w:after="0" w:line="15" w:lineRule="exact"/>
        <w:rPr>
          <w:sz w:val="20"/>
          <w:szCs w:val="20"/>
          <w:color w:val="auto"/>
        </w:rPr>
      </w:pPr>
    </w:p>
    <w:p>
      <w:pPr>
        <w:ind w:left="980" w:right="60"/>
        <w:spacing w:after="0" w:line="234" w:lineRule="auto"/>
        <w:rPr>
          <w:sz w:val="20"/>
          <w:szCs w:val="20"/>
          <w:color w:val="auto"/>
        </w:rPr>
      </w:pPr>
      <w:r>
        <w:rPr>
          <w:rFonts w:ascii="Arial" w:cs="Arial" w:eastAsia="Arial" w:hAnsi="Arial"/>
          <w:sz w:val="18"/>
          <w:szCs w:val="18"/>
          <w:color w:val="auto"/>
        </w:rPr>
        <w:t>Incentive Plan and 2008 Employee Stock Purchase Plan, which does not include the additional shares which may become available for issuance pursuant to the automatic share reserve increase provisions of such plans described below; and</w:t>
      </w:r>
    </w:p>
    <w:p>
      <w:pPr>
        <w:spacing w:after="0" w:line="74" w:lineRule="exact"/>
        <w:rPr>
          <w:sz w:val="20"/>
          <w:szCs w:val="20"/>
          <w:color w:val="auto"/>
        </w:rPr>
      </w:pPr>
    </w:p>
    <w:p>
      <w:pPr>
        <w:jc w:val="center"/>
        <w:ind w:left="5660" w:right="1140" w:hanging="4923"/>
        <w:spacing w:after="0" w:line="630"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that all holders of Series B preferred units elect to have their units repurchased at the closing of this offering. 5</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16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16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The number of shares authorized for future issuance under our 2008 Equity Incentive Plan and our 2008 Employee Stock Purchase Plan reflected above does not include additional shares that may become available for future issuance pursuant to the automatic share reserve increase provisions of these plans. On January 1 of each year from 2009 through 2017, up to 2.5% and 1.0%, respectively, of the shares of our common stock issued and outstanding on the immediately preceding December 31 may be added automatically to the number of shares remaining available for future grants under the 2008 Equity Incentive Plan and the 2008 Employee Stock Purchase Plan.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Unless specifically stated otherwise, the information in this prospectus:</w:t>
      </w:r>
    </w:p>
    <w:p>
      <w:pPr>
        <w:spacing w:after="0" w:line="77" w:lineRule="exact"/>
        <w:rPr>
          <w:sz w:val="20"/>
          <w:szCs w:val="20"/>
          <w:color w:val="auto"/>
        </w:rPr>
      </w:pPr>
    </w:p>
    <w:p>
      <w:pPr>
        <w:ind w:left="980" w:right="660" w:hanging="243"/>
        <w:spacing w:after="0" w:line="23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consummation of the corporate reorganization and the effectiveness of our amended and restated certificate of incorporation prior to the closing of this offering;</w:t>
      </w:r>
    </w:p>
    <w:p>
      <w:pPr>
        <w:spacing w:after="0" w:line="62" w:lineRule="exact"/>
        <w:rPr>
          <w:sz w:val="20"/>
          <w:szCs w:val="20"/>
          <w:color w:val="auto"/>
        </w:rPr>
      </w:pPr>
    </w:p>
    <w:p>
      <w:pPr>
        <w:ind w:left="740"/>
        <w:spacing w:after="0"/>
        <w:tabs>
          <w:tab w:leader="none" w:pos="8000" w:val="left"/>
        </w:tabs>
        <w:rPr>
          <w:sz w:val="20"/>
          <w:szCs w:val="20"/>
          <w:color w:val="auto"/>
        </w:rPr>
      </w:pPr>
      <w:r>
        <w:rPr>
          <w:rFonts w:ascii="Arial" w:cs="Arial" w:eastAsia="Arial" w:hAnsi="Arial"/>
          <w:sz w:val="18"/>
          <w:szCs w:val="18"/>
          <w:color w:val="auto"/>
        </w:rPr>
        <w:t>Ÿ  assumes no exercise of the underwriters’ option to purchase up to an additional</w:t>
      </w:r>
      <w:r>
        <w:rPr>
          <w:sz w:val="20"/>
          <w:szCs w:val="20"/>
          <w:color w:val="auto"/>
        </w:rPr>
        <w:tab/>
      </w:r>
      <w:r>
        <w:rPr>
          <w:rFonts w:ascii="Arial" w:cs="Arial" w:eastAsia="Arial" w:hAnsi="Arial"/>
          <w:sz w:val="16"/>
          <w:szCs w:val="16"/>
          <w:color w:val="auto"/>
        </w:rPr>
        <w:t>shares from our selling stockholders; and</w:t>
      </w:r>
    </w:p>
    <w:p>
      <w:pPr>
        <w:spacing w:after="0" w:line="90" w:lineRule="exact"/>
        <w:rPr>
          <w:sz w:val="20"/>
          <w:szCs w:val="20"/>
          <w:color w:val="auto"/>
        </w:rPr>
      </w:pPr>
    </w:p>
    <w:p>
      <w:pPr>
        <w:ind w:left="980" w:right="280" w:hanging="239"/>
        <w:spacing w:after="0" w:line="239" w:lineRule="auto"/>
        <w:tabs>
          <w:tab w:leader="none" w:pos="96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assumes an initial public offering price of $ per share, which is the midpoint of the range set forth on the front cover of this prospectus.</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1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321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Financial Data</w:t>
      </w:r>
    </w:p>
    <w:p>
      <w:pPr>
        <w:spacing w:after="0" w:line="180" w:lineRule="exact"/>
        <w:rPr>
          <w:sz w:val="20"/>
          <w:szCs w:val="20"/>
          <w:color w:val="auto"/>
        </w:rPr>
      </w:pPr>
    </w:p>
    <w:p>
      <w:pPr>
        <w:ind w:left="200" w:right="160" w:firstLine="553"/>
        <w:spacing w:after="0" w:line="236" w:lineRule="auto"/>
        <w:rPr>
          <w:sz w:val="20"/>
          <w:szCs w:val="20"/>
          <w:color w:val="auto"/>
        </w:rPr>
      </w:pPr>
      <w:r>
        <w:rPr>
          <w:rFonts w:ascii="Arial" w:cs="Arial" w:eastAsia="Arial" w:hAnsi="Arial"/>
          <w:sz w:val="18"/>
          <w:szCs w:val="18"/>
          <w:color w:val="auto"/>
        </w:rPr>
        <w:t>The following tables set forth summary historical and pro forma financial data of MagnaChip Semiconductor LLC on or as of the dates and for the periods indicated. The summary historical and pro forma financial data presented below should be read together with “Selected Historical Consolidated Financial and Operating Data of MagnaChip Semiconductor LLC,” “Unaudited Pro Forma Consolidated Financial Information,” “Management’s Discussion and Analysis of Financial Condition and Results of Operations” and our financial statements, including the notes to those financial statements appearing elsewhere in this prospectus.</w:t>
      </w:r>
    </w:p>
    <w:p>
      <w:pPr>
        <w:spacing w:after="0" w:line="157" w:lineRule="exact"/>
        <w:rPr>
          <w:sz w:val="20"/>
          <w:szCs w:val="20"/>
          <w:color w:val="auto"/>
        </w:rPr>
      </w:pPr>
    </w:p>
    <w:p>
      <w:pPr>
        <w:ind w:left="200" w:right="180" w:firstLine="553"/>
        <w:spacing w:after="0" w:line="236" w:lineRule="auto"/>
        <w:rPr>
          <w:sz w:val="20"/>
          <w:szCs w:val="20"/>
          <w:color w:val="auto"/>
        </w:rPr>
      </w:pPr>
      <w:r>
        <w:rPr>
          <w:rFonts w:ascii="Arial" w:cs="Arial" w:eastAsia="Arial" w:hAnsi="Arial"/>
          <w:sz w:val="18"/>
          <w:szCs w:val="18"/>
          <w:color w:val="auto"/>
        </w:rPr>
        <w:t>We have derived the summary consolidated financial data as of and for the years ended December 31, 2006 and 2005 from the historical audited consolidated financial statements of MagnaChip Semiconductor LLC. We derived the summary consolidated historical and pro forma financial data for the nine-month periods ended September 30, 2007 and October 1, 2006 and as of September 30, 2007 from the unaudited consolidated interim financial statements of MagnaChip Semiconductor LLC. The unaudited summary consolidated historical and pro forma financial data include, in the opinion of our management, all adjustments, consisting only of normal recurring adjustments, that are necessary for a fair presentation of our financial position and results of operations for these periods. The historical results of MagnaChip Semiconductor LLC for any prior period are not necessarily indicative of the results to be expected in any future period, and financial results for any interim period are not necessarily indicative of results for a full fiscal year.</w:t>
      </w:r>
    </w:p>
    <w:p>
      <w:pPr>
        <w:spacing w:after="0" w:line="154" w:lineRule="exact"/>
        <w:rPr>
          <w:sz w:val="20"/>
          <w:szCs w:val="20"/>
          <w:color w:val="auto"/>
        </w:rPr>
      </w:pPr>
    </w:p>
    <w:p>
      <w:pPr>
        <w:ind w:left="200" w:right="40" w:firstLine="553"/>
        <w:spacing w:after="0" w:line="236" w:lineRule="auto"/>
        <w:rPr>
          <w:sz w:val="20"/>
          <w:szCs w:val="20"/>
          <w:color w:val="auto"/>
        </w:rPr>
      </w:pPr>
      <w:r>
        <w:rPr>
          <w:rFonts w:ascii="Arial" w:cs="Arial" w:eastAsia="Arial" w:hAnsi="Arial"/>
          <w:sz w:val="18"/>
          <w:szCs w:val="18"/>
          <w:color w:val="auto"/>
        </w:rPr>
        <w:t>We have prepared the summarized unaudited pro forma financial data for the year ended December 31, 2006 and the nine months ended September 30, 2007 and as of September 30, 2007 to give pro forma effect to (1) the corporate reorganization and (2) the sale of shares in this offering and application of the net proceeds from this offering, in each case as if they had occurred at the beginning of the period presented with respect to statement of operations data and as of the end of the period presented with respect to balance sheet data. The summary unaudited pro forma financial data set forth below and under “Selected Unaudited Pro Forma Consolidated Financial Information” are presented for informational purposes only, should not be considered indicative of actual results of operations that would have been achieved had the corporate reorganization and this offering been consummated on the dates indicated, and do not purport to be indicative of balance sheet data or results of operations as of any future date or for any future period.</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5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6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Historical</w:t>
            </w: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3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Nine months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gridSpan w:val="3"/>
          </w:tcPr>
          <w:p>
            <w:pPr>
              <w:jc w:val="right"/>
              <w:ind w:right="192"/>
              <w:spacing w:after="0" w:line="129" w:lineRule="exact"/>
              <w:rPr>
                <w:sz w:val="20"/>
                <w:szCs w:val="20"/>
                <w:color w:val="auto"/>
              </w:rPr>
            </w:pPr>
            <w:r>
              <w:rPr>
                <w:rFonts w:ascii="Arial" w:cs="Arial" w:eastAsia="Arial" w:hAnsi="Arial"/>
                <w:sz w:val="14"/>
                <w:szCs w:val="14"/>
                <w:b w:val="1"/>
                <w:bCs w:val="1"/>
                <w:color w:val="auto"/>
              </w:rPr>
              <w:t>Years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ended</w:t>
            </w: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14"/>
                <w:szCs w:val="14"/>
                <w:color w:val="auto"/>
              </w:rPr>
            </w:pPr>
          </w:p>
        </w:tc>
        <w:tc>
          <w:tcPr>
            <w:tcW w:w="22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6"/>
              </w:rPr>
              <w:t>Nine months ended</w:t>
            </w:r>
          </w:p>
        </w:tc>
        <w:tc>
          <w:tcPr>
            <w:tcW w:w="13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1340" w:type="dxa"/>
            <w:vAlign w:val="bottom"/>
            <w:gridSpan w:val="3"/>
          </w:tcPr>
          <w:p>
            <w:pPr>
              <w:jc w:val="center"/>
              <w:ind w:right="380"/>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1320" w:type="dxa"/>
            <w:vAlign w:val="bottom"/>
            <w:gridSpan w:val="3"/>
          </w:tcPr>
          <w:p>
            <w:pPr>
              <w:jc w:val="center"/>
              <w:ind w:right="40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13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92"/>
              </w:rPr>
              <w:t>October 1,</w:t>
            </w: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2007</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5"/>
              </w:rPr>
              <w:t>(Audited)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center"/>
              <w:ind w:left="432"/>
              <w:spacing w:after="0" w:line="125" w:lineRule="exact"/>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center"/>
              <w:ind w:left="272"/>
              <w:spacing w:after="0" w:line="125"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8"/>
              </w:rPr>
              <w:t>(in millions, except per common unit/share data)</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545.9</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744.4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545.9</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582.0</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w w:val="98"/>
              </w:rPr>
              <w:t>$ 744.4</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$ 937.7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471.9</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644.9</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471.9</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500.6</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644.9</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99.4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74.0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81.5</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99.4</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71.9</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87.7</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71.9</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66.4</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87.7</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101.1</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131.3</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101.1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95.9</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131.3</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charges</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94.3</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12.1</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93.9</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94.3</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(111.1)</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(213.8)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(174.7)</w:t>
            </w:r>
          </w:p>
        </w:tc>
        <w:tc>
          <w:tcPr>
            <w:tcW w:w="9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rPr>
              <w:t>(213.8)</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32.5</w:t>
            </w:r>
          </w:p>
        </w:tc>
        <w:tc>
          <w:tcPr>
            <w:tcW w:w="24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41.0</w:t>
            </w: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44.7</w:t>
            </w:r>
          </w:p>
        </w:tc>
        <w:tc>
          <w:tcPr>
            <w:tcW w:w="14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43.0</w:t>
            </w:r>
          </w:p>
        </w:tc>
        <w:tc>
          <w:tcPr>
            <w:tcW w:w="900" w:type="dxa"/>
            <w:vAlign w:val="bottom"/>
            <w:gridSpan w:val="2"/>
          </w:tcPr>
          <w:p>
            <w:pPr>
              <w:jc w:val="right"/>
              <w:ind w:right="358"/>
              <w:spacing w:after="0" w:line="149" w:lineRule="exact"/>
              <w:rPr>
                <w:sz w:val="20"/>
                <w:szCs w:val="20"/>
                <w:color w:val="auto"/>
              </w:rPr>
            </w:pPr>
            <w:r>
              <w:rPr>
                <w:rFonts w:ascii="Arial" w:cs="Arial" w:eastAsia="Arial" w:hAnsi="Arial"/>
                <w:sz w:val="14"/>
                <w:szCs w:val="14"/>
                <w:color w:val="auto"/>
              </w:rPr>
              <w:t>57.2</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 net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40.9</w:t>
            </w:r>
          </w:p>
        </w:tc>
        <w:tc>
          <w:tcPr>
            <w:tcW w:w="900" w:type="dxa"/>
            <w:vAlign w:val="bottom"/>
            <w:gridSpan w:val="2"/>
            <w:shd w:val="clear" w:color="auto" w:fill="CCEEFF"/>
          </w:tcPr>
          <w:p>
            <w:pPr>
              <w:jc w:val="right"/>
              <w:ind w:right="358"/>
              <w:spacing w:after="0" w:line="149" w:lineRule="exact"/>
              <w:rPr>
                <w:sz w:val="20"/>
                <w:szCs w:val="20"/>
                <w:color w:val="auto"/>
              </w:rPr>
            </w:pPr>
            <w:r>
              <w:rPr>
                <w:rFonts w:ascii="Arial" w:cs="Arial" w:eastAsia="Arial" w:hAnsi="Arial"/>
                <w:sz w:val="14"/>
                <w:szCs w:val="14"/>
                <w:color w:val="auto"/>
              </w:rPr>
              <w:t>50.9</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tcPr>
          <w:p>
            <w:pPr>
              <w:spacing w:after="0" w:line="155" w:lineRule="exact"/>
              <w:rPr>
                <w:sz w:val="20"/>
                <w:szCs w:val="20"/>
                <w:color w:val="auto"/>
              </w:rPr>
            </w:pPr>
            <w:r>
              <w:rPr>
                <w:rFonts w:ascii="Arial" w:cs="Arial" w:eastAsia="Arial" w:hAnsi="Arial"/>
                <w:sz w:val="14"/>
                <w:szCs w:val="14"/>
                <w:color w:val="auto"/>
              </w:rPr>
              <w:t>Other income (expenses)</w:t>
            </w:r>
          </w:p>
        </w:tc>
        <w:tc>
          <w:tcPr>
            <w:tcW w:w="180" w:type="dxa"/>
            <w:vAlign w:val="bottom"/>
          </w:tcPr>
          <w:p>
            <w:pPr>
              <w:spacing w:after="0"/>
              <w:rPr>
                <w:sz w:val="13"/>
                <w:szCs w:val="13"/>
                <w:color w:val="auto"/>
              </w:rPr>
            </w:pPr>
          </w:p>
        </w:tc>
        <w:tc>
          <w:tcPr>
            <w:tcW w:w="11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(21.2)</w:t>
            </w:r>
          </w:p>
        </w:tc>
        <w:tc>
          <w:tcPr>
            <w:tcW w:w="240" w:type="dxa"/>
            <w:vAlign w:val="bottom"/>
          </w:tcPr>
          <w:p>
            <w:pPr>
              <w:spacing w:after="0"/>
              <w:rPr>
                <w:sz w:val="13"/>
                <w:szCs w:val="13"/>
                <w:color w:val="auto"/>
              </w:rPr>
            </w:pPr>
          </w:p>
        </w:tc>
        <w:tc>
          <w:tcPr>
            <w:tcW w:w="10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3"/>
                <w:szCs w:val="13"/>
                <w:color w:val="auto"/>
              </w:rPr>
            </w:pPr>
          </w:p>
        </w:tc>
        <w:tc>
          <w:tcPr>
            <w:tcW w:w="11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(33.4)</w:t>
            </w: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318"/>
              <w:spacing w:after="0" w:line="155" w:lineRule="exact"/>
              <w:rPr>
                <w:sz w:val="20"/>
                <w:szCs w:val="20"/>
                <w:color w:val="auto"/>
              </w:rPr>
            </w:pPr>
            <w:r>
              <w:rPr>
                <w:rFonts w:ascii="Arial" w:cs="Arial" w:eastAsia="Arial" w:hAnsi="Arial"/>
                <w:sz w:val="14"/>
                <w:szCs w:val="14"/>
                <w:color w:val="auto"/>
              </w:rPr>
              <w:t>(6.3)</w:t>
            </w:r>
          </w:p>
        </w:tc>
        <w:tc>
          <w:tcPr>
            <w:tcW w:w="4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64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32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96"/>
              </w:rPr>
              <w:t>Nine months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52"/>
              <w:spacing w:after="0" w:line="129" w:lineRule="exact"/>
              <w:rPr>
                <w:sz w:val="20"/>
                <w:szCs w:val="20"/>
                <w:color w:val="auto"/>
              </w:rPr>
            </w:pPr>
            <w:r>
              <w:rPr>
                <w:rFonts w:ascii="Arial" w:cs="Arial" w:eastAsia="Arial" w:hAnsi="Arial"/>
                <w:sz w:val="14"/>
                <w:szCs w:val="14"/>
                <w:b w:val="1"/>
                <w:bCs w:val="1"/>
                <w:color w:val="auto"/>
                <w:w w:val="96"/>
              </w:rPr>
              <w:t>Years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ended</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22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3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tcBorders>
            <w:gridSpan w:val="3"/>
          </w:tcPr>
          <w:p>
            <w:pPr>
              <w:ind w:left="20"/>
              <w:spacing w:after="0" w:line="125" w:lineRule="exact"/>
              <w:rPr>
                <w:sz w:val="20"/>
                <w:szCs w:val="20"/>
                <w:color w:val="auto"/>
              </w:rPr>
            </w:pPr>
            <w:r>
              <w:rPr>
                <w:rFonts w:ascii="Arial" w:cs="Arial" w:eastAsia="Arial" w:hAnsi="Arial"/>
                <w:sz w:val="14"/>
                <w:szCs w:val="14"/>
                <w:b w:val="1"/>
                <w:bCs w:val="1"/>
                <w:color w:val="auto"/>
              </w:rPr>
              <w:t>September 30,</w:t>
            </w:r>
          </w:p>
        </w:tc>
        <w:tc>
          <w:tcPr>
            <w:tcW w:w="680" w:type="dxa"/>
            <w:vAlign w:val="bottom"/>
            <w:tcBorders>
              <w:top w:val="single" w:sz="8" w:color="auto"/>
            </w:tcBorders>
            <w:gridSpan w:val="2"/>
          </w:tcPr>
          <w:p>
            <w:pPr>
              <w:ind w:left="20"/>
              <w:spacing w:after="0" w:line="125" w:lineRule="exact"/>
              <w:rPr>
                <w:sz w:val="20"/>
                <w:szCs w:val="20"/>
                <w:color w:val="auto"/>
              </w:rPr>
            </w:pPr>
            <w:r>
              <w:rPr>
                <w:rFonts w:ascii="Arial" w:cs="Arial" w:eastAsia="Arial" w:hAnsi="Arial"/>
                <w:sz w:val="14"/>
                <w:szCs w:val="14"/>
                <w:b w:val="1"/>
                <w:bCs w:val="1"/>
                <w:color w:val="auto"/>
                <w:w w:val="92"/>
              </w:rPr>
              <w:t>October 1,</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4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5"/>
              </w:rPr>
              <w:t>(Audited)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center"/>
              <w:ind w:left="392"/>
              <w:spacing w:after="0" w:line="125" w:lineRule="exact"/>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left="292"/>
              <w:spacing w:after="0" w:line="125"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rPr>
              <w:t>(in millions, except per common unit / share data)</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(132.2)</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(203.9)</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(144.4)</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(176.8)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(220.1)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Income tax expenses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9.3</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(213.1)</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(151.1)</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(229.3)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line="155" w:lineRule="exact"/>
              <w:rPr>
                <w:sz w:val="20"/>
                <w:szCs w:val="20"/>
                <w:color w:val="auto"/>
              </w:rPr>
            </w:pPr>
            <w:r>
              <w:rPr>
                <w:rFonts w:ascii="Arial" w:cs="Arial" w:eastAsia="Arial" w:hAnsi="Arial"/>
                <w:sz w:val="14"/>
                <w:szCs w:val="14"/>
                <w:color w:val="auto"/>
              </w:rPr>
              <w:t>Dividends accrued on preferred shares</w:t>
            </w:r>
          </w:p>
        </w:tc>
        <w:tc>
          <w:tcPr>
            <w:tcW w:w="180" w:type="dxa"/>
            <w:vAlign w:val="bottom"/>
          </w:tcPr>
          <w:p>
            <w:pPr>
              <w:spacing w:after="0"/>
              <w:rPr>
                <w:sz w:val="13"/>
                <w:szCs w:val="13"/>
                <w:color w:val="auto"/>
              </w:rPr>
            </w:pPr>
          </w:p>
        </w:tc>
        <w:tc>
          <w:tcPr>
            <w:tcW w:w="76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c>
          <w:tcPr>
            <w:tcW w:w="880" w:type="dxa"/>
            <w:vAlign w:val="bottom"/>
            <w:gridSpan w:val="2"/>
          </w:tcPr>
          <w:p>
            <w:pPr>
              <w:jc w:val="right"/>
              <w:ind w:right="338"/>
              <w:spacing w:after="0" w:line="155" w:lineRule="exact"/>
              <w:rPr>
                <w:sz w:val="20"/>
                <w:szCs w:val="20"/>
                <w:color w:val="auto"/>
              </w:rPr>
            </w:pPr>
            <w:r>
              <w:rPr>
                <w:rFonts w:ascii="Arial" w:cs="Arial" w:eastAsia="Arial" w:hAnsi="Arial"/>
                <w:sz w:val="14"/>
                <w:szCs w:val="14"/>
                <w:color w:val="auto"/>
              </w:rPr>
              <w:t>10.9</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 / shares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(213.1)</w:t>
            </w:r>
          </w:p>
        </w:tc>
        <w:tc>
          <w:tcPr>
            <w:tcW w:w="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(159.9)</w:t>
            </w:r>
          </w:p>
        </w:tc>
        <w:tc>
          <w:tcPr>
            <w:tcW w:w="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(191.7)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78"/>
              <w:spacing w:after="0" w:line="149" w:lineRule="exact"/>
              <w:rPr>
                <w:sz w:val="20"/>
                <w:szCs w:val="20"/>
                <w:color w:val="auto"/>
              </w:rPr>
            </w:pPr>
            <w:r>
              <w:rPr>
                <w:rFonts w:ascii="Arial" w:cs="Arial" w:eastAsia="Arial" w:hAnsi="Arial"/>
                <w:sz w:val="14"/>
                <w:szCs w:val="14"/>
                <w:color w:val="auto"/>
              </w:rPr>
              <w:t>(240.2)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4"/>
                <w:szCs w:val="14"/>
                <w:color w:val="auto"/>
              </w:rPr>
              <w:t>Per unit / share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common unit / share: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(3.03)</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(4.54)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Weighted-average units / shares used in computing net income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per common unit / share: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52.769</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52.975</w:t>
            </w:r>
          </w:p>
        </w:tc>
        <w:tc>
          <w:tcPr>
            <w:tcW w:w="120" w:type="dxa"/>
            <w:vAlign w:val="bottom"/>
          </w:tcPr>
          <w:p>
            <w:pPr>
              <w:spacing w:after="0"/>
              <w:rPr>
                <w:sz w:val="12"/>
                <w:szCs w:val="12"/>
                <w:color w:val="auto"/>
              </w:rPr>
            </w:pP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52.912</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52.898</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 (at period end):</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61.9</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107.5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38"/>
              <w:spacing w:after="0" w:line="149" w:lineRule="exact"/>
              <w:rPr>
                <w:sz w:val="20"/>
                <w:szCs w:val="20"/>
                <w:color w:val="auto"/>
              </w:rPr>
            </w:pPr>
            <w:r>
              <w:rPr>
                <w:rFonts w:ascii="Arial" w:cs="Arial" w:eastAsia="Arial" w:hAnsi="Arial"/>
                <w:sz w:val="14"/>
                <w:szCs w:val="14"/>
                <w:color w:val="auto"/>
              </w:rPr>
              <w:t>89.2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742.3</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821.5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770.1</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1,040.6</w:t>
            </w: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3"/>
                <w:szCs w:val="13"/>
                <w:color w:val="auto"/>
              </w:rPr>
              <w:t>Total indebtedness</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600.6</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800.6</w:t>
            </w:r>
          </w:p>
        </w:tc>
        <w:tc>
          <w:tcPr>
            <w:tcW w:w="14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6"/>
                <w:szCs w:val="16"/>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units / stock</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126.2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Total unitholders’ / stockholders’ equity</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(452.2)</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(235.1)</w:t>
            </w:r>
          </w:p>
        </w:tc>
        <w:tc>
          <w:tcPr>
            <w:tcW w:w="120" w:type="dxa"/>
            <w:vAlign w:val="bottom"/>
          </w:tcPr>
          <w:p>
            <w:pPr>
              <w:spacing w:after="0"/>
              <w:rPr>
                <w:sz w:val="12"/>
                <w:szCs w:val="12"/>
                <w:color w:val="auto"/>
              </w:rPr>
            </w:pPr>
          </w:p>
        </w:tc>
        <w:tc>
          <w:tcPr>
            <w:tcW w:w="880" w:type="dxa"/>
            <w:vAlign w:val="bottom"/>
            <w:gridSpan w:val="2"/>
          </w:tcPr>
          <w:p>
            <w:pPr>
              <w:jc w:val="right"/>
              <w:ind w:right="278"/>
              <w:spacing w:after="0" w:line="149" w:lineRule="exact"/>
              <w:rPr>
                <w:sz w:val="20"/>
                <w:szCs w:val="20"/>
                <w:color w:val="auto"/>
              </w:rPr>
            </w:pPr>
            <w:r>
              <w:rPr>
                <w:rFonts w:ascii="Arial" w:cs="Arial" w:eastAsia="Arial" w:hAnsi="Arial"/>
                <w:sz w:val="14"/>
                <w:szCs w:val="14"/>
                <w:color w:val="auto"/>
              </w:rPr>
              <w:t>(284.5)</w:t>
            </w:r>
          </w:p>
        </w:tc>
        <w:tc>
          <w:tcPr>
            <w:tcW w:w="1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Data:</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3"/>
                <w:szCs w:val="13"/>
                <w:color w:val="auto"/>
              </w:rPr>
              <w:t>EBITDA</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39.1</w:t>
            </w:r>
          </w:p>
        </w:tc>
        <w:tc>
          <w:tcPr>
            <w:tcW w:w="26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25.7</w:t>
            </w:r>
          </w:p>
        </w:tc>
        <w:tc>
          <w:tcPr>
            <w:tcW w:w="2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39.1</w:t>
            </w:r>
          </w:p>
        </w:tc>
        <w:tc>
          <w:tcPr>
            <w:tcW w:w="14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138.8</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188.6</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138.8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8"/>
              <w:spacing w:after="0" w:line="149" w:lineRule="exact"/>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93"/>
        </w:trPr>
        <w:tc>
          <w:tcPr>
            <w:tcW w:w="4400" w:type="dxa"/>
            <w:vAlign w:val="bottom"/>
          </w:tcPr>
          <w:p>
            <w:pPr>
              <w:spacing w:after="0"/>
              <w:rPr>
                <w:sz w:val="20"/>
                <w:szCs w:val="20"/>
                <w:color w:val="auto"/>
              </w:rPr>
            </w:pPr>
            <w:r>
              <w:rPr>
                <w:rFonts w:ascii="Arial" w:cs="Arial" w:eastAsia="Arial" w:hAnsi="Arial"/>
                <w:sz w:val="14"/>
                <w:szCs w:val="14"/>
                <w:color w:val="auto"/>
              </w:rPr>
              <w:t>Capital expenditures</w:t>
            </w:r>
            <w:r>
              <w:rPr>
                <w:rFonts w:ascii="Arial" w:cs="Arial" w:eastAsia="Arial" w:hAnsi="Arial"/>
                <w:sz w:val="22"/>
                <w:szCs w:val="22"/>
                <w:color w:val="auto"/>
                <w:vertAlign w:val="superscript"/>
              </w:rPr>
              <w:t>(4)</w:t>
            </w:r>
          </w:p>
        </w:tc>
        <w:tc>
          <w:tcPr>
            <w:tcW w:w="18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64.9</w:t>
            </w:r>
          </w:p>
        </w:tc>
        <w:tc>
          <w:tcPr>
            <w:tcW w:w="2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41.4</w:t>
            </w:r>
          </w:p>
        </w:tc>
        <w:tc>
          <w:tcPr>
            <w:tcW w:w="2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64.9</w:t>
            </w:r>
          </w:p>
        </w:tc>
        <w:tc>
          <w:tcPr>
            <w:tcW w:w="14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4"/>
                <w:szCs w:val="24"/>
                <w:color w:val="auto"/>
              </w:rPr>
            </w:pPr>
          </w:p>
        </w:tc>
        <w:tc>
          <w:tcPr>
            <w:tcW w:w="880" w:type="dxa"/>
            <w:vAlign w:val="bottom"/>
            <w:gridSpan w:val="2"/>
          </w:tcPr>
          <w:p>
            <w:pPr>
              <w:jc w:val="right"/>
              <w:ind w:right="33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20" w:hanging="323"/>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Gives effect to the corporate reorganization, the closing of this offering and the sale of shares of our common stock in this offering at an assumed initial public offering price of</w:t>
      </w:r>
    </w:p>
    <w:p>
      <w:pPr>
        <w:ind w:left="520" w:right="240"/>
        <w:spacing w:after="0" w:line="221" w:lineRule="auto"/>
        <w:rPr>
          <w:rFonts w:ascii="Arial" w:cs="Arial" w:eastAsia="Arial" w:hAnsi="Arial"/>
          <w:sz w:val="14"/>
          <w:szCs w:val="14"/>
          <w:color w:val="auto"/>
        </w:rPr>
      </w:pPr>
      <w:r>
        <w:rPr>
          <w:rFonts w:ascii="Arial" w:cs="Arial" w:eastAsia="Arial" w:hAnsi="Arial"/>
          <w:sz w:val="14"/>
          <w:szCs w:val="14"/>
          <w:color w:val="auto"/>
        </w:rPr>
        <w:t>$ per share, which is the midpoint of the range set forth on the front cover of this prospectus, after deducting the underwriting discount and estimated offering expenses payable by us and after giving effect to the application of the net proceeds of the offering as described in this prospectus. For details regarding these pro forma adjustments, see the notes to the unaudited pro forma condensed consolidated financial information in “Unaudited Pro Forma Consolidated Financial Information.”</w:t>
      </w:r>
    </w:p>
    <w:p>
      <w:pPr>
        <w:ind w:left="520" w:hanging="323"/>
        <w:spacing w:after="0" w:line="22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520" w:right="100" w:hanging="323"/>
        <w:spacing w:after="0" w:line="22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accounting principles generally accepted in the United States of America, or GAAP. EBITDA is not a measure defined in accordance with GAAP. We believe that EBITDA is a standard performance measure commonly reported and widely used by analysts and investors in our industry.</w:t>
      </w:r>
    </w:p>
    <w:p>
      <w:pPr>
        <w:spacing w:after="0" w:line="69" w:lineRule="exact"/>
        <w:rPr>
          <w:sz w:val="20"/>
          <w:szCs w:val="20"/>
          <w:color w:val="auto"/>
        </w:rPr>
      </w:pPr>
    </w:p>
    <w:p>
      <w:pPr>
        <w:ind w:left="520" w:right="300"/>
        <w:spacing w:after="0" w:line="231" w:lineRule="auto"/>
        <w:rPr>
          <w:sz w:val="20"/>
          <w:szCs w:val="20"/>
          <w:color w:val="auto"/>
        </w:rPr>
      </w:pPr>
      <w:r>
        <w:rPr>
          <w:rFonts w:ascii="Arial" w:cs="Arial" w:eastAsia="Arial" w:hAnsi="Arial"/>
          <w:sz w:val="14"/>
          <w:szCs w:val="14"/>
          <w:color w:val="auto"/>
        </w:rPr>
        <w:t>However, the method of computation may or may not be comparable to other similarly titled measures of other companies. A reconciliation of net income (loss) to EBITDA is as follows:</w:t>
      </w:r>
    </w:p>
    <w:p>
      <w:pPr>
        <w:spacing w:after="0" w:line="52"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Nine months</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Years ended</w:t>
            </w: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920" w:type="dxa"/>
            <w:vAlign w:val="bottom"/>
            <w:gridSpan w:val="4"/>
          </w:tcPr>
          <w:p>
            <w:pPr>
              <w:jc w:val="center"/>
              <w:ind w:left="412"/>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0"/>
                <w:szCs w:val="10"/>
                <w:color w:val="auto"/>
              </w:rPr>
            </w:pPr>
          </w:p>
        </w:tc>
        <w:tc>
          <w:tcPr>
            <w:tcW w:w="11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3"/>
          </w:tcPr>
          <w:p>
            <w:pPr>
              <w:ind w:left="140"/>
              <w:spacing w:after="0" w:line="125" w:lineRule="exact"/>
              <w:rPr>
                <w:sz w:val="20"/>
                <w:szCs w:val="20"/>
                <w:color w:val="auto"/>
              </w:rPr>
            </w:pPr>
            <w:r>
              <w:rPr>
                <w:rFonts w:ascii="Arial" w:cs="Arial" w:eastAsia="Arial" w:hAnsi="Arial"/>
                <w:sz w:val="14"/>
                <w:szCs w:val="14"/>
                <w:b w:val="1"/>
                <w:bCs w:val="1"/>
                <w:color w:val="auto"/>
                <w:w w:val="95"/>
              </w:rPr>
              <w:t>October 1,</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(138.9)</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(213.1)</w:t>
            </w:r>
          </w:p>
        </w:tc>
        <w:tc>
          <w:tcPr>
            <w:tcW w:w="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(183.7)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(229.3)</w:t>
            </w: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(100.9)</w:t>
            </w: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202.9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9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3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3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323"/>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In such a case, the price of our common stock could decline and you could lose all or part of your investment. Additional risks and uncertainties not currently known to us or those currently viewed by us to be immaterial may also materially and adversely affect our business,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53" w:lineRule="exact"/>
        <w:rPr>
          <w:sz w:val="20"/>
          <w:szCs w:val="20"/>
          <w:color w:val="auto"/>
        </w:rPr>
      </w:pPr>
    </w:p>
    <w:p>
      <w:pPr>
        <w:ind w:right="180" w:firstLine="571"/>
        <w:spacing w:after="0" w:line="27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31"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53"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9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190 customers in the nine-month period ended September 30, 2007, net sales to our 10 largest customers represented approximately 61.6% of our net sales for the period. One customer represented greater than 10% of our net sales during the nine-month period ended September 30, 2007. Significant reductions in sales to any of these customers, the loss of major customers or a general curtailment in orders for our high volume products or services within a short period of time would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5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4" w:lineRule="exact"/>
        <w:rPr>
          <w:sz w:val="20"/>
          <w:szCs w:val="20"/>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820" w:right="580" w:hanging="245"/>
        <w:spacing w:after="0" w:line="23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accurately identify and respond to emerging technological trends and demand for product features and performance characteristics;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jc w:val="both"/>
        <w:ind w:right="80"/>
        <w:spacing w:after="0" w:line="299"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53"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53"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2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53"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55"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31" w:lineRule="exact"/>
        <w:rPr>
          <w:sz w:val="20"/>
          <w:szCs w:val="20"/>
          <w:color w:val="auto"/>
        </w:rPr>
      </w:pPr>
    </w:p>
    <w:p>
      <w:pPr>
        <w:ind w:right="1040" w:firstLine="571"/>
        <w:spacing w:after="0" w:line="239"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53"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53" w:lineRule="exact"/>
        <w:rPr>
          <w:sz w:val="20"/>
          <w:szCs w:val="20"/>
          <w:color w:val="auto"/>
        </w:rPr>
      </w:pPr>
    </w:p>
    <w:p>
      <w:pPr>
        <w:ind w:right="180" w:firstLine="571"/>
        <w:spacing w:after="0" w:line="270" w:lineRule="auto"/>
        <w:rPr>
          <w:sz w:val="20"/>
          <w:szCs w:val="20"/>
          <w:color w:val="auto"/>
        </w:rPr>
      </w:pPr>
      <w:r>
        <w:rPr>
          <w:rFonts w:ascii="Arial" w:cs="Arial" w:eastAsia="Arial" w:hAnsi="Arial"/>
          <w:sz w:val="16"/>
          <w:szCs w:val="16"/>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9" w:lineRule="exact"/>
        <w:rPr>
          <w:sz w:val="20"/>
          <w:szCs w:val="20"/>
          <w:color w:val="auto"/>
        </w:rPr>
      </w:pPr>
    </w:p>
    <w:p>
      <w:pPr>
        <w:ind w:right="60" w:firstLine="571"/>
        <w:spacing w:after="0" w:line="27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September 30, 2007, we had an accumulated deficit of approximately $531.8 million and negative stockholders’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53"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As of September 30, 2007, approximately 61%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5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senior secured credit facility and the indentures governing our senior secured notes and senior subordinated notes may restrict us from making acquisitions that we may otherwise wish to pursue.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9"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9"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16"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b w:val="1"/>
          <w:bCs w:val="1"/>
          <w:color w:val="auto"/>
        </w:rPr>
        <w:t>We could suffer adverse tax and other financial consequences as a result of changes in, or differences in the interpretation of, applicable tax laws.</w:t>
      </w:r>
    </w:p>
    <w:p>
      <w:pPr>
        <w:spacing w:after="0" w:line="53"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Our company organizational structure is based on assumptions about the various tax laws, including withholding tax, and other laws of applicable non-U.S. jurisdictions. In addition, our Korean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55"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50" w:lineRule="exact"/>
        <w:rPr>
          <w:sz w:val="20"/>
          <w:szCs w:val="20"/>
          <w:color w:val="auto"/>
        </w:rPr>
      </w:pPr>
    </w:p>
    <w:p>
      <w:pPr>
        <w:ind w:left="820" w:right="240" w:hanging="245"/>
        <w:spacing w:after="0" w:line="23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73"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our manufacture, use, sale or importation of infringing products; expend significant resources to develop or acquire non-infringing technologies;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noncompetition restrictions have expired, Hynix and its subsidiaries are free to develop products that may incorporate or embody intellectual property developed by us prior to October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9"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9"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53" w:lineRule="exact"/>
        <w:rPr>
          <w:sz w:val="20"/>
          <w:szCs w:val="20"/>
          <w:color w:val="auto"/>
        </w:rPr>
      </w:pPr>
    </w:p>
    <w:p>
      <w:pPr>
        <w:ind w:right="100" w:firstLine="571"/>
        <w:spacing w:after="0" w:line="273"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offerings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3"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the first nine months of 2007, more than 50%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214"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67"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As of September 30, 2007 and after giving pro forma effect to this offering and the use of proceeds therefrom, our total indebtedness would have been approximately $600 million. See “Capitalization” for additional information. Our substantial debt could have important consequences, including:</w:t>
      </w:r>
    </w:p>
    <w:p>
      <w:pPr>
        <w:spacing w:after="0" w:line="73"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820" w:right="600" w:hanging="245"/>
        <w:spacing w:after="0" w:line="23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72"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820" w:right="36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3" w:lineRule="exact"/>
        <w:rPr>
          <w:rFonts w:ascii="Arial" w:cs="Arial" w:eastAsia="Arial" w:hAnsi="Arial"/>
          <w:sz w:val="18"/>
          <w:szCs w:val="18"/>
          <w:color w:val="auto"/>
        </w:rPr>
      </w:pPr>
    </w:p>
    <w:p>
      <w:pPr>
        <w:ind w:left="820" w:right="30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571"/>
        <w:spacing w:after="0" w:line="273"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maintain a level of cash flows from operating activities sufficient to permit us to pay the principal, premium, if any, and interest on our indebtedness. In the year ended December 31, 2006, and the nine months ended September 30, 2007, our cash interest expense exceeded the cash generated from our operating activities by $25.6 million and $47.0 million, respectively.</w:t>
      </w:r>
    </w:p>
    <w:p>
      <w:pPr>
        <w:spacing w:after="0" w:line="129"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On April 19, 2007, Moody’s Investor Service, Inc. downgraded the ratings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3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53"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29"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9" w:lineRule="exact"/>
        <w:rPr>
          <w:sz w:val="20"/>
          <w:szCs w:val="20"/>
          <w:color w:val="auto"/>
        </w:rPr>
      </w:pPr>
    </w:p>
    <w:p>
      <w:pPr>
        <w:ind w:right="100" w:firstLine="571"/>
        <w:spacing w:after="0" w:line="281"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independent auditors will be required to attest to and report on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and could result in investigations or sanctions by the SEC, the New York Stock Exchange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We may need to incur impairment and other restructuring charges, which could materially affect our results of operations and financial conditions.</w:t>
      </w:r>
    </w:p>
    <w:p>
      <w:pPr>
        <w:spacing w:after="0" w:line="5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During industry downturns and for other reasons, we may need to record impairment or restructuring charges. From the Original Acquisition in October 2004 through September 30, 2007, we recognized aggregate restructuring and impairment charges of $142.6 million, which consisted of $136.5 million of impairment charges and $6.1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may lose all or a part of your investment.</w:t>
      </w:r>
    </w:p>
    <w:p>
      <w:pPr>
        <w:spacing w:after="0" w:line="9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Prior to this offering, there has not been a public market for our common stock. Even though we anticipate that our shares will be quoted on the New York Stock Exchange, an active trading market for our common stock may not develop following this offering. You may not be able to sell your shares quickly or at the current market price if trading in our stock is not active. The initial public offering price for the shares will be determined by negotiations between the underwriters and us, and may not be indicative of prices that will prevail in the trading market.</w:t>
      </w:r>
    </w:p>
    <w:p>
      <w:pPr>
        <w:spacing w:after="0" w:line="12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addition, the trading price of our common stock might be subject to wide fluctuations. Factors, some of which are beyond our control, that could affect the trading price of our common stock may include:</w:t>
      </w:r>
    </w:p>
    <w:p>
      <w:pPr>
        <w:spacing w:after="0" w:line="74"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subsequent sales of stock and other financings;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greater than 5% stockholders.</w:t>
      </w:r>
    </w:p>
    <w:p>
      <w:pPr>
        <w:spacing w:after="0" w:line="17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principal stockholders could adversely affect our other stockholders.</w:t>
      </w:r>
    </w:p>
    <w:p>
      <w:pPr>
        <w:spacing w:after="0" w:line="99" w:lineRule="exact"/>
        <w:rPr>
          <w:sz w:val="20"/>
          <w:szCs w:val="20"/>
          <w:color w:val="auto"/>
        </w:rPr>
      </w:pPr>
    </w:p>
    <w:p>
      <w:pPr>
        <w:ind w:right="60" w:firstLine="571"/>
        <w:spacing w:after="0" w:line="264" w:lineRule="auto"/>
        <w:rPr>
          <w:sz w:val="20"/>
          <w:szCs w:val="20"/>
          <w:color w:val="auto"/>
        </w:rPr>
      </w:pPr>
      <w:r>
        <w:rPr>
          <w:rFonts w:ascii="Arial" w:cs="Arial" w:eastAsia="Arial" w:hAnsi="Arial"/>
          <w:sz w:val="16"/>
          <w:szCs w:val="16"/>
          <w:color w:val="auto"/>
        </w:rPr>
        <w:t>Based upon the MagnaChip Semiconductor LLC units outstanding as of September 30, 2007, our executive officers, directors and greater than 5% unitholders collectively beneficially owned approximately 96% of the common units of MagnaChip Semiconductor LLC (excluding units issuable upon exercise of outstanding options) and 92% of the common units (including units issuable upon exercise of outstanding options). On a pro forma basis after giving effect to the corporate reorganization, this offering and the application of proceeds therefrom, our executive officers,</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directors and greater than 5% stockholders, collectively, would have owned approximately % of our common stock, assuming no exercise of the underwriters’ option to purchase additional shares. On the same pro forma basis, and assuming exercise of the underwriters’ option to purchase additional shares, our executive officers, directors and greater than 5% stockholders, collectively, would have owned approximately</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of our common stock.</w:t>
      </w:r>
    </w:p>
    <w:p>
      <w:pPr>
        <w:spacing w:after="0" w:line="158"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addition, pursuant to the terms of our amended and restated bylaws and securityholders’ agreement, the sponsors, or their respective affiliates, have agreed to elect their respective designees to serve as members of our board of directors. Therefore such stockholders will have a continuing ability to control our board. Accordingly, these stockholders will continue to have significant influence over our affairs for the foreseeable future, including controlling the election of directors and significant corporate transactions, such as a merger or other sale of our company or our assets. In addition, under the “controlled company” exception to the independence requirements of the New York Stock Exchange, we will be exempt from the rules of the New York Stock Exchange that require that our board of directors be comprised of a majority of independent directors, that our compensation committee be comprised solely of independent directors and that our nominating and governance committee be comprised solely of independent directors. This concentrated control will limit the ability of other stockholders to influence corporate matters and, as a result, we may take actions that our non-sponsor stockholders do not view as beneficial. For example, this concentration of ownership could have the effect of delaying or preventing a change in control or otherwise discouraging a potential acquirer from attempting to obtain control of us, which in turn could cause the market price of our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common stock to decline or prevent our stockholders from realizing a premium over the market price for their shares of our common stock.</w:t>
      </w:r>
    </w:p>
    <w:p>
      <w:pPr>
        <w:spacing w:after="0" w:line="158"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Under our amended and restated certificate of incorporation, none of Court Square, Francisco Partners, CVC Asia Pacific or Peninsula Investment Pte. Ltd. or any of their respective related parties has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the we might reasonably have pursued or had the ability or desire to pursue if granted an opportunity to do 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significant amounts of our common stock may negatively affect our stock price, even if our business is doing well.</w:t>
      </w:r>
    </w:p>
    <w:p>
      <w:pPr>
        <w:spacing w:after="0" w:line="99" w:lineRule="exact"/>
        <w:rPr>
          <w:sz w:val="20"/>
          <w:szCs w:val="20"/>
          <w:color w:val="auto"/>
        </w:rPr>
      </w:pPr>
    </w:p>
    <w:p>
      <w:pPr>
        <w:jc w:val="both"/>
        <w:ind w:right="140" w:firstLine="571"/>
        <w:spacing w:after="0" w:line="264" w:lineRule="auto"/>
        <w:rPr>
          <w:sz w:val="20"/>
          <w:szCs w:val="20"/>
          <w:color w:val="auto"/>
        </w:rPr>
      </w:pPr>
      <w:r>
        <w:rPr>
          <w:rFonts w:ascii="Arial" w:cs="Arial" w:eastAsia="Arial" w:hAnsi="Arial"/>
          <w:sz w:val="16"/>
          <w:szCs w:val="16"/>
          <w:color w:val="auto"/>
        </w:rPr>
        <w:t>Sales of substantial amounts of shares of our common stock in the public market, or the prospect of such sales, could adversely affect the market price of our common stock. Upon the closing of this offering, and based upon the MagnaChip Semiconductor LLC units outstanding as of September 30, 2007, and after giving pro forma effect to the corporate reorganization, we would have outstanding shares of common stock. More</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than %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UBS Securities LLC and Credit Suisse Securities (USA) LLC, other than any shares such holders may sell to the</w:t>
      </w:r>
    </w:p>
    <w:p>
      <w:pPr>
        <w:spacing w:after="0" w:line="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underwriters pursuant to the underwriters’ option to purchase up to additional shares of our common stock. After the 180-day period, based upon the MagnaChip Semiconductor LLC units outstanding as of September 30, 2007, shares held by current stockholders will be eligible for sale from time to time in the future under Rule 144, Rule 144(k) or Rule 701.</w:t>
      </w:r>
    </w:p>
    <w:p>
      <w:pPr>
        <w:spacing w:after="0" w:line="154"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Goldman, Sachs &amp; Co., UBS Securities LLC and Credit Suisse Securities (USA) LLC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180-day lock-up period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lock-up restrictions will continue to apply until the expiration of the 18-day period beginning on the issuance of the earnings release or the announcement of the material news or material event.</w:t>
      </w:r>
    </w:p>
    <w:p>
      <w:pPr>
        <w:spacing w:after="0" w:line="2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Provisions in our charter documents, Delaware law and our securityholders’ agreement may make it difficult for a third party to acquire us and could depress the price of our common stock.</w:t>
      </w:r>
    </w:p>
    <w:p>
      <w:pPr>
        <w:spacing w:after="0" w:line="53"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Provisions in our amended and restated certificate of incorporation and bylaws may have the effect of delaying or preventing a change of control or changes in our management. These provisions include the following:</w:t>
      </w:r>
    </w:p>
    <w:p>
      <w:pPr>
        <w:spacing w:after="0" w:line="74" w:lineRule="exact"/>
        <w:rPr>
          <w:sz w:val="20"/>
          <w:szCs w:val="20"/>
          <w:color w:val="auto"/>
        </w:rPr>
      </w:pPr>
    </w:p>
    <w:p>
      <w:pPr>
        <w:ind w:left="820" w:right="260" w:hanging="245"/>
        <w:spacing w:after="0" w:line="23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preferred stock with such terms as the board of directors may determine;</w:t>
      </w:r>
    </w:p>
    <w:p>
      <w:pPr>
        <w:spacing w:after="0" w:line="60" w:lineRule="exact"/>
        <w:rPr>
          <w:rFonts w:ascii="Arial" w:cs="Arial" w:eastAsia="Arial" w:hAnsi="Arial"/>
          <w:sz w:val="18"/>
          <w:szCs w:val="18"/>
          <w:color w:val="auto"/>
        </w:rPr>
      </w:pPr>
    </w:p>
    <w:p>
      <w:pPr>
        <w:ind w:left="820" w:right="460" w:hanging="245"/>
        <w:spacing w:after="0" w:line="23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any person other than our board of directors or the chairman of our board of directors to call a special meeting of our stockholders;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49"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amendments to the provisions of our bylaws relating to the advance notice requirements and the ability to call special stockholder</w:t>
      </w:r>
    </w:p>
    <w:p>
      <w:pPr>
        <w:spacing w:after="0" w:line="22" w:lineRule="exact"/>
        <w:rPr>
          <w:rFonts w:ascii="Arial" w:cs="Arial" w:eastAsia="Arial" w:hAnsi="Arial"/>
          <w:sz w:val="18"/>
          <w:szCs w:val="18"/>
          <w:color w:val="auto"/>
        </w:rPr>
      </w:pPr>
    </w:p>
    <w:p>
      <w:pPr>
        <w:ind w:left="820" w:right="20"/>
        <w:spacing w:after="0" w:line="226" w:lineRule="auto"/>
        <w:rPr>
          <w:rFonts w:ascii="Arial" w:cs="Arial" w:eastAsia="Arial" w:hAnsi="Arial"/>
          <w:sz w:val="18"/>
          <w:szCs w:val="18"/>
          <w:color w:val="auto"/>
        </w:rPr>
      </w:pPr>
      <w:r>
        <w:rPr>
          <w:rFonts w:ascii="Arial" w:cs="Arial" w:eastAsia="Arial" w:hAnsi="Arial"/>
          <w:sz w:val="18"/>
          <w:szCs w:val="18"/>
          <w:color w:val="auto"/>
        </w:rPr>
        <w:t xml:space="preserve">meetings require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our stock, and amendments to the provisions of our bylaws relating to the board designation and other rights of our sponsors require the consent of the sponsors for as long as they own shares of our capital stock; and</w:t>
      </w:r>
    </w:p>
    <w:p>
      <w:pPr>
        <w:spacing w:after="0" w:line="74" w:lineRule="exact"/>
        <w:rPr>
          <w:rFonts w:ascii="Arial" w:cs="Arial" w:eastAsia="Arial" w:hAnsi="Arial"/>
          <w:sz w:val="18"/>
          <w:szCs w:val="18"/>
          <w:color w:val="auto"/>
        </w:rPr>
      </w:pPr>
    </w:p>
    <w:p>
      <w:pPr>
        <w:ind w:left="820" w:right="480" w:hanging="245"/>
        <w:spacing w:after="0" w:line="299"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sponsors or their respective affiliates to nominate, pursuant to the terms of our amended and restated bylaws and securityholders’ agreement, all of the members of our board, who must approve any change of control in our management.</w:t>
      </w:r>
    </w:p>
    <w:p>
      <w:pPr>
        <w:spacing w:after="0" w:line="109"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As a Delaware corporation, we are also subject to certain Delaware anti-takeover provisions. Under Delaware law, a corporation may not engage in a business combination with any holder of 15% or more of its capital stock unless the holder has held the stock for three years or the board of directors has approved the transaction. Our board of directors could rely on Delaware law to prevent or delay an acquisition of us, which could have the effect of reducing your ability to receive a premium on your common stock. However, we have elected not to be governed by Section 203 of the Delaware corporate law, which means that we have elected not to take advantage of this available anti-takeover protection related to transactions with interested stockholders.</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We may apply the proceeds of this offering to uses that do not improve our operating results or increase the value of your investment.</w:t>
      </w:r>
    </w:p>
    <w:p>
      <w:pPr>
        <w:spacing w:after="0" w:line="122"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We intend to use the net proceeds from this offering to repurchase our Series B preferred stock, to pay certain employee incentive payments payable upon the closing of this offering, to reduce our indebtedness, to pay certain expenses of this offering, including payments required in connection with the termination of our sponsors’ advisory agreements,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incur immediate and substantial dilution and may experience further dilution.</w:t>
      </w:r>
    </w:p>
    <w:p>
      <w:pPr>
        <w:spacing w:after="0" w:line="99" w:lineRule="exact"/>
        <w:rPr>
          <w:sz w:val="20"/>
          <w:szCs w:val="20"/>
          <w:color w:val="auto"/>
        </w:rPr>
      </w:pPr>
    </w:p>
    <w:p>
      <w:pPr>
        <w:ind w:right="460" w:firstLine="571"/>
        <w:spacing w:after="0" w:line="264" w:lineRule="auto"/>
        <w:rPr>
          <w:sz w:val="20"/>
          <w:szCs w:val="20"/>
          <w:color w:val="auto"/>
        </w:rPr>
      </w:pPr>
      <w:r>
        <w:rPr>
          <w:rFonts w:ascii="Arial" w:cs="Arial" w:eastAsia="Arial" w:hAnsi="Arial"/>
          <w:sz w:val="16"/>
          <w:szCs w:val="16"/>
          <w:color w:val="auto"/>
        </w:rPr>
        <w:t>The initial public offering price of our common stock is substantially higher than $ , the net tangible book value per share of our common stock as of September 30, 2007, calculated on a pro forma basis for the corporate reorganization and this offering. Therefore, if you</w:t>
      </w:r>
    </w:p>
    <w:p>
      <w:pPr>
        <w:spacing w:after="0" w:line="234" w:lineRule="auto"/>
        <w:rPr>
          <w:sz w:val="20"/>
          <w:szCs w:val="20"/>
          <w:color w:val="auto"/>
        </w:rPr>
      </w:pPr>
      <w:r>
        <w:rPr>
          <w:rFonts w:ascii="Arial" w:cs="Arial" w:eastAsia="Arial" w:hAnsi="Arial"/>
          <w:sz w:val="18"/>
          <w:szCs w:val="18"/>
          <w:color w:val="auto"/>
        </w:rPr>
        <w:t>purchase our common stock in this offering, you will incur an immediate dilution of $ in net tangible book value per share from the price you paid, based on the initial offering price of $ per share. The exercise of outstanding options to purchase shares of our common stock at a weighted average exercise price of $ per share (assuming a conversion ratio of between the common units of MagnaChip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Semiconductor LLC and our shares of common stock) will result in further dilution.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increased costs as a result of being a publicly listed company.</w:t>
      </w:r>
    </w:p>
    <w:p>
      <w:pPr>
        <w:spacing w:after="0" w:line="99"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Sarbanes-Oxley Act of 2002, as well as rules promulgated by the SEC and the New York Stock Exchange,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99"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The payment of cash dividends on common stock is restricted under the terms of the agreements governing our indebtedness.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80"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this prospectus, we rely on and refer to information regarding the semiconductor market from iSuppli Corporation, or iSuppli, Electronic Business, DisplaySearch and Gartner, Inc., or Gartner. Market data attributed to iSuppli is from “Application Market Forecast Tool—Worldwide—Q2 2007” and market data attributed to Electronic Business is from “2006 Electronics Business 300: Top Companies Ranked by Electronics Revenue.” Market data attributed to DisplaySearch is from “Quarterly Global TV Shipment and Forecast Report—June 30, 2006” and “Q2 ’07 Quarterly Small/Medium Shipment and Forecast Report—July 9, 2007.” Market data attributed to Gartner is from “Gartner Semiconductor Forecast Worldwide: Forecast Database—August 29, 2007.”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CAUTIONARY STATEMENT CONCERNING FORWARD-LOOKING STATEMENTS</w:t>
      </w:r>
    </w:p>
    <w:p>
      <w:pPr>
        <w:spacing w:after="0" w:line="180"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the “Risk Factors,” “Management’s Discussion and Analysis of Financial Condition and Results of Operations” and “Business” sections and elsewhere in this prospectus and listed below:</w:t>
      </w:r>
    </w:p>
    <w:p>
      <w:pPr>
        <w:spacing w:after="0" w:line="80" w:lineRule="exact"/>
        <w:rPr>
          <w:sz w:val="20"/>
          <w:szCs w:val="20"/>
          <w:color w:val="auto"/>
        </w:rPr>
      </w:pPr>
    </w:p>
    <w:p>
      <w:pPr>
        <w:ind w:left="820" w:right="260" w:hanging="245"/>
        <w:spacing w:after="0" w:line="23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increase net sales and profit levels during industry downturns;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demand is difficult to accurately forecast;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customers may cancel their orders, reduce quantities or delay production;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portion of our sales comes from a relatively limited number of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average selling prices of our products could decrease our profits;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the consumer electronics and other end markets for our products is an important component in our success;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successful technological advances for growth;</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attract or retain the technical or management employees necessary to remain competitive in our industry;</w:t>
      </w:r>
    </w:p>
    <w:p>
      <w:pPr>
        <w:spacing w:after="0" w:line="9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encounter future labor problems, we may fail to deliver our products in a timely manner which could adversely affect our revenues and profitability;</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improvements and innovations we expect from our research and development efforts may not materialize;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our raw materials may increase materially.</w:t>
      </w:r>
    </w:p>
    <w:p>
      <w:pPr>
        <w:spacing w:after="0" w:line="17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580"/>
        <w:spacing w:after="0"/>
        <w:tabs>
          <w:tab w:leader="none" w:pos="9980" w:val="left"/>
        </w:tabs>
        <w:rPr>
          <w:sz w:val="20"/>
          <w:szCs w:val="20"/>
          <w:color w:val="auto"/>
        </w:rPr>
      </w:pPr>
      <w:r>
        <w:rPr>
          <w:rFonts w:ascii="Arial" w:cs="Arial" w:eastAsia="Arial" w:hAnsi="Arial"/>
          <w:sz w:val="18"/>
          <w:szCs w:val="18"/>
          <w:color w:val="auto"/>
        </w:rPr>
        <w:t>We estimate that our net proceeds from the sale of the common stock that we are offering will be approximately $</w:t>
      </w:r>
      <w:r>
        <w:rPr>
          <w:sz w:val="20"/>
          <w:szCs w:val="20"/>
          <w:color w:val="auto"/>
        </w:rPr>
        <w:tab/>
      </w:r>
      <w:r>
        <w:rPr>
          <w:rFonts w:ascii="Arial" w:cs="Arial" w:eastAsia="Arial" w:hAnsi="Arial"/>
          <w:sz w:val="16"/>
          <w:szCs w:val="16"/>
          <w:color w:val="auto"/>
        </w:rPr>
        <w:t>million, after</w:t>
      </w:r>
    </w:p>
    <w:p>
      <w:pPr>
        <w:spacing w:after="0" w:line="234" w:lineRule="auto"/>
        <w:rPr>
          <w:sz w:val="20"/>
          <w:szCs w:val="20"/>
          <w:color w:val="auto"/>
        </w:rPr>
      </w:pPr>
      <w:r>
        <w:rPr>
          <w:rFonts w:ascii="Arial" w:cs="Arial" w:eastAsia="Arial" w:hAnsi="Arial"/>
          <w:sz w:val="18"/>
          <w:szCs w:val="18"/>
          <w:color w:val="auto"/>
        </w:rPr>
        <w:t>deducting the underwriting discount and the estimated expenses of this offering that we must pay (assuming an initial public offering price of</w:t>
      </w:r>
    </w:p>
    <w:p>
      <w:pPr>
        <w:spacing w:after="0" w:line="1" w:lineRule="exact"/>
        <w:rPr>
          <w:sz w:val="20"/>
          <w:szCs w:val="20"/>
          <w:color w:val="auto"/>
        </w:rPr>
      </w:pPr>
    </w:p>
    <w:p>
      <w:pPr>
        <w:ind w:right="40" w:firstLine="8"/>
        <w:spacing w:after="0" w:line="239" w:lineRule="auto"/>
        <w:tabs>
          <w:tab w:leader="none" w:pos="7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 share, the midpoint of the range set forth on the cover page of this prospectus). We will not receive any of the proceeds from the sale of our common stock by the selling stockholders, including some of our executive officers.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the net proceeds to us from this offering as follows:</w:t>
      </w:r>
    </w:p>
    <w:p>
      <w:pPr>
        <w:spacing w:after="0" w:line="77" w:lineRule="exact"/>
        <w:rPr>
          <w:sz w:val="20"/>
          <w:szCs w:val="20"/>
          <w:color w:val="auto"/>
        </w:rPr>
      </w:pPr>
    </w:p>
    <w:p>
      <w:pPr>
        <w:ind w:left="820" w:right="40" w:hanging="245"/>
        <w:spacing w:after="0" w:line="226"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approximately $200 million to repurchase a portion of our floating rate second priority senior secured notes due 2011,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our 8% senior subordinated notes due 2014 (collectively the “notes”) and/or to reduce amounts drawn under our senior secured credit facility;</w:t>
      </w:r>
    </w:p>
    <w:p>
      <w:pPr>
        <w:spacing w:after="0" w:line="63" w:lineRule="exact"/>
        <w:rPr>
          <w:sz w:val="20"/>
          <w:szCs w:val="20"/>
          <w:color w:val="auto"/>
        </w:rPr>
      </w:pPr>
    </w:p>
    <w:p>
      <w:pPr>
        <w:ind w:left="580"/>
        <w:spacing w:after="0"/>
        <w:tabs>
          <w:tab w:leader="none" w:pos="2680" w:val="left"/>
        </w:tabs>
        <w:rPr>
          <w:sz w:val="20"/>
          <w:szCs w:val="20"/>
          <w:color w:val="auto"/>
        </w:rPr>
      </w:pPr>
      <w:r>
        <w:rPr>
          <w:rFonts w:ascii="Arial" w:cs="Arial" w:eastAsia="Arial" w:hAnsi="Arial"/>
          <w:sz w:val="18"/>
          <w:szCs w:val="18"/>
          <w:color w:val="auto"/>
        </w:rPr>
        <w:t>Ÿ  approximately $</w:t>
      </w:r>
      <w:r>
        <w:rPr>
          <w:sz w:val="20"/>
          <w:szCs w:val="20"/>
          <w:color w:val="auto"/>
        </w:rPr>
        <w:tab/>
      </w:r>
      <w:r>
        <w:rPr>
          <w:rFonts w:ascii="Arial" w:cs="Arial" w:eastAsia="Arial" w:hAnsi="Arial"/>
          <w:sz w:val="16"/>
          <w:szCs w:val="16"/>
          <w:color w:val="auto"/>
        </w:rPr>
        <w:t>million to repurchase all of the outstanding shares of our Series B preferred stock;</w:t>
      </w:r>
    </w:p>
    <w:p>
      <w:pPr>
        <w:spacing w:after="0" w:line="102" w:lineRule="exact"/>
        <w:rPr>
          <w:sz w:val="20"/>
          <w:szCs w:val="20"/>
          <w:color w:val="auto"/>
        </w:rPr>
      </w:pPr>
    </w:p>
    <w:p>
      <w:pPr>
        <w:ind w:left="820" w:right="380" w:hanging="245"/>
        <w:spacing w:after="0" w:line="23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$30 million to pay incentive payments to all of our employees other than our senior vice presidents and those officers ranking above such senior vice presidents;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$9.75 million to pay certain amounts in connection with the termination of our sponsor advisory agreements;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   million to fund working capital and for general corporate purposes.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Pending such uses, we intend to invest the net proceeds of this offering in short-term, investment-grade, interest-bearing securities.</w:t>
      </w:r>
    </w:p>
    <w:p>
      <w:pPr>
        <w:spacing w:after="0" w:line="158"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If we raise more or fewer proceeds from this offering than anticipated, we expect to increase or reduce the amount that we use to reduce our indebtedness by a commensurate amount.</w:t>
      </w:r>
    </w:p>
    <w:p>
      <w:pPr>
        <w:spacing w:after="0" w:line="155" w:lineRule="exact"/>
        <w:rPr>
          <w:sz w:val="20"/>
          <w:szCs w:val="20"/>
          <w:color w:val="auto"/>
        </w:rPr>
      </w:pPr>
    </w:p>
    <w:p>
      <w:pPr>
        <w:ind w:right="80" w:firstLine="571"/>
        <w:spacing w:after="0" w:line="264" w:lineRule="auto"/>
        <w:rPr>
          <w:sz w:val="20"/>
          <w:szCs w:val="20"/>
          <w:color w:val="auto"/>
        </w:rPr>
      </w:pPr>
      <w:r>
        <w:rPr>
          <w:rFonts w:ascii="Arial" w:cs="Arial" w:eastAsia="Arial" w:hAnsi="Arial"/>
          <w:sz w:val="16"/>
          <w:szCs w:val="16"/>
          <w:color w:val="auto"/>
        </w:rPr>
        <w:t>At September 30, 2007, there were 93,997 of MagnaChip Semiconductor LLC’s Series B preferred units outstanding. Pursuant to the corporate reorganization, holders of these Series B preferred units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 stock will receive shares of our common stock in exchange for such Series B</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preferred units at a ratio of . As of September 30, 2007, MagnaChip Semiconductor LLC’s Series B preferred units had a redemption value of approximately $126 million (which includes cumulative accrued and unpaid dividends thereon through September 30, 2007 at an annual rate of 10% percent per unit). Our sponsors, together with Peninsula Investment Pte. Ltd. and certain of our directors and executive officers, and their respective affiliates, collectively, hold over 99% of our Series B preferred units. Therefore, assuming that all such holders sell us their shares of Series B preferred stock following the corporate reorganization, as of September 30, 2007 such holders would have received approximately $1,343 per share, or an aggregate of approximately $126 million, from the proceeds of this offering, in consideration for the purchase of such shares. See “Principal and Selling Stockholders” for a list of these persons and the number of Series B preferred units held by them as of September 30, 2007. We intend to repurchase all of our outstanding shares of Series B preferred stock using the proceeds from this offering. See “Description of Capital Stock—Series B Preferred Stock” for additional information.</w:t>
      </w:r>
    </w:p>
    <w:p>
      <w:pPr>
        <w:spacing w:after="0" w:line="161"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In connection with the termination of our sponsor advisory agreements, we will pay approximately $9.75 million to Court Square Advisor, LLC (successor in interest to CVC Management LLC),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Francisco Partners Management, LLC and CVC Capital Partners Asia Limited using a portion of the proceeds of this offering. These entities are related to Court Square, Francisco Partners and CVC Asia Pacific, respectively. See “Certain Relationships and Related Transactions — Advisory Agreements” for additional information.</w:t>
      </w:r>
    </w:p>
    <w:p>
      <w:pPr>
        <w:spacing w:after="0" w:line="154" w:lineRule="exact"/>
        <w:rPr>
          <w:sz w:val="20"/>
          <w:szCs w:val="20"/>
          <w:color w:val="auto"/>
        </w:rPr>
      </w:pPr>
    </w:p>
    <w:p>
      <w:pPr>
        <w:ind w:right="180" w:firstLine="571"/>
        <w:spacing w:after="0" w:line="249" w:lineRule="auto"/>
        <w:rPr>
          <w:sz w:val="20"/>
          <w:szCs w:val="20"/>
          <w:color w:val="auto"/>
        </w:rPr>
      </w:pPr>
      <w:r>
        <w:rPr>
          <w:rFonts w:ascii="Arial" w:cs="Arial" w:eastAsia="Arial" w:hAnsi="Arial"/>
          <w:sz w:val="17"/>
          <w:szCs w:val="17"/>
          <w:color w:val="auto"/>
        </w:rPr>
        <w:t xml:space="preserve">As of September 30, 2007, the outstanding indebtedness under our senior secured credit facility was $50.6 million, and the aggregate principal amounts outstanding under our floating rate second priority senior secured notes due 2011,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and 8% senior subordinated notes due 2014 were $300 million, $200 million and $250 million, respectively. As of September 30, 2007, the interest rate for all borrowings under the senior secured credit facility was either three-month LIBOR plus 4.75% per annum or a specified adjusted base rate, or ABR, plus 3.75% per annum, and the weighted average interest rates for all of our outstanding notes and senior secured credit facility were 7.94% and 9.80% per annum, respectively. Our senior secured credit facility matures in December 2009, our senior secured notes mature in December 2011 and our senior subordinated notes mature in December 2014. Our senior secured credit facility contains certain customary covenants, including financial covenants such as the maintenance of an interest coverage ratio and a leverage ratio and certain levels of EBITDA and liquidity. In addition, the indentures governing the notes contain additional customary covenants, including those related to the incurrence of debt or liens, the payment of dividends, the issuance of certain types of preferred stock, asset sales and affiliate transactions. See “Description of Certain Indebtedness” for additional information. Affiliates of Goldman, Sachs &amp; Co., UBS Securities LLC and Citigroup Global Markets Inc., three of the representatives of the underwriters in this offering, are lenders under our existing senior secured credit facility and therefore will receive a portion of the net proceeds of this offering to the extent that we elect to use a portion of the proceeds thereof to reduce amounts drawn under such facility. Sang Park, our Chief Executive Officer and Chairman, Robert J. Krakauer, our President and Chief Financial Officer and a director, and Paul C. Schorr IV, a director, own $69,000, $138,000 and $455,000, respectively, in aggregate principal amount of our 8% senior subordinated notes due 2014. However, these individuals have indicated to us that they do not intend to sell us any of their notes and therefore they will not receive any of the net proceeds of this offering pursuant to the note repurchase. See “Certain Relationships and Related Transactions — Related Party Transactions” for additional information.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 The payment of cash dividends on common stock is restricted under the terms of our credit agreement and our indentures.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following information:</w:t>
      </w:r>
    </w:p>
    <w:p>
      <w:pPr>
        <w:spacing w:after="0" w:line="77" w:lineRule="exact"/>
        <w:rPr>
          <w:sz w:val="20"/>
          <w:szCs w:val="20"/>
          <w:color w:val="auto"/>
        </w:rPr>
      </w:pPr>
    </w:p>
    <w:p>
      <w:pPr>
        <w:ind w:left="820" w:hanging="245"/>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cash and cash equivalents and capitalization of MagnaChip Semiconductor LLC as of September 30, 2007;</w:t>
      </w:r>
    </w:p>
    <w:p>
      <w:pPr>
        <w:spacing w:after="0" w:line="90" w:lineRule="exact"/>
        <w:rPr>
          <w:rFonts w:ascii="Arial" w:cs="Arial" w:eastAsia="Arial" w:hAnsi="Arial"/>
          <w:sz w:val="18"/>
          <w:szCs w:val="18"/>
          <w:color w:val="auto"/>
        </w:rPr>
      </w:pPr>
    </w:p>
    <w:p>
      <w:pPr>
        <w:ind w:left="820" w:right="80" w:hanging="245"/>
        <w:spacing w:after="0" w:line="23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 forma cash and cash equivalents and capitalization as of September 30, 2007 after giving effect to the corporate reorganization; and</w:t>
      </w:r>
    </w:p>
    <w:p>
      <w:pPr>
        <w:spacing w:after="0" w:line="69" w:lineRule="exact"/>
        <w:rPr>
          <w:rFonts w:ascii="Arial" w:cs="Arial" w:eastAsia="Arial" w:hAnsi="Arial"/>
          <w:sz w:val="18"/>
          <w:szCs w:val="18"/>
          <w:color w:val="auto"/>
        </w:rPr>
      </w:pPr>
    </w:p>
    <w:p>
      <w:pPr>
        <w:ind w:left="820" w:hanging="245"/>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 forma as adjusted cash and cash equivalents and capitalization as of September 30, 2007 after giving effect to the corporate</w:t>
      </w:r>
    </w:p>
    <w:p>
      <w:pPr>
        <w:ind w:left="820" w:right="20"/>
        <w:spacing w:after="0" w:line="238" w:lineRule="auto"/>
        <w:rPr>
          <w:sz w:val="20"/>
          <w:szCs w:val="20"/>
          <w:color w:val="auto"/>
        </w:rPr>
      </w:pPr>
      <w:r>
        <w:rPr>
          <w:rFonts w:ascii="Arial" w:cs="Arial" w:eastAsia="Arial" w:hAnsi="Arial"/>
          <w:sz w:val="18"/>
          <w:szCs w:val="18"/>
          <w:color w:val="auto"/>
        </w:rPr>
        <w:t>reorganization, the sale of shares of our common stock in this offering at an initial public offering price of $ per share (the midpoint of the range set forth on the front cover of this prospectus, after deducting the underwriting discount and estimated offering expenses payable by us) and the application of the related proceeds as described under “Use of Proceeds.”</w:t>
      </w:r>
    </w:p>
    <w:p>
      <w:pPr>
        <w:spacing w:after="0" w:line="154"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This table should be read together with “Use of Proceeds,” “Selected Historical Consolidated Financial and Operating Data of MagnaChip Semiconductor LLC,” “Unaudited Pro Forma Consolidated Financial Information,” “Management’s Discussion and Analysis of Financial Condition and Results of Operations” and our financial statements and related notes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September 30, 2007</w:t>
            </w: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jc w:val="right"/>
              <w:ind w:right="38"/>
              <w:spacing w:after="0" w:line="135" w:lineRule="exact"/>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1"/>
                <w:szCs w:val="11"/>
                <w:color w:val="auto"/>
              </w:rPr>
            </w:pPr>
          </w:p>
        </w:tc>
      </w:tr>
      <w:tr>
        <w:trPr>
          <w:trHeight w:val="197"/>
        </w:trPr>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22"/>
                <w:szCs w:val="22"/>
                <w:b w:val="1"/>
                <w:bCs w:val="1"/>
                <w:color w:val="auto"/>
                <w:w w:val="90"/>
                <w:vertAlign w:val="superscript"/>
              </w:rPr>
              <w:t>(1)</w:t>
            </w:r>
          </w:p>
        </w:tc>
        <w:tc>
          <w:tcPr>
            <w:tcW w:w="20" w:type="dxa"/>
            <w:vAlign w:val="bottom"/>
          </w:tcPr>
          <w:p>
            <w:pPr>
              <w:spacing w:after="0"/>
              <w:rPr>
                <w:sz w:val="17"/>
                <w:szCs w:val="17"/>
                <w:color w:val="auto"/>
              </w:rPr>
            </w:pPr>
          </w:p>
        </w:tc>
      </w:tr>
      <w:tr>
        <w:trPr>
          <w:trHeight w:val="142"/>
        </w:trPr>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 except</w:t>
            </w:r>
          </w:p>
        </w:tc>
        <w:tc>
          <w:tcPr>
            <w:tcW w:w="162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rPr>
              <w:t>share data)</w:t>
            </w:r>
          </w:p>
        </w:tc>
      </w:tr>
      <w:tr>
        <w:trPr>
          <w:trHeight w:val="203"/>
        </w:trPr>
        <w:tc>
          <w:tcPr>
            <w:tcW w:w="75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indebtedness (including current portion of senior secured credit facility)</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800.6</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800.6</w:t>
            </w:r>
          </w:p>
        </w:tc>
        <w:tc>
          <w:tcPr>
            <w:tcW w:w="6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600.6</w:t>
            </w:r>
          </w:p>
        </w:tc>
        <w:tc>
          <w:tcPr>
            <w:tcW w:w="20" w:type="dxa"/>
            <w:vAlign w:val="bottom"/>
          </w:tcPr>
          <w:p>
            <w:pPr>
              <w:spacing w:after="0"/>
              <w:rPr>
                <w:sz w:val="17"/>
                <w:szCs w:val="17"/>
                <w:color w:val="auto"/>
              </w:rPr>
            </w:pPr>
          </w:p>
        </w:tc>
      </w:tr>
      <w:tr>
        <w:trPr>
          <w:trHeight w:val="206"/>
        </w:trPr>
        <w:tc>
          <w:tcPr>
            <w:tcW w:w="7500" w:type="dxa"/>
            <w:vAlign w:val="bottom"/>
            <w:gridSpan w:val="4"/>
          </w:tcPr>
          <w:p>
            <w:pPr>
              <w:spacing w:after="0" w:line="206" w:lineRule="exact"/>
              <w:rPr>
                <w:sz w:val="20"/>
                <w:szCs w:val="20"/>
                <w:color w:val="auto"/>
              </w:rPr>
            </w:pPr>
            <w:r>
              <w:rPr>
                <w:rFonts w:ascii="Arial" w:cs="Arial" w:eastAsia="Arial" w:hAnsi="Arial"/>
                <w:sz w:val="18"/>
                <w:szCs w:val="18"/>
                <w:color w:val="auto"/>
              </w:rPr>
              <w:t>Series B preferred units, stated value $1,000 per unit; 550,000 units authorized, 450,692</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280" w:type="dxa"/>
            <w:vAlign w:val="bottom"/>
            <w:gridSpan w:val="3"/>
          </w:tcPr>
          <w:p>
            <w:pPr>
              <w:spacing w:after="0" w:line="200" w:lineRule="exact"/>
              <w:rPr>
                <w:sz w:val="20"/>
                <w:szCs w:val="20"/>
                <w:color w:val="auto"/>
              </w:rPr>
            </w:pPr>
            <w:r>
              <w:rPr>
                <w:rFonts w:ascii="Arial" w:cs="Arial" w:eastAsia="Arial" w:hAnsi="Arial"/>
                <w:sz w:val="18"/>
                <w:szCs w:val="18"/>
                <w:color w:val="auto"/>
              </w:rPr>
              <w:t>units issued and 93,997 units outstanding, actual</w:t>
            </w:r>
          </w:p>
        </w:tc>
        <w:tc>
          <w:tcPr>
            <w:tcW w:w="9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126.2</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572"/>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6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w:t>
            </w:r>
          </w:p>
        </w:tc>
      </w:tr>
      <w:tr>
        <w:trPr>
          <w:trHeight w:val="206"/>
        </w:trPr>
        <w:tc>
          <w:tcPr>
            <w:tcW w:w="750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Series B preferred stock, par value $0.01 per share; 550,000 shares authorized, 450,692</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2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shares of Series B preferred stock issued and 93,997 shares outstanding, pro forma; 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shares issued and outstanding, pro forma as adjusted</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126.2</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Stockholders’ equity:</w:t>
            </w: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22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Common unit, 65,000,000 units authorized, 52,831,722 issued and outstanding, actual; 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ind w:left="220"/>
              <w:spacing w:after="0" w:line="200" w:lineRule="exact"/>
              <w:rPr>
                <w:sz w:val="20"/>
                <w:szCs w:val="20"/>
                <w:color w:val="auto"/>
              </w:rPr>
            </w:pPr>
            <w:r>
              <w:rPr>
                <w:rFonts w:ascii="Arial" w:cs="Arial" w:eastAsia="Arial" w:hAnsi="Arial"/>
                <w:sz w:val="18"/>
                <w:szCs w:val="18"/>
                <w:color w:val="auto"/>
              </w:rPr>
              <w:t>common units issued and outstanding, pro forma and pro forma as adjusted</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52.8</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72"/>
              <w:spacing w:after="0" w:line="200"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7280" w:type="dxa"/>
            <w:vAlign w:val="bottom"/>
            <w:gridSpan w:val="3"/>
          </w:tcPr>
          <w:p>
            <w:pPr>
              <w:spacing w:after="0" w:line="206" w:lineRule="exact"/>
              <w:rPr>
                <w:sz w:val="20"/>
                <w:szCs w:val="20"/>
                <w:color w:val="auto"/>
              </w:rPr>
            </w:pPr>
            <w:r>
              <w:rPr>
                <w:rFonts w:ascii="Arial" w:cs="Arial" w:eastAsia="Arial" w:hAnsi="Arial"/>
                <w:sz w:val="18"/>
                <w:szCs w:val="18"/>
                <w:color w:val="auto"/>
              </w:rPr>
              <w:t>Common stock, par value $0.01 per share; 100,000,000 shares authorized, 0 shares</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issued and outstanding, actual;</w:t>
            </w:r>
          </w:p>
        </w:tc>
        <w:tc>
          <w:tcPr>
            <w:tcW w:w="4060" w:type="dxa"/>
            <w:vAlign w:val="bottom"/>
          </w:tcPr>
          <w:p>
            <w:pPr>
              <w:ind w:left="100"/>
              <w:spacing w:after="0" w:line="202" w:lineRule="exact"/>
              <w:rPr>
                <w:sz w:val="20"/>
                <w:szCs w:val="20"/>
                <w:color w:val="auto"/>
              </w:rPr>
            </w:pPr>
            <w:r>
              <w:rPr>
                <w:rFonts w:ascii="Arial" w:cs="Arial" w:eastAsia="Arial" w:hAnsi="Arial"/>
                <w:sz w:val="18"/>
                <w:szCs w:val="18"/>
                <w:color w:val="auto"/>
              </w:rPr>
              <w:t>shares issued and outstanding, pro forma; and</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280" w:type="dxa"/>
            <w:vAlign w:val="bottom"/>
            <w:gridSpan w:val="3"/>
          </w:tcPr>
          <w:p>
            <w:pPr>
              <w:ind w:left="86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340" w:type="dxa"/>
            <w:vAlign w:val="bottom"/>
          </w:tcPr>
          <w:p>
            <w:pPr>
              <w:spacing w:after="0"/>
              <w:rPr>
                <w:sz w:val="17"/>
                <w:szCs w:val="17"/>
                <w:color w:val="auto"/>
              </w:rPr>
            </w:pPr>
          </w:p>
        </w:tc>
        <w:tc>
          <w:tcPr>
            <w:tcW w:w="940" w:type="dxa"/>
            <w:vAlign w:val="bottom"/>
            <w:gridSpan w:val="2"/>
          </w:tcPr>
          <w:p>
            <w:pPr>
              <w:jc w:val="right"/>
              <w:ind w:right="272"/>
              <w:spacing w:after="0" w:line="200"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40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Accumulated deficit</w:t>
            </w:r>
          </w:p>
        </w:tc>
        <w:tc>
          <w:tcPr>
            <w:tcW w:w="4060" w:type="dxa"/>
            <w:vAlign w:val="bottom"/>
          </w:tcPr>
          <w:p>
            <w:pPr>
              <w:spacing w:after="0"/>
              <w:rPr>
                <w:sz w:val="17"/>
                <w:szCs w:val="17"/>
                <w:color w:val="auto"/>
              </w:rPr>
            </w:pPr>
          </w:p>
        </w:tc>
        <w:tc>
          <w:tcPr>
            <w:tcW w:w="1280" w:type="dxa"/>
            <w:vAlign w:val="bottom"/>
            <w:gridSpan w:val="3"/>
          </w:tcPr>
          <w:p>
            <w:pPr>
              <w:jc w:val="right"/>
              <w:ind w:right="212"/>
              <w:spacing w:after="0" w:line="202" w:lineRule="exact"/>
              <w:rPr>
                <w:sz w:val="20"/>
                <w:szCs w:val="20"/>
                <w:color w:val="auto"/>
              </w:rPr>
            </w:pPr>
            <w:r>
              <w:rPr>
                <w:rFonts w:ascii="Arial" w:cs="Arial" w:eastAsia="Arial" w:hAnsi="Arial"/>
                <w:sz w:val="18"/>
                <w:szCs w:val="18"/>
                <w:color w:val="auto"/>
              </w:rPr>
              <w:t>(531.8)</w:t>
            </w:r>
          </w:p>
        </w:tc>
        <w:tc>
          <w:tcPr>
            <w:tcW w:w="168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rPr>
              <w:t>(531.8)</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4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3440" w:type="dxa"/>
            <w:vAlign w:val="bottom"/>
            <w:gridSpan w:val="3"/>
          </w:tcPr>
          <w:p>
            <w:pPr>
              <w:spacing w:after="0"/>
              <w:rPr>
                <w:sz w:val="20"/>
                <w:szCs w:val="20"/>
                <w:color w:val="auto"/>
              </w:rPr>
            </w:pPr>
            <w:r>
              <w:rPr>
                <w:rFonts w:ascii="Arial" w:cs="Arial" w:eastAsia="Arial" w:hAnsi="Arial"/>
                <w:sz w:val="18"/>
                <w:szCs w:val="18"/>
                <w:color w:val="auto"/>
              </w:rPr>
              <w:t>Total unitholders’ / stockholders’ equity</w:t>
            </w: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12"/>
              <w:spacing w:after="0"/>
              <w:rPr>
                <w:sz w:val="20"/>
                <w:szCs w:val="20"/>
                <w:color w:val="auto"/>
              </w:rPr>
            </w:pPr>
            <w:r>
              <w:rPr>
                <w:rFonts w:ascii="Arial" w:cs="Arial" w:eastAsia="Arial" w:hAnsi="Arial"/>
                <w:sz w:val="18"/>
                <w:szCs w:val="18"/>
                <w:color w:val="auto"/>
              </w:rPr>
              <w:t>(452.2)</w:t>
            </w:r>
          </w:p>
        </w:tc>
        <w:tc>
          <w:tcPr>
            <w:tcW w:w="1680" w:type="dxa"/>
            <w:vAlign w:val="bottom"/>
            <w:gridSpan w:val="3"/>
          </w:tcPr>
          <w:p>
            <w:pPr>
              <w:jc w:val="right"/>
              <w:ind w:right="512"/>
              <w:spacing w:after="0"/>
              <w:rPr>
                <w:sz w:val="20"/>
                <w:szCs w:val="20"/>
                <w:color w:val="auto"/>
              </w:rPr>
            </w:pPr>
            <w:r>
              <w:rPr>
                <w:rFonts w:ascii="Arial" w:cs="Arial" w:eastAsia="Arial" w:hAnsi="Arial"/>
                <w:sz w:val="18"/>
                <w:szCs w:val="18"/>
                <w:color w:val="auto"/>
              </w:rPr>
              <w:t>(452.2)</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4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$ 474.6</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474.6</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600" w:type="dxa"/>
            <w:vAlign w:val="bottom"/>
            <w:gridSpan w:val="5"/>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r>
      <w:tr>
        <w:trPr>
          <w:trHeight w:val="307"/>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8560" w:type="dxa"/>
            <w:vAlign w:val="bottom"/>
            <w:gridSpan w:val="6"/>
          </w:tcPr>
          <w:p>
            <w:pPr>
              <w:ind w:left="360"/>
              <w:spacing w:after="0"/>
              <w:rPr>
                <w:sz w:val="20"/>
                <w:szCs w:val="20"/>
                <w:color w:val="auto"/>
              </w:rPr>
            </w:pPr>
            <w:r>
              <w:rPr>
                <w:rFonts w:ascii="Arial" w:cs="Arial" w:eastAsia="Arial" w:hAnsi="Arial"/>
                <w:sz w:val="18"/>
                <w:szCs w:val="18"/>
                <w:color w:val="auto"/>
                <w:w w:val="97"/>
              </w:rPr>
              <w:t>A $1.00 decrease or increase in the assumed initial public offering price would result in approximately a $</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million</w:t>
            </w:r>
          </w:p>
        </w:tc>
      </w:tr>
      <w:tr>
        <w:trPr>
          <w:trHeight w:val="203"/>
        </w:trPr>
        <w:tc>
          <w:tcPr>
            <w:tcW w:w="220" w:type="dxa"/>
            <w:vAlign w:val="bottom"/>
          </w:tcPr>
          <w:p>
            <w:pPr>
              <w:spacing w:after="0"/>
              <w:rPr>
                <w:sz w:val="17"/>
                <w:szCs w:val="17"/>
                <w:color w:val="auto"/>
              </w:rPr>
            </w:pPr>
          </w:p>
        </w:tc>
        <w:tc>
          <w:tcPr>
            <w:tcW w:w="11220" w:type="dxa"/>
            <w:vAlign w:val="bottom"/>
            <w:gridSpan w:val="12"/>
          </w:tcPr>
          <w:p>
            <w:pPr>
              <w:ind w:left="360"/>
              <w:spacing w:after="0" w:line="202" w:lineRule="exact"/>
              <w:rPr>
                <w:sz w:val="20"/>
                <w:szCs w:val="20"/>
                <w:color w:val="auto"/>
              </w:rPr>
            </w:pPr>
            <w:r>
              <w:rPr>
                <w:rFonts w:ascii="Arial" w:cs="Arial" w:eastAsia="Arial" w:hAnsi="Arial"/>
                <w:sz w:val="18"/>
                <w:szCs w:val="18"/>
                <w:color w:val="auto"/>
                <w:w w:val="99"/>
              </w:rPr>
              <w:t>decrease or increase in each of pro forma as adjusted paid-in capital, total stockholders’ equity and total capitalization, assuming the total</w:t>
            </w:r>
          </w:p>
        </w:tc>
      </w:tr>
      <w:tr>
        <w:trPr>
          <w:trHeight w:val="203"/>
        </w:trPr>
        <w:tc>
          <w:tcPr>
            <w:tcW w:w="220" w:type="dxa"/>
            <w:vAlign w:val="bottom"/>
          </w:tcPr>
          <w:p>
            <w:pPr>
              <w:spacing w:after="0"/>
              <w:rPr>
                <w:sz w:val="17"/>
                <w:szCs w:val="17"/>
                <w:color w:val="auto"/>
              </w:rPr>
            </w:pPr>
          </w:p>
        </w:tc>
        <w:tc>
          <w:tcPr>
            <w:tcW w:w="11220" w:type="dxa"/>
            <w:vAlign w:val="bottom"/>
            <w:gridSpan w:val="12"/>
          </w:tcPr>
          <w:p>
            <w:pPr>
              <w:ind w:left="360"/>
              <w:spacing w:after="0" w:line="202" w:lineRule="exact"/>
              <w:rPr>
                <w:sz w:val="20"/>
                <w:szCs w:val="20"/>
                <w:color w:val="auto"/>
              </w:rPr>
            </w:pPr>
            <w:r>
              <w:rPr>
                <w:rFonts w:ascii="Arial" w:cs="Arial" w:eastAsia="Arial" w:hAnsi="Arial"/>
                <w:sz w:val="18"/>
                <w:szCs w:val="18"/>
                <w:color w:val="auto"/>
                <w:w w:val="97"/>
              </w:rPr>
              <w:t>number of shares offered by us remains the same and after deducting the estimated underwriting discount and estimated offering expenses</w:t>
            </w:r>
          </w:p>
        </w:tc>
      </w:tr>
      <w:tr>
        <w:trPr>
          <w:trHeight w:val="203"/>
        </w:trPr>
        <w:tc>
          <w:tcPr>
            <w:tcW w:w="220" w:type="dxa"/>
            <w:vAlign w:val="bottom"/>
          </w:tcPr>
          <w:p>
            <w:pPr>
              <w:spacing w:after="0"/>
              <w:rPr>
                <w:sz w:val="17"/>
                <w:szCs w:val="17"/>
                <w:color w:val="auto"/>
              </w:rPr>
            </w:pPr>
          </w:p>
        </w:tc>
        <w:tc>
          <w:tcPr>
            <w:tcW w:w="32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payable by us.</w:t>
            </w: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ind w:left="580" w:right="640" w:hanging="572"/>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Assumes that all of our outstanding shares of Series B preferred stock were repurchased using the proceeds from this offering. See “Description of Capital Stock—Series B Preferred Stock” for additional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Our net tangible book value as of September 30, 2007, on a pro forma basis after giving effect to the corporate reorganization and the</w:t>
      </w:r>
    </w:p>
    <w:p>
      <w:pPr>
        <w:spacing w:after="0" w:line="237" w:lineRule="auto"/>
        <w:rPr>
          <w:sz w:val="20"/>
          <w:szCs w:val="20"/>
          <w:color w:val="auto"/>
        </w:rPr>
      </w:pPr>
      <w:r>
        <w:rPr>
          <w:rFonts w:ascii="Arial" w:cs="Arial" w:eastAsia="Arial" w:hAnsi="Arial"/>
          <w:sz w:val="18"/>
          <w:szCs w:val="18"/>
          <w:color w:val="auto"/>
        </w:rPr>
        <w:t>repurchase of all our Series B preferred stock, was approximately $ million, or $ per share of our common stock. Pro forma net tangible book value per share represents our total tangible assets reduced by our total liabilities and divided by the number of shares of common stock outstanding. Dilution in net tangible book value per share represents the difference between the amount per share that you pay in this offering and the net tangible book value per share immediately after this offering.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ind w:left="580"/>
              <w:spacing w:after="0"/>
              <w:rPr>
                <w:sz w:val="20"/>
                <w:szCs w:val="20"/>
                <w:color w:val="auto"/>
              </w:rPr>
            </w:pPr>
            <w:r>
              <w:rPr>
                <w:rFonts w:ascii="Arial" w:cs="Arial" w:eastAsia="Arial" w:hAnsi="Arial"/>
                <w:sz w:val="18"/>
                <w:szCs w:val="18"/>
                <w:color w:val="auto"/>
              </w:rPr>
              <w:t>After giving effect to the receipt of the estimated net proceeds from the sale by us of</w:t>
            </w:r>
          </w:p>
        </w:tc>
        <w:tc>
          <w:tcPr>
            <w:tcW w:w="3320" w:type="dxa"/>
            <w:vAlign w:val="bottom"/>
            <w:gridSpan w:val="6"/>
          </w:tcPr>
          <w:p>
            <w:pPr>
              <w:ind w:left="40"/>
              <w:spacing w:after="0"/>
              <w:rPr>
                <w:sz w:val="20"/>
                <w:szCs w:val="20"/>
                <w:color w:val="auto"/>
              </w:rPr>
            </w:pPr>
            <w:r>
              <w:rPr>
                <w:rFonts w:ascii="Arial" w:cs="Arial" w:eastAsia="Arial" w:hAnsi="Arial"/>
                <w:sz w:val="18"/>
                <w:szCs w:val="18"/>
                <w:color w:val="auto"/>
              </w:rPr>
              <w:t>shares, our net tangible book value at</w:t>
            </w:r>
          </w:p>
        </w:tc>
      </w:tr>
      <w:tr>
        <w:trPr>
          <w:trHeight w:val="203"/>
        </w:trPr>
        <w:tc>
          <w:tcPr>
            <w:tcW w:w="7920" w:type="dxa"/>
            <w:vAlign w:val="bottom"/>
            <w:gridSpan w:val="4"/>
          </w:tcPr>
          <w:p>
            <w:pPr>
              <w:spacing w:after="0" w:line="202" w:lineRule="exact"/>
              <w:rPr>
                <w:sz w:val="20"/>
                <w:szCs w:val="20"/>
                <w:color w:val="auto"/>
              </w:rPr>
            </w:pPr>
            <w:r>
              <w:rPr>
                <w:rFonts w:ascii="Arial" w:cs="Arial" w:eastAsia="Arial" w:hAnsi="Arial"/>
                <w:sz w:val="18"/>
                <w:szCs w:val="18"/>
                <w:color w:val="auto"/>
              </w:rPr>
              <w:t>September 30, 2007 on the pro forma basis described above would have been approximately $</w:t>
            </w:r>
          </w:p>
        </w:tc>
        <w:tc>
          <w:tcPr>
            <w:tcW w:w="800" w:type="dxa"/>
            <w:vAlign w:val="bottom"/>
          </w:tcPr>
          <w:p>
            <w:pPr>
              <w:ind w:left="260"/>
              <w:spacing w:after="0" w:line="202" w:lineRule="exact"/>
              <w:rPr>
                <w:sz w:val="20"/>
                <w:szCs w:val="20"/>
                <w:color w:val="auto"/>
              </w:rPr>
            </w:pPr>
            <w:r>
              <w:rPr>
                <w:rFonts w:ascii="Arial" w:cs="Arial" w:eastAsia="Arial" w:hAnsi="Arial"/>
                <w:sz w:val="18"/>
                <w:szCs w:val="18"/>
                <w:color w:val="auto"/>
              </w:rPr>
              <w:t>, or $</w:t>
            </w:r>
          </w:p>
        </w:tc>
        <w:tc>
          <w:tcPr>
            <w:tcW w:w="160" w:type="dxa"/>
            <w:vAlign w:val="bottom"/>
          </w:tcPr>
          <w:p>
            <w:pPr>
              <w:spacing w:after="0"/>
              <w:rPr>
                <w:sz w:val="17"/>
                <w:szCs w:val="17"/>
                <w:color w:val="auto"/>
              </w:rPr>
            </w:pPr>
          </w:p>
        </w:tc>
        <w:tc>
          <w:tcPr>
            <w:tcW w:w="2360" w:type="dxa"/>
            <w:vAlign w:val="bottom"/>
            <w:gridSpan w:val="4"/>
          </w:tcPr>
          <w:p>
            <w:pPr>
              <w:ind w:left="520"/>
              <w:spacing w:after="0" w:line="202" w:lineRule="exact"/>
              <w:rPr>
                <w:sz w:val="20"/>
                <w:szCs w:val="20"/>
                <w:color w:val="auto"/>
              </w:rPr>
            </w:pPr>
            <w:r>
              <w:rPr>
                <w:rFonts w:ascii="Arial" w:cs="Arial" w:eastAsia="Arial" w:hAnsi="Arial"/>
                <w:sz w:val="18"/>
                <w:szCs w:val="18"/>
                <w:color w:val="auto"/>
              </w:rPr>
              <w:t>per share of common</w:t>
            </w:r>
          </w:p>
        </w:tc>
      </w:tr>
      <w:tr>
        <w:trPr>
          <w:trHeight w:val="203"/>
        </w:trPr>
        <w:tc>
          <w:tcPr>
            <w:tcW w:w="6800" w:type="dxa"/>
            <w:vAlign w:val="bottom"/>
            <w:gridSpan w:val="3"/>
          </w:tcPr>
          <w:p>
            <w:pPr>
              <w:spacing w:after="0" w:line="202" w:lineRule="exact"/>
              <w:rPr>
                <w:sz w:val="20"/>
                <w:szCs w:val="20"/>
                <w:color w:val="auto"/>
              </w:rPr>
            </w:pPr>
            <w:r>
              <w:rPr>
                <w:rFonts w:ascii="Arial" w:cs="Arial" w:eastAsia="Arial" w:hAnsi="Arial"/>
                <w:sz w:val="18"/>
                <w:szCs w:val="18"/>
                <w:color w:val="auto"/>
                <w:w w:val="98"/>
              </w:rPr>
              <w:t>stock. This represents an immediate increase in net tangible book value per share of $</w:t>
            </w:r>
          </w:p>
        </w:tc>
        <w:tc>
          <w:tcPr>
            <w:tcW w:w="4440" w:type="dxa"/>
            <w:vAlign w:val="bottom"/>
            <w:gridSpan w:val="7"/>
          </w:tcPr>
          <w:p>
            <w:pPr>
              <w:ind w:left="740"/>
              <w:spacing w:after="0" w:line="202" w:lineRule="exact"/>
              <w:rPr>
                <w:sz w:val="20"/>
                <w:szCs w:val="20"/>
                <w:color w:val="auto"/>
              </w:rPr>
            </w:pPr>
            <w:r>
              <w:rPr>
                <w:rFonts w:ascii="Arial" w:cs="Arial" w:eastAsia="Arial" w:hAnsi="Arial"/>
                <w:sz w:val="18"/>
                <w:szCs w:val="18"/>
                <w:color w:val="auto"/>
              </w:rPr>
              <w:t>to existing stockholders and an immediate</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color w:val="auto"/>
              </w:rPr>
              <w:t>decrease in net tangible book value per share of $</w:t>
            </w:r>
          </w:p>
        </w:tc>
        <w:tc>
          <w:tcPr>
            <w:tcW w:w="4640" w:type="dxa"/>
            <w:vAlign w:val="bottom"/>
            <w:gridSpan w:val="3"/>
          </w:tcPr>
          <w:p>
            <w:pPr>
              <w:ind w:left="660"/>
              <w:spacing w:after="0"/>
              <w:rPr>
                <w:sz w:val="20"/>
                <w:szCs w:val="20"/>
                <w:color w:val="auto"/>
              </w:rPr>
            </w:pPr>
            <w:r>
              <w:rPr>
                <w:rFonts w:ascii="Arial" w:cs="Arial" w:eastAsia="Arial" w:hAnsi="Arial"/>
                <w:sz w:val="18"/>
                <w:szCs w:val="18"/>
                <w:color w:val="auto"/>
              </w:rPr>
              <w:t>to you. The following table illustrates the dilution.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1"/>
        </w:trPr>
        <w:tc>
          <w:tcPr>
            <w:tcW w:w="408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2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40" w:type="dxa"/>
            <w:vAlign w:val="bottom"/>
            <w:gridSpan w:val="4"/>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7840" w:type="dxa"/>
            <w:vAlign w:val="bottom"/>
            <w:gridSpan w:val="4"/>
          </w:tcPr>
          <w:p>
            <w:pPr>
              <w:ind w:left="420"/>
              <w:spacing w:after="0" w:line="206" w:lineRule="exact"/>
              <w:rPr>
                <w:sz w:val="20"/>
                <w:szCs w:val="20"/>
                <w:color w:val="auto"/>
              </w:rPr>
            </w:pPr>
            <w:r>
              <w:rPr>
                <w:rFonts w:ascii="Arial" w:cs="Arial" w:eastAsia="Arial" w:hAnsi="Arial"/>
                <w:sz w:val="18"/>
                <w:szCs w:val="18"/>
                <w:color w:val="auto"/>
              </w:rPr>
              <w:t>Pro forma net tangible book value per share as of September 30, 2007 (after giving effect to</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7040" w:type="dxa"/>
            <w:vAlign w:val="bottom"/>
            <w:gridSpan w:val="3"/>
          </w:tcPr>
          <w:p>
            <w:pPr>
              <w:ind w:left="640"/>
              <w:spacing w:after="0" w:line="200" w:lineRule="exact"/>
              <w:rPr>
                <w:sz w:val="20"/>
                <w:szCs w:val="20"/>
                <w:color w:val="auto"/>
              </w:rPr>
            </w:pPr>
            <w:r>
              <w:rPr>
                <w:rFonts w:ascii="Arial" w:cs="Arial" w:eastAsia="Arial" w:hAnsi="Arial"/>
                <w:sz w:val="18"/>
                <w:szCs w:val="18"/>
                <w:color w:val="auto"/>
                <w:w w:val="97"/>
              </w:rPr>
              <w:t>the corporate reorganization and repurchase of all of the Series B preferred stock)</w:t>
            </w:r>
          </w:p>
        </w:tc>
        <w:tc>
          <w:tcPr>
            <w:tcW w:w="800" w:type="dxa"/>
            <w:vAlign w:val="bottom"/>
          </w:tcPr>
          <w:p>
            <w:pPr>
              <w:spacing w:after="0"/>
              <w:rPr>
                <w:sz w:val="17"/>
                <w:szCs w:val="17"/>
                <w:color w:val="auto"/>
              </w:rPr>
            </w:pPr>
          </w:p>
        </w:tc>
        <w:tc>
          <w:tcPr>
            <w:tcW w:w="86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704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Increase in pro forma net tangible book value per share attributable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6800" w:type="dxa"/>
            <w:vAlign w:val="bottom"/>
            <w:gridSpan w:val="3"/>
          </w:tcPr>
          <w:p>
            <w:pPr>
              <w:ind w:left="860"/>
              <w:spacing w:after="0"/>
              <w:rPr>
                <w:sz w:val="20"/>
                <w:szCs w:val="20"/>
                <w:color w:val="auto"/>
              </w:rPr>
            </w:pPr>
            <w:r>
              <w:rPr>
                <w:rFonts w:ascii="Arial" w:cs="Arial" w:eastAsia="Arial" w:hAnsi="Arial"/>
                <w:sz w:val="18"/>
                <w:szCs w:val="18"/>
                <w:color w:val="auto"/>
              </w:rPr>
              <w:t>Pro forma net tangible book value per share after this offering</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7"/>
                <w:szCs w:val="17"/>
                <w:color w:val="auto"/>
              </w:rPr>
            </w:pPr>
          </w:p>
        </w:tc>
      </w:tr>
      <w:tr>
        <w:trPr>
          <w:trHeight w:val="20"/>
        </w:trPr>
        <w:tc>
          <w:tcPr>
            <w:tcW w:w="680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62"/>
        </w:trPr>
        <w:tc>
          <w:tcPr>
            <w:tcW w:w="6800" w:type="dxa"/>
            <w:vAlign w:val="bottom"/>
            <w:gridSpan w:val="3"/>
          </w:tcPr>
          <w:p>
            <w:pPr>
              <w:ind w:left="580"/>
              <w:spacing w:after="0"/>
              <w:rPr>
                <w:sz w:val="20"/>
                <w:szCs w:val="20"/>
                <w:color w:val="auto"/>
              </w:rPr>
            </w:pPr>
            <w:r>
              <w:rPr>
                <w:rFonts w:ascii="Arial" w:cs="Arial" w:eastAsia="Arial" w:hAnsi="Arial"/>
                <w:sz w:val="18"/>
                <w:szCs w:val="18"/>
                <w:color w:val="auto"/>
              </w:rPr>
              <w:t>A $1.00 increase or decrease in the assumed initial public offering price of $</w:t>
            </w:r>
          </w:p>
        </w:tc>
        <w:tc>
          <w:tcPr>
            <w:tcW w:w="4440" w:type="dxa"/>
            <w:vAlign w:val="bottom"/>
            <w:gridSpan w:val="7"/>
          </w:tcPr>
          <w:p>
            <w:pPr>
              <w:ind w:left="100"/>
              <w:spacing w:after="0"/>
              <w:rPr>
                <w:sz w:val="20"/>
                <w:szCs w:val="20"/>
                <w:color w:val="auto"/>
              </w:rPr>
            </w:pPr>
            <w:r>
              <w:rPr>
                <w:rFonts w:ascii="Arial" w:cs="Arial" w:eastAsia="Arial" w:hAnsi="Arial"/>
                <w:sz w:val="18"/>
                <w:szCs w:val="18"/>
                <w:color w:val="auto"/>
                <w:w w:val="97"/>
              </w:rPr>
              <w:t>per share would increase or decrease the pro forma net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w w:val="98"/>
              </w:rPr>
              <w:t>tangible book value per share after this offering by $</w:t>
            </w:r>
          </w:p>
        </w:tc>
        <w:tc>
          <w:tcPr>
            <w:tcW w:w="7160" w:type="dxa"/>
            <w:vAlign w:val="bottom"/>
            <w:gridSpan w:val="8"/>
          </w:tcPr>
          <w:p>
            <w:pPr>
              <w:ind w:left="400"/>
              <w:spacing w:after="0" w:line="202" w:lineRule="exact"/>
              <w:rPr>
                <w:sz w:val="20"/>
                <w:szCs w:val="20"/>
                <w:color w:val="auto"/>
              </w:rPr>
            </w:pPr>
            <w:r>
              <w:rPr>
                <w:rFonts w:ascii="Arial" w:cs="Arial" w:eastAsia="Arial" w:hAnsi="Arial"/>
                <w:sz w:val="18"/>
                <w:szCs w:val="18"/>
                <w:color w:val="auto"/>
              </w:rPr>
              <w:t>per share and would increase or decrease the dilution in pro forma net tangible book</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value per share to investors in this offering by $</w:t>
            </w:r>
          </w:p>
        </w:tc>
        <w:tc>
          <w:tcPr>
            <w:tcW w:w="7160" w:type="dxa"/>
            <w:vAlign w:val="bottom"/>
            <w:gridSpan w:val="8"/>
          </w:tcPr>
          <w:p>
            <w:pPr>
              <w:ind w:left="40"/>
              <w:spacing w:after="0" w:line="202" w:lineRule="exact"/>
              <w:rPr>
                <w:sz w:val="20"/>
                <w:szCs w:val="20"/>
                <w:color w:val="auto"/>
              </w:rPr>
            </w:pPr>
            <w:r>
              <w:rPr>
                <w:rFonts w:ascii="Arial" w:cs="Arial" w:eastAsia="Arial" w:hAnsi="Arial"/>
                <w:sz w:val="18"/>
                <w:szCs w:val="18"/>
                <w:color w:val="auto"/>
                <w:w w:val="97"/>
              </w:rPr>
              <w:t>per share. This calculation assumes that the number of shares offered by us, as set forth on</w:t>
            </w:r>
          </w:p>
        </w:tc>
      </w:tr>
    </w:tbl>
    <w:p>
      <w:pPr>
        <w:ind w:right="560"/>
        <w:spacing w:after="0" w:line="239" w:lineRule="auto"/>
        <w:rPr>
          <w:sz w:val="20"/>
          <w:szCs w:val="20"/>
          <w:color w:val="auto"/>
        </w:rPr>
      </w:pPr>
      <w:r>
        <w:rPr>
          <w:rFonts w:ascii="Arial" w:cs="Arial" w:eastAsia="Arial" w:hAnsi="Arial"/>
          <w:sz w:val="18"/>
          <w:szCs w:val="18"/>
          <w:color w:val="auto"/>
        </w:rPr>
        <w:t>the cover page of this prospectus, remains the same and reflects the deduction of the underwriting discount and estimated expenses of this offering.</w:t>
      </w:r>
    </w:p>
    <w:p>
      <w:pPr>
        <w:spacing w:after="0" w:line="155"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The following table sets forth, as of September 30, 2007, on the pro forma basis described above, the differences between the amounts paid or to be paid by the groups set forth in the table with respect to the aggregate number of shares of our common stock acquired or to be acquired by each group.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8"/>
              </w:rPr>
              <w:t>Total Consideration</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61"/>
        </w:trPr>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r>
      <w:tr>
        <w:trPr>
          <w:trHeight w:val="203"/>
        </w:trPr>
        <w:tc>
          <w:tcPr>
            <w:tcW w:w="880" w:type="dxa"/>
            <w:vAlign w:val="bottom"/>
          </w:tcPr>
          <w:p>
            <w:pPr>
              <w:spacing w:after="0"/>
              <w:rPr>
                <w:sz w:val="17"/>
                <w:szCs w:val="17"/>
                <w:color w:val="auto"/>
              </w:rPr>
            </w:pPr>
          </w:p>
        </w:tc>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r>
      <w:tr>
        <w:trPr>
          <w:trHeight w:val="270"/>
        </w:trPr>
        <w:tc>
          <w:tcPr>
            <w:tcW w:w="4260" w:type="dxa"/>
            <w:vAlign w:val="bottom"/>
            <w:gridSpan w:val="4"/>
          </w:tcPr>
          <w:p>
            <w:pPr>
              <w:ind w:left="860"/>
              <w:spacing w:after="0"/>
              <w:rPr>
                <w:sz w:val="20"/>
                <w:szCs w:val="20"/>
                <w:color w:val="auto"/>
              </w:rPr>
            </w:pPr>
            <w:r>
              <w:rPr>
                <w:rFonts w:ascii="Arial" w:cs="Arial" w:eastAsia="Arial" w:hAnsi="Arial"/>
                <w:sz w:val="18"/>
                <w:szCs w:val="18"/>
                <w:color w:val="auto"/>
              </w:rPr>
              <w:t>New investors(1)</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3"/>
        </w:trPr>
        <w:tc>
          <w:tcPr>
            <w:tcW w:w="88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107"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Before the underwriting discount and our expenses.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option to purchase additional shares is exercised in full, the number of shares of common stock held by existing</w:t>
      </w:r>
    </w:p>
    <w:p>
      <w:pPr>
        <w:spacing w:after="0" w:line="238" w:lineRule="auto"/>
        <w:rPr>
          <w:sz w:val="20"/>
          <w:szCs w:val="20"/>
          <w:color w:val="auto"/>
        </w:rPr>
      </w:pPr>
      <w:r>
        <w:rPr>
          <w:rFonts w:ascii="Arial" w:cs="Arial" w:eastAsia="Arial" w:hAnsi="Arial"/>
          <w:sz w:val="18"/>
          <w:szCs w:val="18"/>
          <w:color w:val="auto"/>
        </w:rPr>
        <w:t xml:space="preserve">stockholders will be reduced to , % of the aggregate number of shares of common stock outstanding after this offering, and the number of shares of common stock held by new investors will be increased to </w:t>
      </w:r>
      <w:r>
        <w:rPr>
          <w:rFonts w:ascii="Arial" w:cs="Arial" w:eastAsia="Arial" w:hAnsi="Arial"/>
          <w:sz w:val="18"/>
          <w:szCs w:val="18"/>
          <w:b w:val="1"/>
          <w:bCs w:val="1"/>
          <w:color w:val="auto"/>
        </w:rPr>
        <w:t>,</w:t>
      </w:r>
      <w:r>
        <w:rPr>
          <w:rFonts w:ascii="Arial" w:cs="Arial" w:eastAsia="Arial" w:hAnsi="Arial"/>
          <w:sz w:val="18"/>
          <w:szCs w:val="18"/>
          <w:color w:val="auto"/>
        </w:rPr>
        <w:t xml:space="preserve"> or % of the aggregate number of shares of common stock outstanding after this offering.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To the extent that any outstanding options to purchase shares of our common stock are exercised, investors in this offering will experience further dilution. The table below sets forth the matters described with respect to the table above and assumes the exercise of all options outstanding or exercisable as of September 30, 2007. Assuming such exercise, the total number of shares purchased would be increased as a result of the additional shares underlying the options being issued. Therefore the percentage of shares purchased by the existing stockholders and new investors relative to all three groups would be decreased. Similarly, as a result of the option exercises, the total consideration to be received by us would be increased because of the additional cash received by us from option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20" w:type="dxa"/>
            <w:vAlign w:val="bottom"/>
            <w:gridSpan w:val="3"/>
            <w:vMerge w:val="restart"/>
          </w:tcPr>
          <w:p>
            <w:pPr>
              <w:jc w:val="center"/>
              <w:ind w:left="232"/>
              <w:spacing w:after="0"/>
              <w:rPr>
                <w:sz w:val="20"/>
                <w:szCs w:val="20"/>
                <w:color w:val="auto"/>
              </w:rPr>
            </w:pPr>
            <w:r>
              <w:rPr>
                <w:rFonts w:ascii="Arial" w:cs="Arial" w:eastAsia="Arial" w:hAnsi="Arial"/>
                <w:sz w:val="14"/>
                <w:szCs w:val="14"/>
                <w:b w:val="1"/>
                <w:bCs w:val="1"/>
                <w:color w:val="auto"/>
                <w:w w:val="94"/>
              </w:rPr>
              <w:t>Shares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center"/>
              <w:ind w:left="332"/>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020" w:type="dxa"/>
            <w:vAlign w:val="bottom"/>
            <w:gridSpan w:val="3"/>
            <w:vMerge w:val="restart"/>
          </w:tcPr>
          <w:p>
            <w:pPr>
              <w:jc w:val="center"/>
              <w:ind w:left="232"/>
              <w:spacing w:after="0"/>
              <w:rPr>
                <w:sz w:val="20"/>
                <w:szCs w:val="20"/>
                <w:color w:val="auto"/>
              </w:rPr>
            </w:pPr>
            <w:r>
              <w:rPr>
                <w:rFonts w:ascii="Arial" w:cs="Arial" w:eastAsia="Arial" w:hAnsi="Arial"/>
                <w:sz w:val="14"/>
                <w:szCs w:val="14"/>
                <w:b w:val="1"/>
                <w:bCs w:val="1"/>
                <w:color w:val="auto"/>
                <w:w w:val="94"/>
              </w:rPr>
              <w:t>Purchased</w:t>
            </w: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3"/>
            <w:vMerge w:val="restart"/>
          </w:tcPr>
          <w:p>
            <w:pPr>
              <w:jc w:val="center"/>
              <w:ind w:left="12"/>
              <w:spacing w:after="0"/>
              <w:rPr>
                <w:sz w:val="20"/>
                <w:szCs w:val="20"/>
                <w:color w:val="auto"/>
              </w:rPr>
            </w:pPr>
            <w:r>
              <w:rPr>
                <w:rFonts w:ascii="Arial" w:cs="Arial" w:eastAsia="Arial" w:hAnsi="Arial"/>
                <w:sz w:val="14"/>
                <w:szCs w:val="14"/>
                <w:b w:val="1"/>
                <w:bCs w:val="1"/>
                <w:color w:val="auto"/>
                <w:w w:val="97"/>
              </w:rPr>
              <w:t>Consideration</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280" w:type="dxa"/>
            <w:vAlign w:val="bottom"/>
          </w:tcPr>
          <w:p>
            <w:pPr>
              <w:spacing w:after="0"/>
              <w:rPr>
                <w:sz w:val="8"/>
                <w:szCs w:val="8"/>
                <w:color w:val="auto"/>
              </w:rPr>
            </w:pPr>
          </w:p>
        </w:tc>
        <w:tc>
          <w:tcPr>
            <w:tcW w:w="102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31"/>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2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96"/>
        </w:trPr>
        <w:tc>
          <w:tcPr>
            <w:tcW w:w="53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66"/>
              <w:spacing w:after="0" w:line="196"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3"/>
        </w:trPr>
        <w:tc>
          <w:tcPr>
            <w:tcW w:w="5300" w:type="dxa"/>
            <w:vAlign w:val="bottom"/>
            <w:gridSpan w:val="4"/>
          </w:tcPr>
          <w:p>
            <w:pPr>
              <w:spacing w:after="0" w:line="202" w:lineRule="exact"/>
              <w:rPr>
                <w:sz w:val="20"/>
                <w:szCs w:val="20"/>
                <w:color w:val="auto"/>
              </w:rPr>
            </w:pPr>
            <w:r>
              <w:rPr>
                <w:rFonts w:ascii="Arial" w:cs="Arial" w:eastAsia="Arial" w:hAnsi="Arial"/>
                <w:sz w:val="18"/>
                <w:szCs w:val="18"/>
                <w:color w:val="auto"/>
              </w:rPr>
              <w:t>New investors(1)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Option holders(2)</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3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4"/>
              </w:rPr>
              <w:t>%</w:t>
            </w:r>
          </w:p>
        </w:tc>
        <w:tc>
          <w:tcPr>
            <w:tcW w:w="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66"/>
              <w:spacing w:after="0" w:line="202"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46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0"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Before the underwriting discount and our expenses.</w:t>
      </w:r>
    </w:p>
    <w:p>
      <w:pPr>
        <w:ind w:left="180" w:hanging="172"/>
        <w:spacing w:after="0"/>
        <w:tabs>
          <w:tab w:leader="none" w:pos="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shares of common stock issuable upon exercise of options previously granted to our officers, directors and employees.</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option to purchase additional shares is exercised in full, the number of shares of common stock held by existing</w:t>
      </w:r>
    </w:p>
    <w:p>
      <w:pPr>
        <w:ind w:right="20"/>
        <w:spacing w:after="0" w:line="238" w:lineRule="auto"/>
        <w:rPr>
          <w:sz w:val="20"/>
          <w:szCs w:val="20"/>
          <w:color w:val="auto"/>
        </w:rPr>
      </w:pPr>
      <w:r>
        <w:rPr>
          <w:rFonts w:ascii="Arial" w:cs="Arial" w:eastAsia="Arial" w:hAnsi="Arial"/>
          <w:sz w:val="18"/>
          <w:szCs w:val="18"/>
          <w:color w:val="auto"/>
        </w:rPr>
        <w:t xml:space="preserve">stockholders will be reduced to , % of the aggregate number of shares of common stock outstanding after this offering, and the number of shares of common stock held by new investors will be increased to </w:t>
      </w:r>
      <w:r>
        <w:rPr>
          <w:rFonts w:ascii="Arial" w:cs="Arial" w:eastAsia="Arial" w:hAnsi="Arial"/>
          <w:sz w:val="18"/>
          <w:szCs w:val="18"/>
          <w:b w:val="1"/>
          <w:bCs w:val="1"/>
          <w:color w:val="auto"/>
        </w:rPr>
        <w:t>,</w:t>
      </w:r>
      <w:r>
        <w:rPr>
          <w:rFonts w:ascii="Arial" w:cs="Arial" w:eastAsia="Arial" w:hAnsi="Arial"/>
          <w:sz w:val="18"/>
          <w:szCs w:val="18"/>
          <w:color w:val="auto"/>
        </w:rPr>
        <w:t xml:space="preserve"> or % of the aggregate number of shares of common stock outstanding after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OPERATING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MAGNACHIP SEMICONDUCTOR LLC</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derived the selected consolidated financial and operating data below from the following sources:</w:t>
      </w:r>
    </w:p>
    <w:p>
      <w:pPr>
        <w:spacing w:after="0" w:line="158"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consolidated financial data as of and for the years ended December 31, 2005 and 2006, and the three months ended December 31, 2004 have been derived from the historical audited consolidated financial statements of MagnaChip Semiconductor LLC. The consolidated financial data for the nine-month periods ended September 30, 2007 and October 1, 2006 and as of September 30, 2007 have been derived from the unaudited consolidated financial statements of MagnaChip Semiconductor LLC. The unaudited summary consolidated financial data include, in the opinion of our management, all adjustments, consisting only of normal recurring adjustments, that are necessary for a fair presentation of our financial position and results of operations for these periods. Prior to October 1, 2004, our consolidated financial statements were prepared on a carve-out basis from the consolidated financial statements and accounting records of Hynix using the actual results of operations and actual basis of assets and liabilities of our business.</w:t>
      </w:r>
    </w:p>
    <w:p>
      <w:pPr>
        <w:spacing w:after="0" w:line="154" w:lineRule="exact"/>
        <w:rPr>
          <w:sz w:val="20"/>
          <w:szCs w:val="20"/>
          <w:color w:val="auto"/>
        </w:rPr>
      </w:pPr>
    </w:p>
    <w:p>
      <w:pPr>
        <w:ind w:right="400" w:firstLine="571"/>
        <w:spacing w:after="0" w:line="237" w:lineRule="auto"/>
        <w:rPr>
          <w:sz w:val="20"/>
          <w:szCs w:val="20"/>
          <w:color w:val="auto"/>
        </w:rPr>
      </w:pPr>
      <w:r>
        <w:rPr>
          <w:rFonts w:ascii="Arial" w:cs="Arial" w:eastAsia="Arial" w:hAnsi="Arial"/>
          <w:sz w:val="18"/>
          <w:szCs w:val="18"/>
          <w:color w:val="auto"/>
        </w:rPr>
        <w:t>The selected consolidated financial and operating data below represent portions of our financial statements and are not complete. This information should be read together with “Management’s Discussion and Analysis of Financial Condition and Results of Operations” and our consolidated financial statements and the related notes to these statements included in this prospectus. Historical results are not necessarily indicative of future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Nine</w:t>
            </w:r>
          </w:p>
        </w:tc>
        <w:tc>
          <w:tcPr>
            <w:tcW w:w="162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months</w:t>
            </w:r>
          </w:p>
        </w:tc>
        <w:tc>
          <w:tcPr>
            <w:tcW w:w="160" w:type="dxa"/>
            <w:vAlign w:val="bottom"/>
          </w:tcPr>
          <w:p>
            <w:pPr>
              <w:spacing w:after="0"/>
              <w:rPr>
                <w:sz w:val="5"/>
                <w:szCs w:val="5"/>
                <w:color w:val="auto"/>
              </w:rPr>
            </w:pPr>
          </w:p>
        </w:tc>
        <w:tc>
          <w:tcPr>
            <w:tcW w:w="82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months</w:t>
            </w:r>
          </w:p>
        </w:tc>
        <w:tc>
          <w:tcPr>
            <w:tcW w:w="16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80" w:type="dxa"/>
            <w:vAlign w:val="bottom"/>
            <w:gridSpan w:val="5"/>
            <w:vMerge w:val="restart"/>
          </w:tcPr>
          <w:p>
            <w:pPr>
              <w:jc w:val="right"/>
              <w:ind w:right="237"/>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7"/>
                <w:szCs w:val="7"/>
                <w:color w:val="auto"/>
              </w:rPr>
            </w:pPr>
          </w:p>
        </w:tc>
        <w:tc>
          <w:tcPr>
            <w:tcW w:w="17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4"/>
        </w:trPr>
        <w:tc>
          <w:tcPr>
            <w:tcW w:w="3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ended</w:t>
            </w:r>
          </w:p>
        </w:tc>
        <w:tc>
          <w:tcPr>
            <w:tcW w:w="160" w:type="dxa"/>
            <w:vAlign w:val="bottom"/>
          </w:tcPr>
          <w:p>
            <w:pPr>
              <w:spacing w:after="0"/>
              <w:rPr>
                <w:sz w:val="7"/>
                <w:szCs w:val="7"/>
                <w:color w:val="auto"/>
              </w:rPr>
            </w:pPr>
          </w:p>
        </w:tc>
        <w:tc>
          <w:tcPr>
            <w:tcW w:w="8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ended</w:t>
            </w:r>
          </w:p>
        </w:tc>
        <w:tc>
          <w:tcPr>
            <w:tcW w:w="1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tcPr>
          <w:p>
            <w:pPr>
              <w:jc w:val="right"/>
              <w:ind w:right="260"/>
              <w:spacing w:after="0" w:line="152" w:lineRule="exact"/>
              <w:rPr>
                <w:sz w:val="20"/>
                <w:szCs w:val="20"/>
                <w:color w:val="auto"/>
              </w:rPr>
            </w:pPr>
            <w:r>
              <w:rPr>
                <w:rFonts w:ascii="Arial" w:cs="Arial" w:eastAsia="Arial" w:hAnsi="Arial"/>
                <w:sz w:val="14"/>
                <w:szCs w:val="14"/>
                <w:b w:val="1"/>
                <w:bCs w:val="1"/>
                <w:color w:val="auto"/>
                <w:w w:val="97"/>
              </w:rPr>
              <w:t>Sept. 30,</w:t>
            </w:r>
          </w:p>
        </w:tc>
        <w:tc>
          <w:tcPr>
            <w:tcW w:w="84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October 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80"/>
              <w:spacing w:after="0" w:line="152" w:lineRule="exact"/>
              <w:rPr>
                <w:sz w:val="20"/>
                <w:szCs w:val="20"/>
                <w:color w:val="auto"/>
              </w:rPr>
            </w:pPr>
            <w:r>
              <w:rPr>
                <w:rFonts w:ascii="Arial" w:cs="Arial" w:eastAsia="Arial" w:hAnsi="Arial"/>
                <w:sz w:val="14"/>
                <w:szCs w:val="14"/>
                <w:b w:val="1"/>
                <w:bCs w:val="1"/>
                <w:color w:val="auto"/>
                <w:w w:val="94"/>
              </w:rPr>
              <w:t>Dec. 31,</w:t>
            </w:r>
          </w:p>
        </w:tc>
        <w:tc>
          <w:tcPr>
            <w:tcW w:w="160" w:type="dxa"/>
            <w:vAlign w:val="bottom"/>
          </w:tcPr>
          <w:p>
            <w:pPr>
              <w:spacing w:after="0"/>
              <w:rPr>
                <w:sz w:val="13"/>
                <w:szCs w:val="13"/>
                <w:color w:val="auto"/>
              </w:rPr>
            </w:pPr>
          </w:p>
        </w:tc>
        <w:tc>
          <w:tcPr>
            <w:tcW w:w="820" w:type="dxa"/>
            <w:vAlign w:val="bottom"/>
            <w:gridSpan w:val="3"/>
          </w:tcPr>
          <w:p>
            <w:pPr>
              <w:jc w:val="center"/>
              <w:ind w:right="220"/>
              <w:spacing w:after="0" w:line="152" w:lineRule="exact"/>
              <w:rPr>
                <w:sz w:val="20"/>
                <w:szCs w:val="20"/>
                <w:color w:val="auto"/>
              </w:rPr>
            </w:pPr>
            <w:r>
              <w:rPr>
                <w:rFonts w:ascii="Arial" w:cs="Arial" w:eastAsia="Arial" w:hAnsi="Arial"/>
                <w:sz w:val="14"/>
                <w:szCs w:val="14"/>
                <w:b w:val="1"/>
                <w:bCs w:val="1"/>
                <w:color w:val="auto"/>
                <w:w w:val="97"/>
              </w:rPr>
              <w:t>Sept. 30,</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7"/>
          </w:tcPr>
          <w:p>
            <w:pPr>
              <w:jc w:val="right"/>
              <w:ind w:right="600"/>
              <w:spacing w:after="0" w:line="180" w:lineRule="exact"/>
              <w:rPr>
                <w:sz w:val="20"/>
                <w:szCs w:val="20"/>
                <w:color w:val="auto"/>
              </w:rPr>
            </w:pPr>
            <w:r>
              <w:rPr>
                <w:rFonts w:ascii="Arial" w:cs="Arial" w:eastAsia="Arial" w:hAnsi="Arial"/>
                <w:sz w:val="13"/>
                <w:szCs w:val="13"/>
                <w:b w:val="1"/>
                <w:bCs w:val="1"/>
                <w:color w:val="auto"/>
                <w:w w:val="91"/>
              </w:rPr>
              <w:t>Successor Company</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7"/>
          </w:tcPr>
          <w:p>
            <w:pPr>
              <w:jc w:val="right"/>
              <w:ind w:right="440"/>
              <w:spacing w:after="0" w:line="180" w:lineRule="exact"/>
              <w:rPr>
                <w:sz w:val="20"/>
                <w:szCs w:val="20"/>
                <w:color w:val="auto"/>
              </w:rPr>
            </w:pPr>
            <w:r>
              <w:rPr>
                <w:rFonts w:ascii="Arial" w:cs="Arial" w:eastAsia="Arial" w:hAnsi="Arial"/>
                <w:sz w:val="13"/>
                <w:szCs w:val="13"/>
                <w:b w:val="1"/>
                <w:bCs w:val="1"/>
                <w:color w:val="auto"/>
              </w:rPr>
              <w:t>Predecessor Company</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5"/>
          </w:tcPr>
          <w:p>
            <w:pPr>
              <w:jc w:val="right"/>
              <w:ind w:right="477"/>
              <w:spacing w:after="0" w:line="149"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13"/>
          </w:tcPr>
          <w:p>
            <w:pPr>
              <w:ind w:left="420"/>
              <w:spacing w:after="0"/>
              <w:rPr>
                <w:sz w:val="20"/>
                <w:szCs w:val="20"/>
                <w:color w:val="auto"/>
              </w:rPr>
            </w:pPr>
            <w:r>
              <w:rPr>
                <w:rFonts w:ascii="Arial" w:cs="Arial" w:eastAsia="Arial" w:hAnsi="Arial"/>
                <w:sz w:val="14"/>
                <w:szCs w:val="14"/>
                <w:b w:val="1"/>
                <w:bCs w:val="1"/>
                <w:color w:val="auto"/>
              </w:rPr>
              <w:t>(in millions, except per common unit data)</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$ 545.9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582.0</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$ 744.4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937.7</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243.6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841.6</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$ 830.8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500.6</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644.9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204.5</w:t>
            </w:r>
          </w:p>
        </w:tc>
        <w:tc>
          <w:tcPr>
            <w:tcW w:w="2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654.6</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81.5</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187.0</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66.4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29.8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95.9</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6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93.9</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(174.7)</w:t>
            </w:r>
          </w:p>
        </w:tc>
        <w:tc>
          <w:tcPr>
            <w:tcW w:w="9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(213.8)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43.0</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40.9</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5.4</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7"/>
              <w:spacing w:after="0" w:line="202" w:lineRule="exact"/>
              <w:rPr>
                <w:sz w:val="20"/>
                <w:szCs w:val="20"/>
                <w:color w:val="auto"/>
              </w:rPr>
            </w:pPr>
            <w:r>
              <w:rPr>
                <w:rFonts w:ascii="Arial" w:cs="Arial" w:eastAsia="Arial" w:hAnsi="Arial"/>
                <w:sz w:val="18"/>
                <w:szCs w:val="18"/>
                <w:color w:val="auto"/>
              </w:rPr>
              <w:t>(2.1)</w:t>
            </w:r>
          </w:p>
        </w:tc>
        <w:tc>
          <w:tcPr>
            <w:tcW w:w="9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(11.3)</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18"/>
                <w:szCs w:val="18"/>
                <w:color w:val="auto"/>
              </w:rPr>
            </w:pP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(176.8)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(112.3)</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6.8</w:t>
            </w:r>
          </w:p>
        </w:tc>
        <w:tc>
          <w:tcPr>
            <w:tcW w:w="9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(183.7)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$(229.3)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6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8.1</w:t>
            </w: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Net loss attributable to common units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7"/>
              <w:spacing w:after="0"/>
              <w:rPr>
                <w:sz w:val="20"/>
                <w:szCs w:val="20"/>
                <w:color w:val="auto"/>
              </w:rPr>
            </w:pPr>
            <w:r>
              <w:rPr>
                <w:rFonts w:ascii="Arial" w:cs="Arial" w:eastAsia="Arial" w:hAnsi="Arial"/>
                <w:sz w:val="18"/>
                <w:szCs w:val="18"/>
                <w:color w:val="auto"/>
              </w:rPr>
              <w:t>(191.7)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3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77"/>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14"/>
                <w:szCs w:val="14"/>
                <w:color w:val="auto"/>
              </w:rPr>
            </w:pPr>
          </w:p>
        </w:tc>
        <w:tc>
          <w:tcPr>
            <w:tcW w:w="158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months</w:t>
            </w:r>
          </w:p>
        </w:tc>
        <w:tc>
          <w:tcPr>
            <w:tcW w:w="200" w:type="dxa"/>
            <w:vAlign w:val="bottom"/>
          </w:tcPr>
          <w:p>
            <w:pPr>
              <w:spacing w:after="0"/>
              <w:rPr>
                <w:sz w:val="5"/>
                <w:szCs w:val="5"/>
                <w:color w:val="auto"/>
              </w:rPr>
            </w:pPr>
          </w:p>
        </w:tc>
        <w:tc>
          <w:tcPr>
            <w:tcW w:w="90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months</w:t>
            </w:r>
          </w:p>
        </w:tc>
        <w:tc>
          <w:tcPr>
            <w:tcW w:w="10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6"/>
            <w:vMerge w:val="restart"/>
          </w:tcPr>
          <w:p>
            <w:pPr>
              <w:jc w:val="right"/>
              <w:ind w:right="29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4"/>
        </w:trPr>
        <w:tc>
          <w:tcPr>
            <w:tcW w:w="11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ended</w:t>
            </w:r>
          </w:p>
        </w:tc>
        <w:tc>
          <w:tcPr>
            <w:tcW w:w="10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1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20" w:type="dxa"/>
            <w:vAlign w:val="bottom"/>
            <w:gridSpan w:val="3"/>
          </w:tcPr>
          <w:p>
            <w:pPr>
              <w:jc w:val="right"/>
              <w:ind w:right="220"/>
              <w:spacing w:after="0" w:line="152" w:lineRule="exact"/>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3"/>
                <w:szCs w:val="13"/>
                <w:color w:val="auto"/>
              </w:rPr>
            </w:pPr>
          </w:p>
        </w:tc>
        <w:tc>
          <w:tcPr>
            <w:tcW w:w="8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20"/>
              <w:spacing w:after="0" w:line="152" w:lineRule="exact"/>
              <w:rPr>
                <w:sz w:val="20"/>
                <w:szCs w:val="20"/>
                <w:color w:val="auto"/>
              </w:rPr>
            </w:pPr>
            <w:r>
              <w:rPr>
                <w:rFonts w:ascii="Arial" w:cs="Arial" w:eastAsia="Arial" w:hAnsi="Arial"/>
                <w:sz w:val="14"/>
                <w:szCs w:val="14"/>
                <w:b w:val="1"/>
                <w:bCs w:val="1"/>
                <w:color w:val="auto"/>
                <w:w w:val="98"/>
              </w:rPr>
              <w:t>Dec. 31,</w:t>
            </w:r>
          </w:p>
        </w:tc>
        <w:tc>
          <w:tcPr>
            <w:tcW w:w="200" w:type="dxa"/>
            <w:vAlign w:val="bottom"/>
          </w:tcPr>
          <w:p>
            <w:pPr>
              <w:spacing w:after="0"/>
              <w:rPr>
                <w:sz w:val="13"/>
                <w:szCs w:val="13"/>
                <w:color w:val="auto"/>
              </w:rPr>
            </w:pPr>
          </w:p>
        </w:tc>
        <w:tc>
          <w:tcPr>
            <w:tcW w:w="900" w:type="dxa"/>
            <w:vAlign w:val="bottom"/>
            <w:gridSpan w:val="3"/>
          </w:tcPr>
          <w:p>
            <w:pPr>
              <w:jc w:val="center"/>
              <w:ind w:right="300"/>
              <w:spacing w:after="0" w:line="152" w:lineRule="exact"/>
              <w:rPr>
                <w:sz w:val="20"/>
                <w:szCs w:val="20"/>
                <w:color w:val="auto"/>
              </w:rPr>
            </w:pPr>
            <w:r>
              <w:rPr>
                <w:rFonts w:ascii="Arial" w:cs="Arial" w:eastAsia="Arial" w:hAnsi="Arial"/>
                <w:sz w:val="14"/>
                <w:szCs w:val="14"/>
                <w:b w:val="1"/>
                <w:bCs w:val="1"/>
                <w:color w:val="auto"/>
                <w:w w:val="97"/>
              </w:rPr>
              <w:t>Sept. 30,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gridSpan w:val="9"/>
          </w:tcPr>
          <w:p>
            <w:pPr>
              <w:jc w:val="center"/>
              <w:ind w:right="720"/>
              <w:spacing w:after="0" w:line="180" w:lineRule="exact"/>
              <w:rPr>
                <w:sz w:val="20"/>
                <w:szCs w:val="20"/>
                <w:color w:val="auto"/>
              </w:rPr>
            </w:pPr>
            <w:r>
              <w:rPr>
                <w:rFonts w:ascii="Arial" w:cs="Arial" w:eastAsia="Arial" w:hAnsi="Arial"/>
                <w:sz w:val="13"/>
                <w:szCs w:val="13"/>
                <w:b w:val="1"/>
                <w:bCs w:val="1"/>
                <w:color w:val="auto"/>
                <w:w w:val="96"/>
              </w:rPr>
              <w:t>Successor Company</w:t>
            </w:r>
            <w:r>
              <w:rPr>
                <w:rFonts w:ascii="Arial" w:cs="Arial" w:eastAsia="Arial" w:hAnsi="Arial"/>
                <w:sz w:val="20"/>
                <w:szCs w:val="20"/>
                <w:b w:val="1"/>
                <w:bCs w:val="1"/>
                <w:color w:val="auto"/>
                <w:w w:val="96"/>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8"/>
          </w:tcPr>
          <w:p>
            <w:pPr>
              <w:jc w:val="right"/>
              <w:ind w:right="520"/>
              <w:spacing w:after="0" w:line="180" w:lineRule="exact"/>
              <w:rPr>
                <w:sz w:val="20"/>
                <w:szCs w:val="20"/>
                <w:color w:val="auto"/>
              </w:rPr>
            </w:pPr>
            <w:r>
              <w:rPr>
                <w:rFonts w:ascii="Arial" w:cs="Arial" w:eastAsia="Arial" w:hAnsi="Arial"/>
                <w:sz w:val="13"/>
                <w:szCs w:val="13"/>
                <w:b w:val="1"/>
                <w:bCs w:val="1"/>
                <w:color w:val="auto"/>
              </w:rPr>
              <w:t>Predecessor Company</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557"/>
              <w:spacing w:after="0" w:line="149"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gridSpan w:val="14"/>
          </w:tcPr>
          <w:p>
            <w:pPr>
              <w:jc w:val="right"/>
              <w:ind w:right="780"/>
              <w:spacing w:after="0"/>
              <w:rPr>
                <w:sz w:val="20"/>
                <w:szCs w:val="20"/>
                <w:color w:val="auto"/>
              </w:rPr>
            </w:pPr>
            <w:r>
              <w:rPr>
                <w:rFonts w:ascii="Arial" w:cs="Arial" w:eastAsia="Arial" w:hAnsi="Arial"/>
                <w:sz w:val="14"/>
                <w:szCs w:val="14"/>
                <w:b w:val="1"/>
                <w:bCs w:val="1"/>
                <w:color w:val="auto"/>
              </w:rPr>
              <w:t>(in millions, except per common unit data)</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unit data:</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loss per common unit: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(3.62)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Weighted-average units used in computing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net loss per common unit: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52.769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w w:val="98"/>
              </w:rPr>
              <w:t>52.975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4"/>
              </w:rPr>
              <w:t>52.912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52.898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50.062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61.9</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89.2</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86.6</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770.1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3"/>
              </w:rPr>
              <w:t>1,040.6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w w:val="96"/>
              </w:rPr>
              <w:t>1,154.5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653.8</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790.0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6"/>
              </w:rPr>
              <w:t>1,077.8</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indebtedness</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37"/>
              <w:spacing w:after="0" w:line="202" w:lineRule="exact"/>
              <w:rPr>
                <w:sz w:val="20"/>
                <w:szCs w:val="20"/>
                <w:color w:val="auto"/>
              </w:rPr>
            </w:pPr>
            <w:r>
              <w:rPr>
                <w:rFonts w:ascii="Arial" w:cs="Arial" w:eastAsia="Arial" w:hAnsi="Arial"/>
                <w:sz w:val="18"/>
                <w:szCs w:val="18"/>
                <w:color w:val="auto"/>
                <w:w w:val="93"/>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750.7</w:t>
            </w: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Preferred units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117.4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106.5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96.5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Owners’ equity</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40" w:type="dxa"/>
            <w:vAlign w:val="bottom"/>
            <w:gridSpan w:val="2"/>
          </w:tcPr>
          <w:p>
            <w:pPr>
              <w:spacing w:after="0" w:line="184" w:lineRule="exact"/>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line="184" w:lineRule="exact"/>
              <w:rPr>
                <w:sz w:val="20"/>
                <w:szCs w:val="20"/>
                <w:color w:val="auto"/>
              </w:rPr>
            </w:pPr>
            <w:r>
              <w:rPr>
                <w:rFonts w:ascii="Arial" w:cs="Arial" w:eastAsia="Arial" w:hAnsi="Arial"/>
                <w:sz w:val="18"/>
                <w:szCs w:val="18"/>
                <w:color w:val="auto"/>
              </w:rPr>
              <w:t>(452.2)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57"/>
              <w:spacing w:after="0" w:line="184" w:lineRule="exact"/>
              <w:rPr>
                <w:sz w:val="20"/>
                <w:szCs w:val="20"/>
                <w:color w:val="auto"/>
              </w:rPr>
            </w:pPr>
            <w:r>
              <w:rPr>
                <w:rFonts w:ascii="Arial" w:cs="Arial" w:eastAsia="Arial" w:hAnsi="Arial"/>
                <w:sz w:val="18"/>
                <w:szCs w:val="18"/>
                <w:color w:val="auto"/>
              </w:rPr>
              <w:t>(235.1)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84" w:lineRule="exact"/>
              <w:rPr>
                <w:sz w:val="20"/>
                <w:szCs w:val="20"/>
                <w:color w:val="auto"/>
              </w:rPr>
            </w:pPr>
            <w:r>
              <w:rPr>
                <w:rFonts w:ascii="Arial" w:cs="Arial" w:eastAsia="Arial" w:hAnsi="Arial"/>
                <w:sz w:val="18"/>
                <w:szCs w:val="18"/>
                <w:color w:val="auto"/>
              </w:rPr>
              <w:t>(284.5)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20"/>
              <w:spacing w:after="0" w:line="184" w:lineRule="exact"/>
              <w:rPr>
                <w:sz w:val="20"/>
                <w:szCs w:val="20"/>
                <w:color w:val="auto"/>
              </w:rPr>
            </w:pPr>
            <w:r>
              <w:rPr>
                <w:rFonts w:ascii="Arial" w:cs="Arial" w:eastAsia="Arial" w:hAnsi="Arial"/>
                <w:sz w:val="18"/>
                <w:szCs w:val="18"/>
                <w:color w:val="auto"/>
              </w:rPr>
              <w:t>(46.5)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240"/>
              <w:spacing w:after="0" w:line="184" w:lineRule="exact"/>
              <w:rPr>
                <w:sz w:val="20"/>
                <w:szCs w:val="20"/>
                <w:color w:val="auto"/>
              </w:rPr>
            </w:pPr>
            <w:r>
              <w:rPr>
                <w:rFonts w:ascii="Arial" w:cs="Arial" w:eastAsia="Arial" w:hAnsi="Arial"/>
                <w:sz w:val="18"/>
                <w:szCs w:val="18"/>
                <w:color w:val="auto"/>
              </w:rPr>
              <w:t>55.9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EBITDA</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37"/>
              <w:spacing w:after="0" w:line="202" w:lineRule="exact"/>
              <w:rPr>
                <w:sz w:val="20"/>
                <w:szCs w:val="20"/>
                <w:color w:val="auto"/>
              </w:rPr>
            </w:pPr>
            <w:r>
              <w:rPr>
                <w:rFonts w:ascii="Arial" w:cs="Arial" w:eastAsia="Arial" w:hAnsi="Arial"/>
                <w:sz w:val="18"/>
                <w:szCs w:val="18"/>
                <w:color w:val="auto"/>
                <w:w w:val="93"/>
              </w:rPr>
              <w:t>188.6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45.9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266.9</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17"/>
              <w:spacing w:after="0" w:line="202" w:lineRule="exact"/>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17"/>
              <w:spacing w:after="0" w:line="200" w:lineRule="exact"/>
              <w:rPr>
                <w:sz w:val="20"/>
                <w:szCs w:val="20"/>
                <w:color w:val="auto"/>
              </w:rPr>
            </w:pPr>
            <w:r>
              <w:rPr>
                <w:rFonts w:ascii="Arial" w:cs="Arial" w:eastAsia="Arial" w:hAnsi="Arial"/>
                <w:sz w:val="18"/>
                <w:szCs w:val="18"/>
                <w:color w:val="auto"/>
              </w:rPr>
              <w:t>36.6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103.6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0" w:lineRule="exact"/>
              <w:rPr>
                <w:sz w:val="20"/>
                <w:szCs w:val="20"/>
                <w:color w:val="auto"/>
              </w:rPr>
            </w:pPr>
            <w:r>
              <w:rPr>
                <w:rFonts w:ascii="Arial" w:cs="Arial" w:eastAsia="Arial" w:hAnsi="Arial"/>
                <w:sz w:val="18"/>
                <w:szCs w:val="18"/>
                <w:color w:val="auto"/>
              </w:rPr>
              <w:t>17.3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312.2</w:t>
            </w:r>
          </w:p>
        </w:tc>
        <w:tc>
          <w:tcPr>
            <w:tcW w:w="100" w:type="dxa"/>
            <w:vAlign w:val="bottom"/>
          </w:tcPr>
          <w:p>
            <w:pPr>
              <w:spacing w:after="0"/>
              <w:rPr>
                <w:sz w:val="17"/>
                <w:szCs w:val="17"/>
                <w:color w:val="auto"/>
              </w:rPr>
            </w:pP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182.1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187.1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6"/>
        </w:trPr>
        <w:tc>
          <w:tcPr>
            <w:tcW w:w="3840" w:type="dxa"/>
            <w:vAlign w:val="bottom"/>
            <w:gridSpan w:val="2"/>
          </w:tcPr>
          <w:p>
            <w:pPr>
              <w:spacing w:after="0" w:line="206"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50.5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57"/>
              <w:spacing w:after="0" w:line="200"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40"/>
              <w:spacing w:after="0" w:line="200"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w w:val="94"/>
              </w:rPr>
              <w:t>(226.8)</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w w:val="98"/>
              </w:rPr>
              <w:t>(160.6)</w:t>
            </w:r>
          </w:p>
        </w:tc>
        <w:tc>
          <w:tcPr>
            <w:tcW w:w="100" w:type="dxa"/>
            <w:vAlign w:val="bottom"/>
          </w:tcPr>
          <w:p>
            <w:pPr>
              <w:spacing w:after="0"/>
              <w:rPr>
                <w:sz w:val="17"/>
                <w:szCs w:val="17"/>
                <w:color w:val="auto"/>
              </w:rPr>
            </w:pPr>
          </w:p>
        </w:tc>
        <w:tc>
          <w:tcPr>
            <w:tcW w:w="6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0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October 6, 2004, our business was acquired from Hynix. For accounting purposes and consistent with its reporting periods, we have used October 1, 2004 as the effective date of such acquisition since the financial results from and after October 1, 2004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340" w:right="80" w:hanging="332"/>
        <w:spacing w:after="0" w:line="272"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GAAP. EBITDA is not a measure defined in accordance with GAAP. We believe that EBITDA is a standard performance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832"/>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2"/>
              </w:rPr>
              <w:t>October 1,</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2"/>
              </w:rPr>
              <w:t>millions)</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(151.1)</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(183.7)</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(229.3)</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145.5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43.0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11.6</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8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have prepared the unaudited pro forma condensed consolidated financial information of MagnaChip for the year ended December 31, 2006 and as of and for the nine months ended September 30, 2007 in accordance with generally accepted accounting principles in the United States, or GAAP. The selected unaudited pro forma condensed consolidated financial information are derived from the historical consolidated financial statements of MagnaChip Semiconductor LLC and give pro forma effect to (1) the corporate reorganization and (2) the sale of shares in this offering and application of the net proceeds from this offering. We have prepared the pro forma adjustments as if the corporate reorganization, this offering and the applicable of the net proceeds to be used for debt repayment and repurchase of preferred units had taken place as of January 1, 2006 and January 1, 2007,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following information should be read in conjunction with “Capitalization,” “Management’s Discussion and Analysis of Financial Condition and Results of Operations,” “Risk Factors”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had the corporate reorganization and this offering occurred on January 1, 2006 and January 1, 2007, respectively, and is not necessarily indicative of future operating results.</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Management has prepared the accompanying unaudited pro forma consolidated statements of operations for the year ended December 31, 2006 and the nine months ended September 30, 2007 and the unaudited pro forma consolidated balance sheet as of September 30, 2007 in accordance with Article 11 of Regulation S-X for inclusion in this prospectus.</w:t>
      </w:r>
    </w:p>
    <w:p>
      <w:pPr>
        <w:spacing w:after="0" w:line="154"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The accounting policies used in the preparation of the pro forma consolidated financial statements are those disclosed in the audited consolidated financial statements of MagnaChip Semiconductor LLC for the year ended December 31, 2006.</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The following summary historical and pro forma condensed consolidated financial information should be read in conjunction with “Capitalization,” “Selected Historical Consolidated Financial and Operating Data of MagnaChip Semiconductor LLC,” “Management’s Discussion and Analysis of Financial Condition and Results of Operations” and our financial statements, including the notes to those financial statements,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7"/>
              </w:rPr>
              <w:t>Historical</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5"/>
              </w:rPr>
              <w:t>Nine months Ended</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September 30, 2007</w:t>
            </w:r>
          </w:p>
        </w:tc>
        <w:tc>
          <w:tcPr>
            <w:tcW w:w="9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Condensed Pro Forma Statements of Operations: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40" w:type="dxa"/>
            <w:vAlign w:val="bottom"/>
            <w:gridSpan w:val="6"/>
          </w:tcPr>
          <w:p>
            <w:pPr>
              <w:ind w:left="980"/>
              <w:spacing w:after="0"/>
              <w:rPr>
                <w:sz w:val="20"/>
                <w:szCs w:val="20"/>
                <w:color w:val="auto"/>
              </w:rPr>
            </w:pPr>
            <w:r>
              <w:rPr>
                <w:rFonts w:ascii="Arial" w:cs="Arial" w:eastAsia="Arial" w:hAnsi="Arial"/>
                <w:sz w:val="14"/>
                <w:szCs w:val="14"/>
                <w:b w:val="1"/>
                <w:bCs w:val="1"/>
                <w:color w:val="auto"/>
                <w:w w:val="98"/>
              </w:rPr>
              <w:t>(in millions, except per common unit / share data)</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74.0</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7"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71.9</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(111.1)</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980" w:type="dxa"/>
            <w:vAlign w:val="bottom"/>
          </w:tcPr>
          <w:p>
            <w:pPr>
              <w:spacing w:after="0"/>
              <w:rPr>
                <w:sz w:val="17"/>
                <w:szCs w:val="17"/>
                <w:color w:val="auto"/>
              </w:rPr>
            </w:pPr>
          </w:p>
        </w:tc>
        <w:tc>
          <w:tcPr>
            <w:tcW w:w="15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(12.2)</w:t>
            </w:r>
            <w:r>
              <w:rPr>
                <w:rFonts w:ascii="Arial" w:cs="Arial" w:eastAsia="Arial" w:hAnsi="Arial"/>
                <w:sz w:val="22"/>
                <w:szCs w:val="22"/>
                <w:color w:val="auto"/>
                <w:vertAlign w:val="superscript"/>
              </w:rPr>
              <w:t>(4)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Other income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(33.4)</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(144.4)</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980" w:type="dxa"/>
            <w:vAlign w:val="bottom"/>
          </w:tcPr>
          <w:p>
            <w:pPr>
              <w:spacing w:after="0"/>
              <w:rPr>
                <w:sz w:val="17"/>
                <w:szCs w:val="17"/>
                <w:color w:val="auto"/>
              </w:rPr>
            </w:pPr>
          </w:p>
        </w:tc>
        <w:tc>
          <w:tcPr>
            <w:tcW w:w="1560" w:type="dxa"/>
            <w:vAlign w:val="bottom"/>
            <w:gridSpan w:val="2"/>
          </w:tcPr>
          <w:p>
            <w:pPr>
              <w:jc w:val="right"/>
              <w:ind w:right="50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9"/>
                <w:szCs w:val="9"/>
                <w:color w:val="auto"/>
              </w:rPr>
              <w:t xml:space="preserve"> (5)</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(151.1)</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stock</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980" w:type="dxa"/>
            <w:vAlign w:val="bottom"/>
          </w:tcPr>
          <w:p>
            <w:pPr>
              <w:spacing w:after="0"/>
              <w:rPr>
                <w:sz w:val="17"/>
                <w:szCs w:val="17"/>
                <w:color w:val="auto"/>
              </w:rPr>
            </w:pPr>
          </w:p>
        </w:tc>
        <w:tc>
          <w:tcPr>
            <w:tcW w:w="156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(8.9)</w:t>
            </w:r>
            <w:r>
              <w:rPr>
                <w:rFonts w:ascii="Arial" w:cs="Arial" w:eastAsia="Arial" w:hAnsi="Arial"/>
                <w:sz w:val="22"/>
                <w:szCs w:val="22"/>
                <w:color w:val="auto"/>
                <w:vertAlign w:val="superscript"/>
              </w:rPr>
              <w:t>(6)</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(159.9)</w:t>
            </w: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 unit / share data:</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(3.03)</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units / shares used in computing net loss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per common unit / share: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52.769</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5140" w:type="dxa"/>
            <w:vAlign w:val="bottom"/>
          </w:tcPr>
          <w:p>
            <w:pPr>
              <w:spacing w:after="0"/>
              <w:rPr>
                <w:sz w:val="20"/>
                <w:szCs w:val="20"/>
                <w:color w:val="auto"/>
              </w:rPr>
            </w:pPr>
            <w:r>
              <w:rPr>
                <w:rFonts w:ascii="Arial" w:cs="Arial" w:eastAsia="Arial" w:hAnsi="Arial"/>
                <w:sz w:val="18"/>
                <w:szCs w:val="18"/>
                <w:b w:val="1"/>
                <w:bCs w:val="1"/>
                <w:color w:val="auto"/>
              </w:rPr>
              <w:t>Condensed Pro Forma Balance Sheets: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61.9</w:t>
            </w: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 net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980" w:type="dxa"/>
            <w:vAlign w:val="bottom"/>
          </w:tcPr>
          <w:p>
            <w:pPr>
              <w:spacing w:after="0"/>
              <w:rPr>
                <w:sz w:val="18"/>
                <w:szCs w:val="18"/>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298.2</w:t>
            </w:r>
          </w:p>
        </w:tc>
        <w:tc>
          <w:tcPr>
            <w:tcW w:w="9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281.0</w:t>
            </w:r>
          </w:p>
        </w:tc>
        <w:tc>
          <w:tcPr>
            <w:tcW w:w="9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9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98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742.3</w:t>
            </w:r>
          </w:p>
        </w:tc>
        <w:tc>
          <w:tcPr>
            <w:tcW w:w="9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jc w:val="right"/>
              <w:ind w:right="13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4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Historical</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September 30, 2007</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6"/>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Unitholders’ Equity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(in millions, except per common unit / share data)</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line="202" w:lineRule="exact"/>
              <w:rPr>
                <w:sz w:val="20"/>
                <w:szCs w:val="20"/>
                <w:color w:val="auto"/>
              </w:rPr>
            </w:pPr>
            <w:r>
              <w:rPr>
                <w:rFonts w:ascii="Arial" w:cs="Arial" w:eastAsia="Arial" w:hAnsi="Arial"/>
                <w:sz w:val="18"/>
                <w:szCs w:val="18"/>
                <w:color w:val="auto"/>
                <w:w w:val="97"/>
              </w:rPr>
              <w:t>Accounts payable</w:t>
            </w:r>
          </w:p>
        </w:tc>
        <w:tc>
          <w:tcPr>
            <w:tcW w:w="3600" w:type="dxa"/>
            <w:vAlign w:val="bottom"/>
          </w:tcPr>
          <w:p>
            <w:pPr>
              <w:spacing w:after="0"/>
              <w:rPr>
                <w:sz w:val="17"/>
                <w:szCs w:val="17"/>
                <w:color w:val="auto"/>
              </w:rPr>
            </w:pPr>
          </w:p>
        </w:tc>
        <w:tc>
          <w:tcPr>
            <w:tcW w:w="60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accounts payable</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31.7</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w:t>
            </w:r>
          </w:p>
        </w:tc>
        <w:tc>
          <w:tcPr>
            <w:tcW w:w="3240" w:type="dxa"/>
            <w:vAlign w:val="bottom"/>
            <w:gridSpan w:val="3"/>
          </w:tcPr>
          <w:p>
            <w:pPr>
              <w:jc w:val="right"/>
              <w:ind w:right="1220"/>
              <w:spacing w:after="0" w:line="202" w:lineRule="exact"/>
              <w:rPr>
                <w:sz w:val="20"/>
                <w:szCs w:val="20"/>
                <w:color w:val="auto"/>
              </w:rPr>
            </w:pPr>
            <w:r>
              <w:rPr>
                <w:rFonts w:ascii="Arial" w:cs="Arial" w:eastAsia="Arial" w:hAnsi="Arial"/>
                <w:sz w:val="23"/>
                <w:szCs w:val="23"/>
                <w:color w:val="auto"/>
                <w:vertAlign w:val="subscript"/>
              </w:rPr>
              <w:t>9.8</w:t>
            </w:r>
            <w:r>
              <w:rPr>
                <w:rFonts w:ascii="Arial" w:cs="Arial" w:eastAsia="Arial" w:hAnsi="Arial"/>
                <w:sz w:val="9"/>
                <w:szCs w:val="9"/>
                <w:color w:val="auto"/>
              </w:rPr>
              <w:t xml:space="preserve"> (3)</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50.6</w:t>
            </w:r>
          </w:p>
        </w:tc>
        <w:tc>
          <w:tcPr>
            <w:tcW w:w="3240" w:type="dxa"/>
            <w:vAlign w:val="bottom"/>
            <w:gridSpan w:val="3"/>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(50.6)</w:t>
            </w:r>
            <w:r>
              <w:rPr>
                <w:rFonts w:ascii="Arial" w:cs="Arial" w:eastAsia="Arial" w:hAnsi="Arial"/>
                <w:sz w:val="22"/>
                <w:szCs w:val="22"/>
                <w:color w:val="auto"/>
                <w:vertAlign w:val="superscript"/>
              </w:rPr>
              <w:t>(7)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1020" w:type="dxa"/>
            <w:vAlign w:val="bottom"/>
          </w:tcPr>
          <w:p>
            <w:pPr>
              <w:spacing w:after="0"/>
              <w:rPr>
                <w:sz w:val="18"/>
                <w:szCs w:val="18"/>
                <w:color w:val="auto"/>
              </w:rPr>
            </w:pPr>
          </w:p>
        </w:tc>
        <w:tc>
          <w:tcPr>
            <w:tcW w:w="22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238.9</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Long-term borrowings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60" w:type="dxa"/>
            <w:vAlign w:val="bottom"/>
          </w:tcPr>
          <w:p>
            <w:pPr>
              <w:spacing w:after="0"/>
              <w:rPr>
                <w:sz w:val="17"/>
                <w:szCs w:val="17"/>
                <w:color w:val="auto"/>
              </w:rPr>
            </w:pPr>
          </w:p>
        </w:tc>
        <w:tc>
          <w:tcPr>
            <w:tcW w:w="3240" w:type="dxa"/>
            <w:vAlign w:val="bottom"/>
            <w:gridSpan w:val="3"/>
          </w:tcPr>
          <w:p>
            <w:pPr>
              <w:jc w:val="right"/>
              <w:ind w:right="1200"/>
              <w:spacing w:after="0" w:line="203" w:lineRule="exact"/>
              <w:rPr>
                <w:sz w:val="20"/>
                <w:szCs w:val="20"/>
                <w:color w:val="auto"/>
              </w:rPr>
            </w:pPr>
            <w:r>
              <w:rPr>
                <w:rFonts w:ascii="Arial" w:cs="Arial" w:eastAsia="Arial" w:hAnsi="Arial"/>
                <w:sz w:val="18"/>
                <w:szCs w:val="18"/>
                <w:color w:val="auto"/>
              </w:rPr>
              <w:t>(149.4)</w:t>
            </w:r>
            <w:r>
              <w:rPr>
                <w:rFonts w:ascii="Arial" w:cs="Arial" w:eastAsia="Arial" w:hAnsi="Arial"/>
                <w:sz w:val="22"/>
                <w:szCs w:val="22"/>
                <w:color w:val="auto"/>
                <w:vertAlign w:val="superscript"/>
              </w:rPr>
              <w:t>(7)</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72.3</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1,068.2</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Series A redeemable convertible preferred units; 60,000</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units authorized, 50,091 units issued and 0 units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outstanding at September 30, 2007 and December 31,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2006, actual and pro forma</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140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Series B redeemable convertible preferred units stated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value $1,000 per unit; 550,000 units authorized,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450,692 units issued and 93,997 units outstanding at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September 30, 2007 and December 31, 2006, actual,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 units issued and outstanding at 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126.2</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20" w:type="dxa"/>
            <w:vAlign w:val="bottom"/>
            <w:gridSpan w:val="2"/>
          </w:tcPr>
          <w:p>
            <w:pPr>
              <w:jc w:val="right"/>
              <w:ind w:right="1200"/>
              <w:spacing w:after="0" w:line="200" w:lineRule="exact"/>
              <w:rPr>
                <w:sz w:val="20"/>
                <w:szCs w:val="20"/>
                <w:color w:val="auto"/>
              </w:rPr>
            </w:pPr>
            <w:r>
              <w:rPr>
                <w:rFonts w:ascii="Arial" w:cs="Arial" w:eastAsia="Arial" w:hAnsi="Arial"/>
                <w:sz w:val="18"/>
                <w:szCs w:val="18"/>
                <w:color w:val="auto"/>
              </w:rPr>
              <w:t>(126.2)</w:t>
            </w:r>
            <w:r>
              <w:rPr>
                <w:rFonts w:ascii="Arial" w:cs="Arial" w:eastAsia="Arial" w:hAnsi="Arial"/>
                <w:sz w:val="22"/>
                <w:szCs w:val="22"/>
                <w:color w:val="auto"/>
                <w:vertAlign w:val="superscript"/>
              </w:rPr>
              <w:t>(8)</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units</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Series B preferred stock; 0 shares authorized, issued and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outstanding at September 30, 2007, actual,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shares issued and outstanding, at 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2220" w:type="dxa"/>
            <w:vAlign w:val="bottom"/>
            <w:gridSpan w:val="2"/>
          </w:tcPr>
          <w:p>
            <w:pPr>
              <w:jc w:val="right"/>
              <w:ind w:right="1400"/>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Unitholders’ / stockholders'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Common units; 65,000,000 units authorized, 52,831,722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issued and outstanding at September 30, 2007,</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actual, 0 units issued and outstanding at September</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30, 2007, pro forma</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52.8</w:t>
            </w:r>
          </w:p>
        </w:tc>
        <w:tc>
          <w:tcPr>
            <w:tcW w:w="3240" w:type="dxa"/>
            <w:vAlign w:val="bottom"/>
            <w:gridSpan w:val="3"/>
          </w:tcPr>
          <w:p>
            <w:pPr>
              <w:jc w:val="right"/>
              <w:ind w:right="1340"/>
              <w:spacing w:after="0" w:line="200" w:lineRule="exact"/>
              <w:rPr>
                <w:sz w:val="20"/>
                <w:szCs w:val="20"/>
                <w:color w:val="auto"/>
              </w:rPr>
            </w:pPr>
            <w:r>
              <w:rPr>
                <w:rFonts w:ascii="Arial" w:cs="Arial" w:eastAsia="Arial" w:hAnsi="Arial"/>
                <w:sz w:val="18"/>
                <w:szCs w:val="18"/>
                <w:color w:val="auto"/>
              </w:rPr>
              <w:t>(52.8)</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0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Common stock; 100,000,000 shares authorized, 0 shares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issued and outstanding at September 30, 2007,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actual,</w:t>
            </w: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issued and outstanding at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September 30, 2007, pro forma</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(531.8)</w:t>
            </w:r>
          </w:p>
        </w:tc>
        <w:tc>
          <w:tcPr>
            <w:tcW w:w="3240" w:type="dxa"/>
            <w:vAlign w:val="bottom"/>
            <w:gridSpan w:val="3"/>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(9.8)</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unitholders’ / stockholders' equity</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(452.2)</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units</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and unitholders’ / stockholders' equity</w:t>
            </w:r>
          </w:p>
        </w:tc>
        <w:tc>
          <w:tcPr>
            <w:tcW w:w="600" w:type="dxa"/>
            <w:vAlign w:val="bottom"/>
            <w:gridSpan w:val="2"/>
          </w:tcPr>
          <w:p>
            <w:pPr>
              <w:ind w:left="500"/>
              <w:spacing w:after="0" w:line="200"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742.3</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73"/>
              <w:spacing w:after="0"/>
              <w:rPr>
                <w:sz w:val="20"/>
                <w:szCs w:val="20"/>
                <w:color w:val="auto"/>
              </w:rPr>
            </w:pPr>
            <w:r>
              <w:rPr>
                <w:rFonts w:ascii="Arial" w:cs="Arial" w:eastAsia="Arial" w:hAnsi="Arial"/>
                <w:sz w:val="18"/>
                <w:szCs w:val="18"/>
                <w:color w:val="auto"/>
                <w:w w:val="99"/>
              </w:rPr>
              <w:t>35</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Selected Unaudited Pro Forma Consolidated Financial Information</w:t>
      </w:r>
    </w:p>
    <w:p>
      <w:pPr>
        <w:spacing w:after="0" w:line="99" w:lineRule="exact"/>
        <w:rPr>
          <w:sz w:val="20"/>
          <w:szCs w:val="20"/>
          <w:color w:val="auto"/>
        </w:rPr>
      </w:pPr>
    </w:p>
    <w:p>
      <w:pPr>
        <w:ind w:right="20" w:firstLine="579"/>
        <w:spacing w:after="0" w:line="264" w:lineRule="auto"/>
        <w:tabs>
          <w:tab w:leader="none" w:pos="83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corporate reorganization adjustments in the unaudited pro forma consolidated financial information for the nine months ended September 30, 2007 assume (a) the consummation of the corporate reorganization of MagnaChip Semiconductor LLC and the effectiveness of our amended and restated certificate of incorporation, which is expected to occur prior to the closing of this offering, (b) the exchange of all of the</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outstanding common units of MagnaChip Semiconductor LLC for shares of our common stock at a ratio of and (c) the exchange of all of the outstanding Series B preferred units of MagnaChip Semiconductor LLC for shares of our Series B preferred stock at a ratio of 1:1.</w:t>
      </w:r>
    </w:p>
    <w:p>
      <w:pPr>
        <w:spacing w:after="0" w:line="155" w:lineRule="exact"/>
        <w:rPr>
          <w:sz w:val="20"/>
          <w:szCs w:val="20"/>
          <w:color w:val="auto"/>
        </w:rPr>
      </w:pPr>
    </w:p>
    <w:p>
      <w:pPr>
        <w:jc w:val="both"/>
        <w:ind w:firstLine="579"/>
        <w:spacing w:after="0" w:line="237"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offering adjustments in the unaudited pro forma consolidated financial information for the nine months ended September 30, 2007 assume the application of (a) $200.0 million of net proceeds from this offering to repay a portion of our outstanding indebtedness under our notes and our senior secured credit facility and (b) $126.2 million of net proceeds from this offering to redeem all of our Series B preferred stock, together with accrued and unpaid dividends thereon through the closing date of this offering.</w:t>
      </w:r>
    </w:p>
    <w:p>
      <w:pPr>
        <w:spacing w:after="0" w:line="154" w:lineRule="exact"/>
        <w:rPr>
          <w:rFonts w:ascii="Arial" w:cs="Arial" w:eastAsia="Arial" w:hAnsi="Arial"/>
          <w:sz w:val="18"/>
          <w:szCs w:val="18"/>
          <w:color w:val="auto"/>
        </w:rPr>
      </w:pPr>
    </w:p>
    <w:p>
      <w:pPr>
        <w:ind w:right="360" w:firstLine="579"/>
        <w:spacing w:after="0" w:line="238"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expect to pay certain amounts in connection with the termination of our sponsors’ advisory agreements, which will result directly from this offering and which will be included in our statement of operations within 12 months following this offering. These charges are not expected to have a continuing impact and, therefore, have not been included in our pro forma statements of operations.</w:t>
      </w:r>
    </w:p>
    <w:p>
      <w:pPr>
        <w:spacing w:after="0" w:line="149" w:lineRule="exact"/>
        <w:rPr>
          <w:rFonts w:ascii="Arial" w:cs="Arial" w:eastAsia="Arial" w:hAnsi="Arial"/>
          <w:sz w:val="18"/>
          <w:szCs w:val="18"/>
          <w:color w:val="auto"/>
        </w:rPr>
      </w:pPr>
    </w:p>
    <w:p>
      <w:pPr>
        <w:ind w:left="840" w:hanging="261"/>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expense, net, reflects the assumed application of $200.0 million of net proceeds from this offering to repay a portion of the</w:t>
      </w:r>
    </w:p>
    <w:p>
      <w:pPr>
        <w:ind w:right="20"/>
        <w:spacing w:after="0" w:line="236" w:lineRule="auto"/>
        <w:rPr>
          <w:sz w:val="20"/>
          <w:szCs w:val="20"/>
          <w:color w:val="auto"/>
        </w:rPr>
      </w:pPr>
      <w:r>
        <w:rPr>
          <w:rFonts w:ascii="Arial" w:cs="Arial" w:eastAsia="Arial" w:hAnsi="Arial"/>
          <w:sz w:val="18"/>
          <w:szCs w:val="18"/>
          <w:color w:val="auto"/>
        </w:rPr>
        <w:t>$800.6 million of our outstanding indebtedness at September 30, 2007, including the senior secured credit facility and notes. The adjustment is based on the assumption that the proceeds will be applied first to repay the outstanding balance on the short-term borrowing, which consists of the senior secured credit facility and the remaining amount applied to repay a portion of the long-term debt, which consists of our notes. The resulting reduction of interest expense from the repayment of our indebtedness would have been $12.2 million for the nine months ended September 30, 2007, which was calculated using the weighted average interest rate of 8.1% which includes the interest rates of both the senior secured credit facility and the notes at September 30, 2007.</w:t>
      </w:r>
    </w:p>
    <w:p>
      <w:pPr>
        <w:spacing w:after="0" w:line="156" w:lineRule="exact"/>
        <w:rPr>
          <w:sz w:val="20"/>
          <w:szCs w:val="20"/>
          <w:color w:val="auto"/>
        </w:rPr>
      </w:pPr>
    </w:p>
    <w:p>
      <w:pPr>
        <w:ind w:left="840" w:hanging="261"/>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our effective tax rate will not change as a result of the corporate reorganization.</w:t>
      </w:r>
    </w:p>
    <w:p>
      <w:pPr>
        <w:spacing w:after="0" w:line="157" w:lineRule="exact"/>
        <w:rPr>
          <w:rFonts w:ascii="Arial" w:cs="Arial" w:eastAsia="Arial" w:hAnsi="Arial"/>
          <w:sz w:val="18"/>
          <w:szCs w:val="18"/>
          <w:color w:val="auto"/>
        </w:rPr>
      </w:pPr>
    </w:p>
    <w:p>
      <w:pPr>
        <w:ind w:right="20" w:firstLine="579"/>
        <w:spacing w:after="0" w:line="275" w:lineRule="auto"/>
        <w:tabs>
          <w:tab w:leader="none" w:pos="8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Dividends accrued on preferred stock reflects the assumed application of $126.2 million of net proceeds from this offering to repurchase all of our outstanding Series B preferred stock at September 30, 2007. The resulting reduction in dividends accrued on preferred stock due to the assumed repurchase of all of our outstanding Series B preferred stock was $8.9 million for the nine months ended September 30, 2007, which was calculated using the stated dividend rate on the Series B preferred units of MagnaChip Semiconductor LLC of 10.0% per annum.</w:t>
      </w:r>
    </w:p>
    <w:p>
      <w:pPr>
        <w:spacing w:after="0" w:line="129" w:lineRule="exact"/>
        <w:rPr>
          <w:rFonts w:ascii="Arial" w:cs="Arial" w:eastAsia="Arial" w:hAnsi="Arial"/>
          <w:sz w:val="16"/>
          <w:szCs w:val="16"/>
          <w:color w:val="auto"/>
        </w:rPr>
      </w:pPr>
    </w:p>
    <w:p>
      <w:pPr>
        <w:ind w:right="60" w:firstLine="579"/>
        <w:spacing w:after="0" w:line="237" w:lineRule="auto"/>
        <w:tabs>
          <w:tab w:leader="none" w:pos="8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Short-term borrowing and long-term debt reflects the assumed application of $200.0 million of net proceeds from this offering to repay a portion of our $800.6 million of outstanding indebtedness at September 30, 2007, including the senior secured credit facility and notes. This adjustment was based on the assumption that the proceeds would have been applied first to repay the outstanding balance on the short-term borrowing and the remaining amount applied to repay a portion of the long term debt.</w:t>
      </w:r>
    </w:p>
    <w:p>
      <w:pPr>
        <w:spacing w:after="0" w:line="154" w:lineRule="exact"/>
        <w:rPr>
          <w:rFonts w:ascii="Arial" w:cs="Arial" w:eastAsia="Arial" w:hAnsi="Arial"/>
          <w:sz w:val="18"/>
          <w:szCs w:val="18"/>
          <w:color w:val="auto"/>
        </w:rPr>
      </w:pPr>
    </w:p>
    <w:p>
      <w:pPr>
        <w:ind w:right="500" w:firstLine="579"/>
        <w:spacing w:after="0" w:line="239" w:lineRule="auto"/>
        <w:tabs>
          <w:tab w:leader="none" w:pos="8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Preferred units/shares reflects the assumed application of $126.2 million of net proceeds from this offering to repurchase all of our outstanding Series B preferred stock at September 30, 2007.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940"/>
              <w:spacing w:after="0" w:line="156" w:lineRule="exact"/>
              <w:rPr>
                <w:sz w:val="20"/>
                <w:szCs w:val="20"/>
                <w:color w:val="auto"/>
              </w:rPr>
            </w:pPr>
            <w:r>
              <w:rPr>
                <w:rFonts w:ascii="Arial" w:cs="Arial" w:eastAsia="Arial" w:hAnsi="Arial"/>
                <w:sz w:val="14"/>
                <w:szCs w:val="14"/>
                <w:b w:val="1"/>
                <w:bCs w:val="1"/>
                <w:color w:val="auto"/>
                <w:w w:val="97"/>
              </w:rPr>
              <w:t>Historical</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2006</w:t>
            </w:r>
          </w:p>
        </w:tc>
        <w:tc>
          <w:tcPr>
            <w:tcW w:w="8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2006</w:t>
            </w:r>
            <w:r>
              <w:rPr>
                <w:rFonts w:ascii="Arial" w:cs="Arial" w:eastAsia="Arial" w:hAnsi="Arial"/>
                <w:sz w:val="10"/>
                <w:szCs w:val="10"/>
                <w:b w:val="1"/>
                <w:bCs w:val="1"/>
                <w:color w:val="auto"/>
              </w:rPr>
              <w:t>(1)(2)(3)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60" w:type="dxa"/>
            <w:vAlign w:val="bottom"/>
            <w:gridSpan w:val="5"/>
          </w:tcPr>
          <w:p>
            <w:pPr>
              <w:ind w:left="700"/>
              <w:spacing w:after="0" w:line="125" w:lineRule="exact"/>
              <w:rPr>
                <w:sz w:val="20"/>
                <w:szCs w:val="20"/>
                <w:color w:val="auto"/>
              </w:rPr>
            </w:pPr>
            <w:r>
              <w:rPr>
                <w:rFonts w:ascii="Arial" w:cs="Arial" w:eastAsia="Arial" w:hAnsi="Arial"/>
                <w:sz w:val="14"/>
                <w:szCs w:val="14"/>
                <w:b w:val="1"/>
                <w:bCs w:val="1"/>
                <w:color w:val="auto"/>
                <w:w w:val="96"/>
              </w:rPr>
              <w:t>(in millions, except per common unit/share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Condensed Pro Forma Statements of Operations: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2"/>
          </w:tcPr>
          <w:p>
            <w:pPr>
              <w:jc w:val="right"/>
              <w:ind w:right="1052"/>
              <w:spacing w:after="0"/>
              <w:rPr>
                <w:sz w:val="20"/>
                <w:szCs w:val="20"/>
                <w:color w:val="auto"/>
              </w:rPr>
            </w:pPr>
            <w:r>
              <w:rPr>
                <w:rFonts w:ascii="Arial" w:cs="Arial" w:eastAsia="Arial" w:hAnsi="Arial"/>
                <w:sz w:val="14"/>
                <w:szCs w:val="14"/>
                <w:b w:val="1"/>
                <w:bCs w:val="1"/>
                <w:color w:val="auto"/>
              </w:rPr>
              <w:t>data)</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744.4</w:t>
            </w:r>
          </w:p>
        </w:tc>
        <w:tc>
          <w:tcPr>
            <w:tcW w:w="8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644.9</w:t>
            </w:r>
          </w:p>
        </w:tc>
        <w:tc>
          <w:tcPr>
            <w:tcW w:w="8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820" w:type="dxa"/>
            <w:vAlign w:val="bottom"/>
          </w:tcPr>
          <w:p>
            <w:pPr>
              <w:spacing w:after="0"/>
              <w:rPr>
                <w:sz w:val="17"/>
                <w:szCs w:val="17"/>
                <w:color w:val="auto"/>
              </w:rPr>
            </w:pPr>
          </w:p>
        </w:tc>
        <w:tc>
          <w:tcPr>
            <w:tcW w:w="1760" w:type="dxa"/>
            <w:vAlign w:val="bottom"/>
            <w:gridSpan w:val="2"/>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8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7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w:t>
            </w:r>
          </w:p>
        </w:tc>
        <w:tc>
          <w:tcPr>
            <w:tcW w:w="8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(213.8)</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820" w:type="dxa"/>
            <w:vAlign w:val="bottom"/>
          </w:tcPr>
          <w:p>
            <w:pPr>
              <w:spacing w:after="0"/>
              <w:rPr>
                <w:sz w:val="17"/>
                <w:szCs w:val="17"/>
                <w:color w:val="auto"/>
              </w:rPr>
            </w:pPr>
          </w:p>
        </w:tc>
        <w:tc>
          <w:tcPr>
            <w:tcW w:w="1760" w:type="dxa"/>
            <w:vAlign w:val="bottom"/>
            <w:gridSpan w:val="2"/>
          </w:tcPr>
          <w:p>
            <w:pPr>
              <w:jc w:val="right"/>
              <w:ind w:right="672"/>
              <w:spacing w:after="0" w:line="203" w:lineRule="exact"/>
              <w:rPr>
                <w:sz w:val="20"/>
                <w:szCs w:val="20"/>
                <w:color w:val="auto"/>
              </w:rPr>
            </w:pPr>
            <w:r>
              <w:rPr>
                <w:rFonts w:ascii="Arial" w:cs="Arial" w:eastAsia="Arial" w:hAnsi="Arial"/>
                <w:sz w:val="18"/>
                <w:szCs w:val="18"/>
                <w:color w:val="auto"/>
              </w:rPr>
              <w:t>(16.2)</w:t>
            </w:r>
            <w:r>
              <w:rPr>
                <w:rFonts w:ascii="Arial" w:cs="Arial" w:eastAsia="Arial" w:hAnsi="Arial"/>
                <w:sz w:val="22"/>
                <w:szCs w:val="22"/>
                <w:color w:val="auto"/>
                <w:vertAlign w:val="superscript"/>
              </w:rPr>
              <w:t>(4)</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8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(220.1)</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120" w:type="dxa"/>
            <w:vAlign w:val="bottom"/>
          </w:tcPr>
          <w:p>
            <w:pPr>
              <w:spacing w:after="0"/>
              <w:rPr>
                <w:sz w:val="17"/>
                <w:szCs w:val="17"/>
                <w:color w:val="auto"/>
              </w:rPr>
            </w:pPr>
          </w:p>
        </w:tc>
        <w:tc>
          <w:tcPr>
            <w:tcW w:w="160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9.3</w:t>
            </w:r>
          </w:p>
        </w:tc>
        <w:tc>
          <w:tcPr>
            <w:tcW w:w="1760" w:type="dxa"/>
            <w:vAlign w:val="bottom"/>
            <w:gridSpan w:val="2"/>
          </w:tcPr>
          <w:p>
            <w:pPr>
              <w:jc w:val="right"/>
              <w:ind w:right="712"/>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(5)</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(229.3)</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stock</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820" w:type="dxa"/>
            <w:vAlign w:val="bottom"/>
          </w:tcPr>
          <w:p>
            <w:pPr>
              <w:spacing w:after="0"/>
              <w:rPr>
                <w:sz w:val="17"/>
                <w:szCs w:val="17"/>
                <w:color w:val="auto"/>
              </w:rPr>
            </w:pPr>
          </w:p>
        </w:tc>
        <w:tc>
          <w:tcPr>
            <w:tcW w:w="1760" w:type="dxa"/>
            <w:vAlign w:val="bottom"/>
            <w:gridSpan w:val="2"/>
          </w:tcPr>
          <w:p>
            <w:pPr>
              <w:jc w:val="right"/>
              <w:ind w:right="672"/>
              <w:spacing w:after="0" w:line="203" w:lineRule="exact"/>
              <w:rPr>
                <w:sz w:val="20"/>
                <w:szCs w:val="20"/>
                <w:color w:val="auto"/>
              </w:rPr>
            </w:pPr>
            <w:r>
              <w:rPr>
                <w:rFonts w:ascii="Arial" w:cs="Arial" w:eastAsia="Arial" w:hAnsi="Arial"/>
                <w:sz w:val="18"/>
                <w:szCs w:val="18"/>
                <w:color w:val="auto"/>
              </w:rPr>
              <w:t>(10.9)</w:t>
            </w:r>
            <w:r>
              <w:rPr>
                <w:rFonts w:ascii="Arial" w:cs="Arial" w:eastAsia="Arial" w:hAnsi="Arial"/>
                <w:sz w:val="22"/>
                <w:szCs w:val="22"/>
                <w:color w:val="auto"/>
                <w:vertAlign w:val="superscript"/>
              </w:rPr>
              <w:t>(6)</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 / share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(240.2)</w:t>
            </w: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Per unit / share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common unit / share: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880"/>
              <w:spacing w:after="0" w:line="202" w:lineRule="exact"/>
              <w:rPr>
                <w:sz w:val="20"/>
                <w:szCs w:val="20"/>
                <w:color w:val="auto"/>
              </w:rPr>
            </w:pPr>
            <w:r>
              <w:rPr>
                <w:rFonts w:ascii="Arial" w:cs="Arial" w:eastAsia="Arial" w:hAnsi="Arial"/>
                <w:sz w:val="18"/>
                <w:szCs w:val="18"/>
                <w:color w:val="auto"/>
              </w:rPr>
              <w:t>Basic and diluted</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(4.54)</w:t>
            </w: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units / shares used in computing net loss per common unit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share: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880"/>
              <w:spacing w:after="0"/>
              <w:rPr>
                <w:sz w:val="20"/>
                <w:szCs w:val="20"/>
                <w:color w:val="auto"/>
              </w:rPr>
            </w:pPr>
            <w:r>
              <w:rPr>
                <w:rFonts w:ascii="Arial" w:cs="Arial" w:eastAsia="Arial" w:hAnsi="Arial"/>
                <w:sz w:val="18"/>
                <w:szCs w:val="18"/>
                <w:color w:val="auto"/>
              </w:rPr>
              <w:t>Basic and diluted</w:t>
            </w:r>
          </w:p>
        </w:tc>
        <w:tc>
          <w:tcPr>
            <w:tcW w:w="12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52.912</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Selected Unaudited Pro Forma Consolidated Financial Data</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corporate reorganization adjustments in the unaudited pro forma consolidated financial information for the year ended</w:t>
      </w:r>
    </w:p>
    <w:p>
      <w:pPr>
        <w:spacing w:after="0"/>
        <w:rPr>
          <w:sz w:val="20"/>
          <w:szCs w:val="20"/>
          <w:color w:val="auto"/>
        </w:rPr>
      </w:pPr>
      <w:r>
        <w:rPr>
          <w:rFonts w:ascii="Arial" w:cs="Arial" w:eastAsia="Arial" w:hAnsi="Arial"/>
          <w:sz w:val="16"/>
          <w:szCs w:val="16"/>
          <w:color w:val="auto"/>
        </w:rPr>
        <w:t>December 31, 2006 assume (a) the consummation of the corporate reorganization of MagnaChip Semiconductor LLC and the effectiveness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which is expected to occur prior to the closing of this offering, (b) the exchange of all of the</w:t>
      </w:r>
    </w:p>
    <w:p>
      <w:pPr>
        <w:ind w:right="160"/>
        <w:spacing w:after="0" w:line="239" w:lineRule="auto"/>
        <w:rPr>
          <w:sz w:val="20"/>
          <w:szCs w:val="20"/>
          <w:color w:val="auto"/>
        </w:rPr>
      </w:pPr>
      <w:r>
        <w:rPr>
          <w:rFonts w:ascii="Arial" w:cs="Arial" w:eastAsia="Arial" w:hAnsi="Arial"/>
          <w:sz w:val="18"/>
          <w:szCs w:val="18"/>
          <w:color w:val="auto"/>
        </w:rPr>
        <w:t>outstanding common units of MagnaChip Semiconductor LLC for shares of our common stock at a ratio of and (c) the exchange of all of the outstanding Series B preferred units of MagnaChip Semiconductor LLC for shares of our Series B preferred stock at a ratio of 1:1.</w:t>
      </w:r>
    </w:p>
    <w:p>
      <w:pPr>
        <w:spacing w:after="0" w:line="155" w:lineRule="exact"/>
        <w:rPr>
          <w:sz w:val="20"/>
          <w:szCs w:val="20"/>
          <w:color w:val="auto"/>
        </w:rPr>
      </w:pPr>
    </w:p>
    <w:p>
      <w:pPr>
        <w:jc w:val="both"/>
        <w:ind w:right="180" w:firstLine="579"/>
        <w:spacing w:after="0" w:line="237" w:lineRule="auto"/>
        <w:tabs>
          <w:tab w:leader="none" w:pos="8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offering adjustments in the unaudited pro forma consolidated financial information for the year ended December 31, 2006 assume the application of (a) $200.0 million of net proceeds from this offering to repay a portion of our outstanding indebtedness under the notes and our senior secured credit facility and (b) $117.4 million of net proceeds from this offering to redeem all of our Series B preferred stock, together with accrued and unpaid dividends thereon through the closing date of this offering.</w:t>
      </w:r>
    </w:p>
    <w:p>
      <w:pPr>
        <w:spacing w:after="0" w:line="154" w:lineRule="exact"/>
        <w:rPr>
          <w:rFonts w:ascii="Arial" w:cs="Arial" w:eastAsia="Arial" w:hAnsi="Arial"/>
          <w:sz w:val="18"/>
          <w:szCs w:val="18"/>
          <w:color w:val="auto"/>
        </w:rPr>
      </w:pPr>
    </w:p>
    <w:p>
      <w:pPr>
        <w:ind w:right="380" w:firstLine="579"/>
        <w:spacing w:after="0" w:line="238" w:lineRule="auto"/>
        <w:tabs>
          <w:tab w:leader="none" w:pos="8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expect to pay certain amounts in connection with the termination of our sponsors’ advisory agreements, which will result directly from this offering and which will be included in our statement of operations within 12 months following this offering. These charges are not expected to have a continuing impact and, therefore, have not been included in our pro forma statements of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60" w:firstLine="579"/>
        <w:spacing w:after="0" w:line="234" w:lineRule="auto"/>
        <w:tabs>
          <w:tab w:leader="none" w:pos="8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net, reflects the assumed application of $200.0 million of net proceeds from this offering to repay a portion of our $750.0 million of outstanding indebtedness at December 31, 2006, including the senior secured credit facility and notes. The adjustment was based on the assumption that the proceeds would have been applied first to repay the outstanding balance on the</w:t>
      </w:r>
    </w:p>
    <w:p>
      <w:pPr>
        <w:spacing w:after="0" w:line="2" w:lineRule="exact"/>
        <w:rPr>
          <w:rFonts w:ascii="Arial" w:cs="Arial" w:eastAsia="Arial" w:hAnsi="Arial"/>
          <w:sz w:val="18"/>
          <w:szCs w:val="18"/>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short-term borrowing, which consists of the senior secured credit facility and the remaining amount applied to repay a portion of the long-term debt. The resulting reduction of interest expense from the repayment of our indebtedness would have been $16.2 million for the year ended December 31, 2006, which was calculated using the weighted average interest rate of 8.1% which includes the interest rates of both the senior secured credit facility and the notes at December 31, 2006.</w:t>
      </w:r>
    </w:p>
    <w:p>
      <w:pPr>
        <w:spacing w:after="0" w:line="154" w:lineRule="exact"/>
        <w:rPr>
          <w:rFonts w:ascii="Arial" w:cs="Arial" w:eastAsia="Arial" w:hAnsi="Arial"/>
          <w:sz w:val="18"/>
          <w:szCs w:val="18"/>
          <w:color w:val="auto"/>
        </w:rPr>
      </w:pPr>
    </w:p>
    <w:p>
      <w:pPr>
        <w:ind w:left="840" w:hanging="261"/>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believe our effective tax rate will not change as a result of the corporate reorganization.</w:t>
      </w:r>
    </w:p>
    <w:p>
      <w:pPr>
        <w:spacing w:after="0" w:line="157" w:lineRule="exact"/>
        <w:rPr>
          <w:rFonts w:ascii="Arial" w:cs="Arial" w:eastAsia="Arial" w:hAnsi="Arial"/>
          <w:sz w:val="18"/>
          <w:szCs w:val="18"/>
          <w:color w:val="auto"/>
        </w:rPr>
      </w:pPr>
    </w:p>
    <w:p>
      <w:pPr>
        <w:ind w:right="40" w:firstLine="579"/>
        <w:spacing w:after="0" w:line="275" w:lineRule="auto"/>
        <w:tabs>
          <w:tab w:leader="none" w:pos="8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Dividends accrued on preferred stock reflects the assumed application of $117.4 million of net proceeds from this offering to repurchase all of our outstanding Series B preferred stock at December 31, 2006. The resulting reduction in dividends accrued on preferred stock due to the assumed repurchase of all of our outstanding Series B preferred stock was $10.9 million for the year ended December 31, 2006, which was calculated using the stated dividend rate on the Series B preferred units of MagnaChip Semiconductor LLC of 10.0% per annum.</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4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The following discussion and analysis should be read in conjunction with the “Selected Historical Consolidated Financial and Operating Data of MagnaChip Semiconductor LLC”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color w:val="auto"/>
        </w:rPr>
        <w:t>We are an Asia-based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w:t>
      </w:r>
    </w:p>
    <w:p>
      <w:pPr>
        <w:spacing w:after="0" w:line="133"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maintain our position as a leading provider of semiconductor products and services in the segments in which we compete.</w:t>
      </w:r>
    </w:p>
    <w:p>
      <w:pPr>
        <w:spacing w:after="0" w:line="156"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In addition, we seek to manage our inventories and manufacturing capacity so as to preclude losses from inevitable product and productive capacity obsolescence.</w:t>
      </w:r>
    </w:p>
    <w:p>
      <w:pPr>
        <w:spacing w:after="0" w:line="15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 large and rapidly growing, driven by consumers seeking to enjoy rich media content, such as digital and high definition audio and video, mobile television, games and digital photography. As a company,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target to 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 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Asia-based operations.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5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56"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LG.Philips LCD, Sharp, and Samsung, enhance our visibility into new product opportunities, market and technology trends and improve our ability to meet these challenges successfully.</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7"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2008. We have identified these segments based on how we allocate resources and assess our performance.</w:t>
      </w:r>
    </w:p>
    <w:p>
      <w:pPr>
        <w:spacing w:after="0" w:line="25" w:lineRule="exact"/>
        <w:rPr>
          <w:sz w:val="20"/>
          <w:szCs w:val="20"/>
          <w:color w:val="auto"/>
        </w:rPr>
      </w:pPr>
    </w:p>
    <w:p>
      <w:pPr>
        <w:jc w:val="both"/>
        <w:ind w:left="820" w:right="80" w:hanging="245"/>
        <w:spacing w:after="0" w:line="293"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w:t>
      </w:r>
      <w:r>
        <w:rPr>
          <w:rFonts w:ascii="Arial" w:cs="Arial" w:eastAsia="Arial" w:hAnsi="Arial"/>
          <w:sz w:val="16"/>
          <w:szCs w:val="16"/>
          <w:i w:val="1"/>
          <w:iCs w:val="1"/>
          <w:color w:val="auto"/>
        </w:rPr>
        <w:t xml:space="preserve"> </w:t>
      </w:r>
      <w:r>
        <w:rPr>
          <w:rFonts w:ascii="Arial" w:cs="Arial" w:eastAsia="Arial" w:hAnsi="Arial"/>
          <w:sz w:val="16"/>
          <w:szCs w:val="16"/>
          <w:color w:val="auto"/>
        </w:rPr>
        <w:t>in digital televisions, mobile phones, LCD monitors, notebook computers and mobile multimedia devices, such as handheld games. Our products cover a broad range of interfaces, packages and technologies, including AMOLED, LTPS and TFT technologies.</w:t>
      </w:r>
    </w:p>
    <w:p>
      <w:pPr>
        <w:spacing w:after="0" w:line="14" w:lineRule="exact"/>
        <w:rPr>
          <w:rFonts w:ascii="Arial" w:cs="Arial" w:eastAsia="Arial" w:hAnsi="Arial"/>
          <w:sz w:val="16"/>
          <w:szCs w:val="16"/>
          <w:color w:val="auto"/>
        </w:rPr>
      </w:pPr>
    </w:p>
    <w:p>
      <w:pPr>
        <w:ind w:left="820" w:hanging="245"/>
        <w:spacing w:after="0" w:line="24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Our Imaging Solutions segment covers a broad spectrum of videographics array, or VGA; 1.3, 2.1 and 3.2 megapixel,</w:t>
      </w:r>
      <w:r>
        <w:rPr>
          <w:rFonts w:ascii="Arial" w:cs="Arial" w:eastAsia="Arial" w:hAnsi="Arial"/>
          <w:sz w:val="18"/>
          <w:szCs w:val="18"/>
          <w:i w:val="1"/>
          <w:iCs w:val="1"/>
          <w:color w:val="auto"/>
        </w:rPr>
        <w:t xml:space="preserve"> </w:t>
      </w:r>
      <w:r>
        <w:rPr>
          <w:rFonts w:ascii="Arial" w:cs="Arial" w:eastAsia="Arial" w:hAnsi="Arial"/>
          <w:sz w:val="18"/>
          <w:szCs w:val="18"/>
          <w:color w:val="auto"/>
        </w:rPr>
        <w:t>or MP; CMOS image sensors for large and rapidly growing camera-equipped applications, such as mobile handsets, PCs, digital cameras,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8" w:lineRule="auto"/>
        <w:rPr>
          <w:sz w:val="20"/>
          <w:szCs w:val="20"/>
          <w:color w:val="auto"/>
        </w:rPr>
      </w:pPr>
      <w:r>
        <w:rPr>
          <w:rFonts w:ascii="Arial" w:cs="Arial" w:eastAsia="Arial" w:hAnsi="Arial"/>
          <w:sz w:val="18"/>
          <w:szCs w:val="18"/>
          <w:color w:val="auto"/>
        </w:rPr>
        <w:t>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68" w:lineRule="exact"/>
        <w:rPr>
          <w:sz w:val="20"/>
          <w:szCs w:val="20"/>
          <w:color w:val="auto"/>
        </w:rPr>
      </w:pPr>
    </w:p>
    <w:p>
      <w:pPr>
        <w:ind w:left="820" w:right="20" w:hanging="245"/>
        <w:spacing w:after="0" w:line="23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Our Semiconductor Manufacturing Services segment manufactures wafers for analog and</w:t>
      </w:r>
      <w:r>
        <w:rPr>
          <w:rFonts w:ascii="Arial" w:cs="Arial" w:eastAsia="Arial" w:hAnsi="Arial"/>
          <w:sz w:val="18"/>
          <w:szCs w:val="18"/>
          <w:i w:val="1"/>
          <w:iCs w:val="1"/>
          <w:color w:val="auto"/>
        </w:rPr>
        <w:t xml:space="preserve"> </w:t>
      </w:r>
      <w:r>
        <w:rPr>
          <w:rFonts w:ascii="Arial" w:cs="Arial" w:eastAsia="Arial" w:hAnsi="Arial"/>
          <w:sz w:val="18"/>
          <w:szCs w:val="18"/>
          <w:color w:val="auto"/>
        </w:rPr>
        <w:t>mixed-signal semiconductor companies based on their designs. We offer over 170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Sources</w:t>
      </w:r>
    </w:p>
    <w:p>
      <w:pPr>
        <w:spacing w:after="0" w:line="7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We derive a majority of our sales (net of sales returns and allowances) from three reportable segments: Display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Imaging Solutions and Semiconductor Manufacturing Services. Our non-segmented other net sales consist principally of rental and unit processing business activities. In unit processing, we execute a limited number of process steps, rather than the entire production sequence, in the manufacture of semiconductor wafers for one customer. Our product inventory is primarily located in Korea and is available for drop shipment globally. Outside of Korea, we maintain limited amounts of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the United Kingdom and the United States. Our network of authorized agents and distributors consists of agents in the United States and Europe and distributors and agents in the Asia Pacific region.</w:t>
      </w:r>
    </w:p>
    <w:p>
      <w:pPr>
        <w:spacing w:after="0" w:line="15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generally recognize revenue when we deliver products to an end customer’s location when risk and reward of ownership passes to the customer. In the first nine months of 2007, we sold products to over 190 customers, and our net sales to our ten largest customers represented approximately 61.6% of our net sales. We have a combined production capacity of over 119,000 eight-inch equivalent semiconductor wafers per month. We believe our large-scale, cost-effective fabrication facilities enable us to rapidly adjust our production levels to meet shifts in demand by our end customers.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79" w:lineRule="exact"/>
        <w:rPr>
          <w:sz w:val="20"/>
          <w:szCs w:val="20"/>
          <w:color w:val="auto"/>
        </w:rPr>
      </w:pPr>
    </w:p>
    <w:p>
      <w:pPr>
        <w:ind w:right="60" w:firstLine="571"/>
        <w:spacing w:after="0" w:line="28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w:t>
      </w:r>
    </w:p>
    <w:p>
      <w:pPr>
        <w:spacing w:after="0" w:line="105" w:lineRule="exact"/>
        <w:rPr>
          <w:sz w:val="20"/>
          <w:szCs w:val="20"/>
          <w:color w:val="auto"/>
        </w:rPr>
      </w:pPr>
    </w:p>
    <w:p>
      <w:pPr>
        <w:ind w:right="160" w:firstLine="571"/>
        <w:spacing w:after="0" w:line="241" w:lineRule="auto"/>
        <w:rPr>
          <w:sz w:val="20"/>
          <w:szCs w:val="20"/>
          <w:color w:val="auto"/>
        </w:rPr>
      </w:pPr>
      <w:r>
        <w:rPr>
          <w:rFonts w:ascii="Arial" w:cs="Arial" w:eastAsia="Arial" w:hAnsi="Arial"/>
          <w:sz w:val="18"/>
          <w:szCs w:val="18"/>
          <w:i w:val="1"/>
          <w:iCs w:val="1"/>
          <w:color w:val="auto"/>
        </w:rPr>
        <w:t xml:space="preserve">Material Costs. </w:t>
      </w:r>
      <w:r>
        <w:rPr>
          <w:rFonts w:ascii="Arial" w:cs="Arial" w:eastAsia="Arial" w:hAnsi="Arial"/>
          <w:sz w:val="18"/>
          <w:szCs w:val="18"/>
          <w:color w:val="auto"/>
        </w:rPr>
        <w:t>Our cost of sales consists of costs of raw materials, such as silicon wafers, chemicals, gasses and tape, packaging</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equipment 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 For example, worldwide supplies of silicon wafers, an important raw material for the semiconductors we manufacture, have been constrained in recent years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due to an increased demand for polysilicon. Polysilicon is also a key raw material for solar cells, the demand for which has steadily increased over the last two years. We do not expect these supplies to increase significantly in the near future. In 2006, we diversified suppliers for many of our raw materials, including chemicals, gasses and tape, which is one of the process materials for our display drivers.</w:t>
      </w:r>
    </w:p>
    <w:p>
      <w:pPr>
        <w:spacing w:after="0" w:line="136"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Labor Costs</w:t>
      </w:r>
      <w:r>
        <w:rPr>
          <w:rFonts w:ascii="Arial" w:cs="Arial" w:eastAsia="Arial" w:hAnsi="Arial"/>
          <w:sz w:val="18"/>
          <w:szCs w:val="18"/>
          <w:color w:val="auto"/>
        </w:rPr>
        <w:t>. A significant portion of our employees are located in Korea. Under Korean labor laws, most employees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with one or more years of service are entitled to severance benefits upon the termination of their employment based on their length of service and rate of pay. As of September 30, 2007, 96% of our employees were eligible for severance benefits. In accordance with the National Pension Act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36"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i w:val="1"/>
          <w:iCs w:val="1"/>
          <w:color w:val="auto"/>
        </w:rPr>
        <w:t>Depreciation Expense</w:t>
      </w:r>
      <w:r>
        <w:rPr>
          <w:rFonts w:ascii="Arial" w:cs="Arial" w:eastAsia="Arial" w:hAnsi="Arial"/>
          <w:sz w:val="18"/>
          <w:szCs w:val="18"/>
          <w:color w:val="auto"/>
        </w:rPr>
        <w:t>. We periodically evaluate the carrying amounts of long-lived assets, including property, plant and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as well as the related depreciation periods. At September 30, 2007,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amounts of the related long-lived assets, the carrying amount of the assets is impaired and will be reduced, with the reduction charged to expense so that the carrying amount is equal to fair value.</w:t>
      </w:r>
    </w:p>
    <w:p>
      <w:pPr>
        <w:spacing w:after="0" w:line="137"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We sell our products worldwide through a direct sales force as well as a network of sales agents and representatives to</w:t>
      </w:r>
      <w:r>
        <w:rPr>
          <w:rFonts w:ascii="Arial" w:cs="Arial" w:eastAsia="Arial" w:hAnsi="Arial"/>
          <w:sz w:val="18"/>
          <w:szCs w:val="18"/>
          <w:i w:val="1"/>
          <w:iCs w:val="1"/>
          <w:color w:val="auto"/>
        </w:rPr>
        <w:t xml:space="preserve"> </w:t>
      </w:r>
      <w:r>
        <w:rPr>
          <w:rFonts w:ascii="Arial" w:cs="Arial" w:eastAsia="Arial" w:hAnsi="Arial"/>
          <w:sz w:val="18"/>
          <w:szCs w:val="18"/>
          <w:color w:val="auto"/>
        </w:rPr>
        <w:t>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136" w:lineRule="exact"/>
        <w:rPr>
          <w:sz w:val="20"/>
          <w:szCs w:val="20"/>
          <w:color w:val="auto"/>
        </w:rPr>
      </w:pPr>
    </w:p>
    <w:p>
      <w:pPr>
        <w:ind w:right="500" w:firstLine="571"/>
        <w:spacing w:after="0" w:line="24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finance, legal, human resources and other administrative functions. These expenses primarily consist of payroll-related expenses, consulting and other professional fees and office facility-related expenses. Historically, our selling, general and administrative expenses have moved in correlation with changes in revenues, and we expect this trend to continue in the future.</w:t>
      </w:r>
    </w:p>
    <w:p>
      <w:pPr>
        <w:spacing w:after="0" w:line="134"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The rapid technological change and product obsolescence that characterize our industry require us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investments in research and development. Product development time frames vary but, in general, we incur research and development costs one to two years before generating sales from the associated new products. Our research and development costs incurred as a percentage of the consolidated revenues and in total have increased since 2005.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We expect to continue to increase our investments in research and development to develop additional products and expand our business.</w:t>
      </w:r>
    </w:p>
    <w:p>
      <w:pPr>
        <w:spacing w:after="0" w:line="116" w:lineRule="exact"/>
        <w:rPr>
          <w:sz w:val="20"/>
          <w:szCs w:val="20"/>
          <w:color w:val="auto"/>
        </w:rPr>
      </w:pPr>
    </w:p>
    <w:p>
      <w:pPr>
        <w:ind w:firstLine="571"/>
        <w:spacing w:after="0" w:line="260"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We evaluate the recoverability of certain long-lived assets on a periodic basis or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amount may not be recoverable. In our efforts to improve our overall profitability in future periods, we have closed or impaired, and may in the future close or impair, facilities which are underutilized and which are no longer aligned with our long-term business goals.</w:t>
      </w:r>
    </w:p>
    <w:p>
      <w:pPr>
        <w:spacing w:after="0" w:line="13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Our interest expense is incurred to service our notes in the amount of $750 million and drawings under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credit facility. At September 30, 2007, the notes bore interest at a weighted average interest rate of 7.94%. Drawings under our senior secured credit facility bore interest at September 30, 2007 at either three-month LIBOR plus 4.75% or ABR plus 3.75% and were minimally offset by interest income on cash balances. Of the $750 million of total long-term borrowings, $300 million consist of variable interest rate securities. Effective as of June 27, 2005, we entered into an interest rate swap agreement that converted the variable interest rate portion of our notes into a fixed interest rate of 7.34%. That arrangement will be in effect until the swap agreement expires on June 15, 2008. As a result of this offering and our proposed repayment of outstanding indebtedness, we expect that our interest expense will decrease in amount and as a percentage of net sales.</w:t>
      </w:r>
    </w:p>
    <w:p>
      <w:pPr>
        <w:spacing w:after="0" w:line="141" w:lineRule="exact"/>
        <w:rPr>
          <w:sz w:val="20"/>
          <w:szCs w:val="20"/>
          <w:color w:val="auto"/>
        </w:rPr>
      </w:pPr>
    </w:p>
    <w:p>
      <w:pPr>
        <w:ind w:right="220" w:firstLine="571"/>
        <w:spacing w:after="0" w:line="247" w:lineRule="auto"/>
        <w:rPr>
          <w:sz w:val="20"/>
          <w:szCs w:val="20"/>
          <w:color w:val="auto"/>
        </w:rPr>
      </w:pPr>
      <w:r>
        <w:rPr>
          <w:rFonts w:ascii="Arial" w:cs="Arial" w:eastAsia="Arial" w:hAnsi="Arial"/>
          <w:sz w:val="18"/>
          <w:szCs w:val="18"/>
          <w:i w:val="1"/>
          <w:iCs w:val="1"/>
          <w:color w:val="auto"/>
        </w:rPr>
        <w:t xml:space="preserve">Foreign Currency Gain or Loss </w:t>
      </w:r>
      <w:r>
        <w:rPr>
          <w:rFonts w:ascii="Arial" w:cs="Arial" w:eastAsia="Arial" w:hAnsi="Arial"/>
          <w:sz w:val="18"/>
          <w:szCs w:val="18"/>
          <w:color w:val="auto"/>
        </w:rPr>
        <w:t>. A substantial portion of our net foreign currency gain or loss relates to non-cash translation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for intercompany borrowings at our Korea subsidiary that is denominated in U.S. dollars. This balance sheet item is affected by fluctuations in the exchange rate between the Korean won and U.S. dollar.</w:t>
      </w:r>
    </w:p>
    <w:p>
      <w:pPr>
        <w:spacing w:after="0" w:line="131"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 our income taxes in each of the tax jurisdictions in which we operate. This process involves using an asset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36" w:lineRule="exact"/>
        <w:rPr>
          <w:sz w:val="20"/>
          <w:szCs w:val="20"/>
          <w:color w:val="auto"/>
        </w:rPr>
      </w:pPr>
    </w:p>
    <w:p>
      <w:pPr>
        <w:jc w:val="both"/>
        <w:ind w:right="140" w:firstLine="571"/>
        <w:spacing w:after="0" w:line="293"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We invest in manufacturing equipment, software design tools and other tangible and intangible assets for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and technology improvement. Capacity expansions and technology improvements typically occur in anticipation of seasonal increases in demand. We typically pay for capital expenditures in partial installments with portions due on order, delivery and final acceptance.</w:t>
      </w:r>
    </w:p>
    <w:p>
      <w:pPr>
        <w:spacing w:after="0" w:line="96"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historically shared with Hynix, and allocations of certain manufacturing costs as well as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We considered these allocations to be a reasonable reflection of the utilization of services provided. 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carve-out periods presented. Accordingly, the carve-out financial statements should not be relied upon as being representative of what our financial position or operating results would have been had we operated on a stand-alone basis, nor may they be representative of our financial position or operating results following the Original Acquisition.</w:t>
      </w:r>
    </w:p>
    <w:p>
      <w:pPr>
        <w:spacing w:after="0" w:line="143"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Prior to our fiscal year 2006, we operated in a single segment—semiconductor manufacturing. In fiscal year 2006,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appointment of a new chief operating decision maker (the “CODM”) as defined by Statements of Financial Accounting Standards (“SFAS”) No.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we changed the manner in which the CODM reviewed our operational results and made significant business decisions so as to include disaggregated financial information with respect to our three reportable segments. The segment information for prior periods has been prepared in conformity with our current segment structure.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7"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dollars and as a percentage of our 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9"/>
              </w:rPr>
              <w:t>Three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Nine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80" w:type="dxa"/>
            <w:vAlign w:val="bottom"/>
            <w:gridSpan w:val="8"/>
            <w:vMerge w:val="restart"/>
          </w:tcPr>
          <w:p>
            <w:pPr>
              <w:jc w:val="right"/>
              <w:ind w:right="820"/>
              <w:spacing w:after="0"/>
              <w:rPr>
                <w:sz w:val="20"/>
                <w:szCs w:val="20"/>
                <w:color w:val="auto"/>
              </w:rPr>
            </w:pPr>
            <w:r>
              <w:rPr>
                <w:rFonts w:ascii="Arial" w:cs="Arial" w:eastAsia="Arial" w:hAnsi="Arial"/>
                <w:sz w:val="14"/>
                <w:szCs w:val="14"/>
                <w:b w:val="1"/>
                <w:bCs w:val="1"/>
                <w:color w:val="auto"/>
                <w:w w:val="97"/>
              </w:rPr>
              <w:t>Years ended December 31,</w:t>
            </w:r>
          </w:p>
        </w:tc>
        <w:tc>
          <w:tcPr>
            <w:tcW w:w="8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months</w:t>
            </w:r>
          </w:p>
        </w:tc>
        <w:tc>
          <w:tcPr>
            <w:tcW w:w="14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months</w:t>
            </w:r>
          </w:p>
        </w:tc>
        <w:tc>
          <w:tcPr>
            <w:tcW w:w="11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twelve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5"/>
            <w:vMerge w:val="continue"/>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580" w:type="dxa"/>
            <w:vAlign w:val="bottom"/>
            <w:gridSpan w:val="8"/>
            <w:vMerge w:val="continue"/>
          </w:tcPr>
          <w:p>
            <w:pPr>
              <w:spacing w:after="0"/>
              <w:rPr>
                <w:sz w:val="7"/>
                <w:szCs w:val="7"/>
                <w:color w:val="auto"/>
              </w:rPr>
            </w:pPr>
          </w:p>
        </w:tc>
        <w:tc>
          <w:tcPr>
            <w:tcW w:w="800" w:type="dxa"/>
            <w:vAlign w:val="bottom"/>
            <w:tcBorders>
              <w:right w:val="single" w:sz="8" w:color="auto"/>
            </w:tcBorders>
            <w:gridSpan w:val="3"/>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ended</w:t>
            </w:r>
          </w:p>
        </w:tc>
        <w:tc>
          <w:tcPr>
            <w:tcW w:w="140" w:type="dxa"/>
            <w:vAlign w:val="bottom"/>
          </w:tcPr>
          <w:p>
            <w:pPr>
              <w:spacing w:after="0"/>
              <w:rPr>
                <w:sz w:val="7"/>
                <w:szCs w:val="7"/>
                <w:color w:val="auto"/>
              </w:rPr>
            </w:pPr>
          </w:p>
        </w:tc>
        <w:tc>
          <w:tcPr>
            <w:tcW w:w="660" w:type="dxa"/>
            <w:vAlign w:val="bottom"/>
            <w:gridSpan w:val="3"/>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ended</w:t>
            </w: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right w:val="single" w:sz="8" w:color="auto"/>
            </w:tcBorders>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Dec. 31,</w:t>
            </w:r>
          </w:p>
        </w:tc>
        <w:tc>
          <w:tcPr>
            <w:tcW w:w="14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Sep. 30,</w:t>
            </w: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Sept. 30, 2007</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7"/>
              </w:rPr>
              <w:t>October 1, 2006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Dec. 31, 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(Predecessor Company)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352"/>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sales</w:t>
            </w:r>
          </w:p>
        </w:tc>
        <w:tc>
          <w:tcPr>
            <w:tcW w:w="8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 of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6"/>
              </w:rPr>
              <w:t>(in millions;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ind w:left="200"/>
              <w:spacing w:after="0"/>
              <w:rPr>
                <w:sz w:val="20"/>
                <w:szCs w:val="20"/>
                <w:color w:val="auto"/>
              </w:rPr>
            </w:pPr>
            <w:r>
              <w:rPr>
                <w:rFonts w:ascii="Arial" w:cs="Arial" w:eastAsia="Arial" w:hAnsi="Arial"/>
                <w:sz w:val="14"/>
                <w:szCs w:val="14"/>
                <w:b w:val="1"/>
                <w:bCs w:val="1"/>
                <w:color w:val="auto"/>
              </w:rPr>
              <w:t>operations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582.0</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744.4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841.6</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$ 1,085.2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471.9</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86.4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500.6</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86.0</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644.9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86.6</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729.0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204.5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654.6</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859.1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81.5</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99.4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208.7</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226.1</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spacing w:after="0" w:line="148"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87.7</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13.1</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29.8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54.0</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83.8</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95.9</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131.3</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107.6</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75.7</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97.8</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93.9</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94.3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(111.1)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(174.7)</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(213.8)</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44.7</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43.0</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57.2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57.2</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16.8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34.5</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40.9</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50.9</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35.8</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(144.4)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(176.8)</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(220.1)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47.0</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Income tax expenses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(151.1)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(183.7)</w:t>
            </w:r>
          </w:p>
        </w:tc>
        <w:tc>
          <w:tcPr>
            <w:tcW w:w="84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99"/>
              </w:rPr>
              <w:t>(229.3)</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(100.9)</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37.4</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92"/>
        </w:trPr>
        <w:tc>
          <w:tcPr>
            <w:tcW w:w="2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Net Sales: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Display Solutions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215.1</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273.7</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326.0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198.8</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259.2</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Imaging Solutions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60.5</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163.3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58.1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200.1</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Semiconductor Manufacturing Services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280.8</w:t>
            </w:r>
          </w:p>
        </w:tc>
        <w:tc>
          <w:tcPr>
            <w:tcW w:w="840" w:type="dxa"/>
            <w:vAlign w:val="bottom"/>
            <w:gridSpan w:val="2"/>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342.4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345.4</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270.2</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358.5</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All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53.4</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w:t>
            </w:r>
          </w:p>
        </w:tc>
        <w:tc>
          <w:tcPr>
            <w:tcW w:w="84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w:t>
            </w: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36.9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230.5</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267.3</w:t>
            </w:r>
          </w:p>
        </w:tc>
        <w:tc>
          <w:tcPr>
            <w:tcW w:w="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582.0</w:t>
            </w:r>
          </w:p>
        </w:tc>
        <w:tc>
          <w:tcPr>
            <w:tcW w:w="8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744.4</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937.7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841.6</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1,085.2</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nine months ended September 30, 2007 and October 1, 2006</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2007 and October 1, 2006: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Unaudited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2440" w:type="dxa"/>
            <w:vAlign w:val="bottom"/>
            <w:gridSpan w:val="8"/>
          </w:tcPr>
          <w:p>
            <w:pPr>
              <w:jc w:val="center"/>
              <w:ind w:right="652"/>
              <w:spacing w:after="0" w:line="129" w:lineRule="exact"/>
              <w:rPr>
                <w:sz w:val="20"/>
                <w:szCs w:val="20"/>
                <w:color w:val="auto"/>
              </w:rPr>
            </w:pPr>
            <w:r>
              <w:rPr>
                <w:rFonts w:ascii="Arial" w:cs="Arial" w:eastAsia="Arial" w:hAnsi="Arial"/>
                <w:sz w:val="14"/>
                <w:szCs w:val="14"/>
                <w:b w:val="1"/>
                <w:bCs w:val="1"/>
                <w:color w:val="auto"/>
                <w:w w:val="95"/>
              </w:rPr>
              <w:t>Nine months ended</w:t>
            </w:r>
          </w:p>
        </w:tc>
        <w:tc>
          <w:tcPr>
            <w:tcW w:w="1740" w:type="dxa"/>
            <w:vAlign w:val="bottom"/>
            <w:gridSpan w:val="6"/>
          </w:tcPr>
          <w:p>
            <w:pPr>
              <w:jc w:val="right"/>
              <w:ind w:right="172"/>
              <w:spacing w:after="0" w:line="129"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2440" w:type="dxa"/>
            <w:vAlign w:val="bottom"/>
            <w:gridSpan w:val="8"/>
          </w:tcPr>
          <w:p>
            <w:pPr>
              <w:jc w:val="center"/>
              <w:ind w:right="632"/>
              <w:spacing w:after="0"/>
              <w:rPr>
                <w:sz w:val="20"/>
                <w:szCs w:val="20"/>
                <w:color w:val="auto"/>
              </w:rPr>
            </w:pPr>
            <w:r>
              <w:rPr>
                <w:rFonts w:ascii="Arial" w:cs="Arial" w:eastAsia="Arial" w:hAnsi="Arial"/>
                <w:sz w:val="14"/>
                <w:szCs w:val="14"/>
                <w:b w:val="1"/>
                <w:bCs w:val="1"/>
                <w:color w:val="auto"/>
                <w:w w:val="96"/>
              </w:rPr>
              <w:t>September 30, 2007</w:t>
            </w:r>
          </w:p>
        </w:tc>
        <w:tc>
          <w:tcPr>
            <w:tcW w:w="320" w:type="dxa"/>
            <w:vAlign w:val="bottom"/>
          </w:tcPr>
          <w:p>
            <w:pPr>
              <w:spacing w:after="0"/>
              <w:rPr>
                <w:sz w:val="15"/>
                <w:szCs w:val="15"/>
                <w:color w:val="auto"/>
              </w:rPr>
            </w:pPr>
          </w:p>
        </w:tc>
        <w:tc>
          <w:tcPr>
            <w:tcW w:w="1920" w:type="dxa"/>
            <w:vAlign w:val="bottom"/>
            <w:gridSpan w:val="7"/>
          </w:tcPr>
          <w:p>
            <w:pPr>
              <w:ind w:left="4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92"/>
              <w:spacing w:after="0" w:line="125"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15"/>
                <w:szCs w:val="15"/>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5"/>
                <w:szCs w:val="15"/>
                <w:color w:val="auto"/>
              </w:rPr>
            </w:pPr>
          </w:p>
        </w:tc>
        <w:tc>
          <w:tcPr>
            <w:tcW w:w="1280" w:type="dxa"/>
            <w:vAlign w:val="bottom"/>
            <w:gridSpan w:val="5"/>
          </w:tcPr>
          <w:p>
            <w:pPr>
              <w:jc w:val="right"/>
              <w:ind w:right="632"/>
              <w:spacing w:after="0"/>
              <w:rPr>
                <w:sz w:val="20"/>
                <w:szCs w:val="20"/>
                <w:color w:val="auto"/>
              </w:rPr>
            </w:pPr>
            <w:r>
              <w:rPr>
                <w:rFonts w:ascii="Arial" w:cs="Arial" w:eastAsia="Arial" w:hAnsi="Arial"/>
                <w:sz w:val="14"/>
                <w:szCs w:val="14"/>
                <w:b w:val="1"/>
                <w:bCs w:val="1"/>
                <w:color w:val="auto"/>
                <w:w w:val="93"/>
              </w:rPr>
              <w:t>net sales</w:t>
            </w: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280" w:type="dxa"/>
            <w:vAlign w:val="bottom"/>
          </w:tcPr>
          <w:p>
            <w:pPr>
              <w:jc w:val="right"/>
              <w:ind w:right="78"/>
              <w:spacing w:after="0"/>
              <w:rPr>
                <w:sz w:val="20"/>
                <w:szCs w:val="20"/>
                <w:color w:val="auto"/>
              </w:rPr>
            </w:pPr>
            <w:r>
              <w:rPr>
                <w:rFonts w:ascii="Arial" w:cs="Arial" w:eastAsia="Arial" w:hAnsi="Arial"/>
                <w:sz w:val="12"/>
                <w:szCs w:val="12"/>
                <w:b w:val="1"/>
                <w:bCs w:val="1"/>
                <w:color w:val="auto"/>
                <w:w w:val="81"/>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$ 545.9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$ 582.0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100.0%</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86.4</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86.0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81.5</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392"/>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880" w:type="dxa"/>
            <w:vAlign w:val="bottom"/>
            <w:gridSpan w:val="3"/>
          </w:tcPr>
          <w:p>
            <w:pPr>
              <w:jc w:val="right"/>
              <w:ind w:right="218"/>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18.5</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880" w:type="dxa"/>
            <w:vAlign w:val="bottom"/>
            <w:gridSpan w:val="3"/>
          </w:tcPr>
          <w:p>
            <w:pPr>
              <w:jc w:val="right"/>
              <w:ind w:right="218"/>
              <w:spacing w:after="0" w:line="202" w:lineRule="exact"/>
              <w:rPr>
                <w:sz w:val="20"/>
                <w:szCs w:val="20"/>
                <w:color w:val="auto"/>
              </w:rPr>
            </w:pPr>
            <w:r>
              <w:rPr>
                <w:rFonts w:ascii="Arial" w:cs="Arial" w:eastAsia="Arial" w:hAnsi="Arial"/>
                <w:sz w:val="18"/>
                <w:szCs w:val="18"/>
                <w:color w:val="auto"/>
              </w:rPr>
              <w:t>93.9</w:t>
            </w: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16.1</w:t>
            </w:r>
          </w:p>
        </w:tc>
        <w:tc>
          <w:tcPr>
            <w:tcW w:w="36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(174.7)</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7"/>
                <w:szCs w:val="17"/>
                <w:color w:val="auto"/>
              </w:rPr>
            </w:pPr>
          </w:p>
        </w:tc>
        <w:tc>
          <w:tcPr>
            <w:tcW w:w="880" w:type="dxa"/>
            <w:vAlign w:val="bottom"/>
            <w:gridSpan w:val="3"/>
          </w:tcPr>
          <w:p>
            <w:pPr>
              <w:jc w:val="right"/>
              <w:ind w:right="218"/>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7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332"/>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880" w:type="dxa"/>
            <w:vAlign w:val="bottom"/>
            <w:gridSpan w:val="3"/>
          </w:tcPr>
          <w:p>
            <w:pPr>
              <w:jc w:val="right"/>
              <w:ind w:right="158"/>
              <w:spacing w:after="0"/>
              <w:rPr>
                <w:sz w:val="20"/>
                <w:szCs w:val="20"/>
                <w:color w:val="auto"/>
              </w:rPr>
            </w:pPr>
            <w:r>
              <w:rPr>
                <w:rFonts w:ascii="Arial" w:cs="Arial" w:eastAsia="Arial" w:hAnsi="Arial"/>
                <w:sz w:val="18"/>
                <w:szCs w:val="18"/>
                <w:color w:val="auto"/>
              </w:rPr>
              <w:t>(176.8)</w:t>
            </w:r>
          </w:p>
        </w:tc>
        <w:tc>
          <w:tcPr>
            <w:tcW w:w="2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6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18"/>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(151.1)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right"/>
              <w:ind w:right="192"/>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880" w:type="dxa"/>
            <w:vAlign w:val="bottom"/>
            <w:gridSpan w:val="3"/>
          </w:tcPr>
          <w:p>
            <w:pPr>
              <w:jc w:val="right"/>
              <w:ind w:right="158"/>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(183.7)</w:t>
            </w:r>
          </w:p>
        </w:tc>
        <w:tc>
          <w:tcPr>
            <w:tcW w:w="2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Net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6"/>
          </w:tcPr>
          <w:p>
            <w:pPr>
              <w:jc w:val="right"/>
              <w:ind w:right="372"/>
              <w:spacing w:after="0" w:line="129" w:lineRule="exact"/>
              <w:rPr>
                <w:sz w:val="20"/>
                <w:szCs w:val="20"/>
                <w:color w:val="auto"/>
              </w:rPr>
            </w:pPr>
            <w:r>
              <w:rPr>
                <w:rFonts w:ascii="Arial" w:cs="Arial" w:eastAsia="Arial" w:hAnsi="Arial"/>
                <w:sz w:val="14"/>
                <w:szCs w:val="14"/>
                <w:b w:val="1"/>
                <w:bCs w:val="1"/>
                <w:color w:val="auto"/>
                <w:w w:val="98"/>
              </w:rPr>
              <w:t>Nine months ended</w:t>
            </w:r>
          </w:p>
        </w:tc>
        <w:tc>
          <w:tcPr>
            <w:tcW w:w="320" w:type="dxa"/>
            <w:vAlign w:val="bottom"/>
          </w:tcPr>
          <w:p>
            <w:pPr>
              <w:spacing w:after="0"/>
              <w:rPr>
                <w:sz w:val="11"/>
                <w:szCs w:val="11"/>
                <w:color w:val="auto"/>
              </w:rPr>
            </w:pPr>
          </w:p>
        </w:tc>
        <w:tc>
          <w:tcPr>
            <w:tcW w:w="1560" w:type="dxa"/>
            <w:vAlign w:val="bottom"/>
            <w:gridSpan w:val="6"/>
          </w:tcPr>
          <w:p>
            <w:pPr>
              <w:jc w:val="right"/>
              <w:ind w:right="160"/>
              <w:spacing w:after="0" w:line="129" w:lineRule="exact"/>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w w:val="97"/>
              </w:rPr>
              <w:t>September 30, 2007</w:t>
            </w:r>
          </w:p>
        </w:tc>
        <w:tc>
          <w:tcPr>
            <w:tcW w:w="320" w:type="dxa"/>
            <w:vAlign w:val="bottom"/>
          </w:tcPr>
          <w:p>
            <w:pPr>
              <w:spacing w:after="0"/>
              <w:rPr>
                <w:sz w:val="15"/>
                <w:szCs w:val="15"/>
                <w:color w:val="auto"/>
              </w:rPr>
            </w:pPr>
          </w:p>
        </w:tc>
        <w:tc>
          <w:tcPr>
            <w:tcW w:w="19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5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20"/>
              <w:spacing w:after="0" w:line="125"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gridSpan w:val="3"/>
          </w:tcPr>
          <w:p>
            <w:pPr>
              <w:jc w:val="center"/>
              <w:ind w:right="12"/>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Borders>
              <w:top w:val="single" w:sz="8" w:color="auto"/>
            </w:tcBorders>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w w:val="79"/>
              </w:rPr>
              <w:t>millions;</w:t>
            </w:r>
          </w:p>
        </w:tc>
        <w:tc>
          <w:tcPr>
            <w:tcW w:w="280" w:type="dxa"/>
            <w:vAlign w:val="bottom"/>
          </w:tcPr>
          <w:p>
            <w:pPr>
              <w:jc w:val="right"/>
              <w:ind w:right="104"/>
              <w:spacing w:after="0"/>
              <w:rPr>
                <w:sz w:val="20"/>
                <w:szCs w:val="20"/>
                <w:color w:val="auto"/>
              </w:rPr>
            </w:pPr>
            <w:r>
              <w:rPr>
                <w:rFonts w:ascii="Arial" w:cs="Arial" w:eastAsia="Arial" w:hAnsi="Arial"/>
                <w:sz w:val="11"/>
                <w:szCs w:val="11"/>
                <w:b w:val="1"/>
                <w:bCs w:val="1"/>
                <w:color w:val="auto"/>
                <w:w w:val="74"/>
              </w:rPr>
              <w:t>%)</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7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c>
          <w:tcPr>
            <w:tcW w:w="1260" w:type="dxa"/>
            <w:vAlign w:val="bottom"/>
            <w:gridSpan w:val="4"/>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40.9%</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37.0%</w:t>
            </w: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8.2</w:t>
            </w:r>
          </w:p>
        </w:tc>
        <w:tc>
          <w:tcPr>
            <w:tcW w:w="0" w:type="dxa"/>
            <w:vAlign w:val="bottom"/>
          </w:tcPr>
          <w:p>
            <w:pPr>
              <w:spacing w:after="0"/>
              <w:rPr>
                <w:sz w:val="1"/>
                <w:szCs w:val="1"/>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51.6</w:t>
            </w:r>
          </w:p>
        </w:tc>
        <w:tc>
          <w:tcPr>
            <w:tcW w:w="1260" w:type="dxa"/>
            <w:vAlign w:val="bottom"/>
            <w:gridSpan w:val="4"/>
          </w:tcPr>
          <w:p>
            <w:pPr>
              <w:jc w:val="right"/>
              <w:ind w:right="172"/>
              <w:spacing w:after="0" w:line="202" w:lineRule="exact"/>
              <w:rPr>
                <w:sz w:val="20"/>
                <w:szCs w:val="20"/>
                <w:color w:val="auto"/>
              </w:rPr>
            </w:pPr>
            <w:r>
              <w:rPr>
                <w:rFonts w:ascii="Arial" w:cs="Arial" w:eastAsia="Arial" w:hAnsi="Arial"/>
                <w:sz w:val="18"/>
                <w:szCs w:val="18"/>
                <w:color w:val="auto"/>
              </w:rPr>
              <w:t>9.5</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47.7</w:t>
            </w:r>
          </w:p>
        </w:tc>
        <w:tc>
          <w:tcPr>
            <w:tcW w:w="280" w:type="dxa"/>
            <w:vAlign w:val="bottom"/>
          </w:tcPr>
          <w:p>
            <w:pPr>
              <w:spacing w:after="0"/>
              <w:rPr>
                <w:sz w:val="17"/>
                <w:szCs w:val="17"/>
                <w:color w:val="auto"/>
              </w:rPr>
            </w:pP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8.2</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217.6</w:t>
            </w:r>
          </w:p>
        </w:tc>
        <w:tc>
          <w:tcPr>
            <w:tcW w:w="1260" w:type="dxa"/>
            <w:vAlign w:val="bottom"/>
            <w:gridSpan w:val="4"/>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39.9</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280.8</w:t>
            </w:r>
          </w:p>
        </w:tc>
        <w:tc>
          <w:tcPr>
            <w:tcW w:w="2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3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59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53.4</w:t>
            </w:r>
          </w:p>
        </w:tc>
        <w:tc>
          <w:tcPr>
            <w:tcW w:w="1260" w:type="dxa"/>
            <w:vAlign w:val="bottom"/>
            <w:gridSpan w:val="4"/>
          </w:tcPr>
          <w:p>
            <w:pPr>
              <w:jc w:val="right"/>
              <w:ind w:right="172"/>
              <w:spacing w:after="0" w:line="202" w:lineRule="exact"/>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38.4</w:t>
            </w:r>
          </w:p>
        </w:tc>
        <w:tc>
          <w:tcPr>
            <w:tcW w:w="280" w:type="dxa"/>
            <w:vAlign w:val="bottom"/>
          </w:tcPr>
          <w:p>
            <w:pPr>
              <w:spacing w:after="0"/>
              <w:rPr>
                <w:sz w:val="18"/>
                <w:szCs w:val="18"/>
                <w:color w:val="auto"/>
              </w:rPr>
            </w:pPr>
          </w:p>
        </w:tc>
        <w:tc>
          <w:tcPr>
            <w:tcW w:w="1080" w:type="dxa"/>
            <w:vAlign w:val="bottom"/>
            <w:gridSpan w:val="4"/>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1260" w:type="dxa"/>
            <w:vAlign w:val="bottom"/>
            <w:gridSpan w:val="4"/>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582.0</w:t>
            </w:r>
          </w:p>
        </w:tc>
        <w:tc>
          <w:tcPr>
            <w:tcW w:w="28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Net sales for the nine months ended September 30, 2007 decreased $36.2 million, or 6.2% compared to the nine months ended October 1, 2006. Net sales generated in the three operating segments during the current period were $492.5 million, a decrease of $51.1 million or 9.4% from the net sales of our three reportable segments for the prior-year period, primarily due to a $63.2 million or 22.5% decrease in sales in the Semiconductor Manufacturing Services segment offset by an $8.2 million or 3.8% increase in sales from the Display Solutions segment and a $3.9 million or 8.2% increase in sales from the Imaging Solutions segment.</w:t>
      </w:r>
    </w:p>
    <w:p>
      <w:pPr>
        <w:spacing w:after="0" w:line="139"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nine months ended September 30, 2007 were $223.3 million, an $8.2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3.8% increase from $215.1 million for the nine months ended October 1, 2006. The increase resulted from a 33.5% sales volume increase, primarily from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display driver products for LCD televisions and PC monitors and was partially offset by a 23.9% decrease in average selling prices.</w:t>
      </w:r>
    </w:p>
    <w:p>
      <w:pPr>
        <w:spacing w:after="0" w:line="140"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$3.9 million in the current period, or 8.2%, compared to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 the prior-year period. This increase was primarily due to a $36.1 million sales increase of small form factor VGA products and a $0.5 million sales increase of 1.3 MP products due to an increase in market demand for mobile phones and PC cameras. This revenue increase from these products was partially offset by a $27.5 million or 75.5% decrease in traditional VGA products sales and a $1.6 million or 83.6% decrease in 1.0 MP product sales due to a shift in market demand to small form factor VGA products and 1.3 MP products.</w:t>
      </w:r>
    </w:p>
    <w:p>
      <w:pPr>
        <w:spacing w:after="0" w:line="136"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were $217.6 million, a $63.2 million, or a 22.5%, decrease compared to net sales of $280.8 million for the nine months ended October 1, 2006. This decrease was primarily due to a 14.9% decline in sales volume of eight-inch equivalent wafers as a result of higher inventory balances held by our customers in the analog and power end markets in the first quarter of 2007 as compared to the same period in the prior year, to an 8.1% decrease in the average selling prices of our services, and to product program declines or terminations experienced by some of our key customers.</w:t>
      </w:r>
    </w:p>
    <w:p>
      <w:pPr>
        <w:spacing w:after="0" w:line="141" w:lineRule="exact"/>
        <w:rPr>
          <w:sz w:val="20"/>
          <w:szCs w:val="20"/>
          <w:color w:val="auto"/>
        </w:rPr>
      </w:pPr>
    </w:p>
    <w:p>
      <w:pPr>
        <w:jc w:val="both"/>
        <w:ind w:right="340" w:firstLine="571"/>
        <w:spacing w:after="0" w:line="32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nine months ended September 30, 2007 were $53.4 million compared to $38.4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October 1, 2006. This increase of $15.0 million or 39.1% represents the revenue increase from our unit processing service.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nine months ended September 30, 2007 and October 1, 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120" w:type="dxa"/>
            <w:vAlign w:val="bottom"/>
            <w:gridSpan w:val="9"/>
          </w:tcPr>
          <w:p>
            <w:pPr>
              <w:ind w:left="180"/>
              <w:spacing w:after="0" w:line="125"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8"/>
          </w:tcPr>
          <w:p>
            <w:pPr>
              <w:jc w:val="center"/>
              <w:spacing w:after="0" w:line="125" w:lineRule="exact"/>
              <w:rPr>
                <w:sz w:val="20"/>
                <w:szCs w:val="20"/>
                <w:color w:val="auto"/>
              </w:rPr>
            </w:pPr>
            <w:r>
              <w:rPr>
                <w:rFonts w:ascii="Arial" w:cs="Arial" w:eastAsia="Arial" w:hAnsi="Arial"/>
                <w:sz w:val="14"/>
                <w:szCs w:val="14"/>
                <w:b w:val="1"/>
                <w:bCs w:val="1"/>
                <w:color w:val="auto"/>
                <w:w w:val="96"/>
              </w:rPr>
              <w:t>Nine months ended</w:t>
            </w:r>
          </w:p>
        </w:tc>
        <w:tc>
          <w:tcPr>
            <w:tcW w:w="46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September 30, 2007</w:t>
            </w:r>
          </w:p>
        </w:tc>
        <w:tc>
          <w:tcPr>
            <w:tcW w:w="5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7"/>
              </w:rPr>
              <w:t>October 1, 2006</w:t>
            </w:r>
          </w:p>
        </w:tc>
        <w:tc>
          <w:tcPr>
            <w:tcW w:w="82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2"/>
              </w:rPr>
              <w:t>% of Total</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4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$318.9</w:t>
            </w:r>
          </w:p>
        </w:tc>
        <w:tc>
          <w:tcPr>
            <w:tcW w:w="4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2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129.7</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142.4</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North America</w:t>
            </w:r>
          </w:p>
        </w:tc>
        <w:tc>
          <w:tcPr>
            <w:tcW w:w="2120" w:type="dxa"/>
            <w:vAlign w:val="bottom"/>
            <w:gridSpan w:val="4"/>
          </w:tcPr>
          <w:p>
            <w:pPr>
              <w:jc w:val="right"/>
              <w:ind w:right="40"/>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72"/>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52.9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30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545.9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32"/>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582.0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6"/>
          </w:tcPr>
          <w:p>
            <w:pPr>
              <w:ind w:left="40"/>
              <w:spacing w:after="0" w:line="125" w:lineRule="exact"/>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60" w:type="dxa"/>
            <w:vAlign w:val="bottom"/>
            <w:gridSpan w:val="8"/>
          </w:tcPr>
          <w:p>
            <w:pPr>
              <w:jc w:val="right"/>
              <w:ind w:right="560"/>
              <w:spacing w:after="0" w:line="125" w:lineRule="exact"/>
              <w:rPr>
                <w:sz w:val="20"/>
                <w:szCs w:val="20"/>
                <w:color w:val="auto"/>
              </w:rPr>
            </w:pPr>
            <w:r>
              <w:rPr>
                <w:rFonts w:ascii="Arial" w:cs="Arial" w:eastAsia="Arial" w:hAnsi="Arial"/>
                <w:sz w:val="14"/>
                <w:szCs w:val="14"/>
                <w:b w:val="1"/>
                <w:bCs w:val="1"/>
                <w:color w:val="auto"/>
                <w:w w:val="98"/>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6"/>
          </w:tcPr>
          <w:p>
            <w:pPr>
              <w:ind w:left="40"/>
              <w:spacing w:after="0"/>
              <w:rPr>
                <w:sz w:val="20"/>
                <w:szCs w:val="20"/>
                <w:color w:val="auto"/>
              </w:rPr>
            </w:pPr>
            <w:r>
              <w:rPr>
                <w:rFonts w:ascii="Arial" w:cs="Arial" w:eastAsia="Arial" w:hAnsi="Arial"/>
                <w:sz w:val="14"/>
                <w:szCs w:val="14"/>
                <w:b w:val="1"/>
                <w:bCs w:val="1"/>
                <w:color w:val="auto"/>
              </w:rPr>
              <w:t>September 30, 2007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October 1, 2006</w:t>
            </w:r>
          </w:p>
        </w:tc>
        <w:tc>
          <w:tcPr>
            <w:tcW w:w="20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180"/>
              <w:spacing w:after="0" w:line="125"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right"/>
              <w:ind w:right="180"/>
              <w:spacing w:after="0" w:line="125"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sales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0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millions;</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1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19.9</w:t>
            </w:r>
          </w:p>
        </w:tc>
        <w:tc>
          <w:tcPr>
            <w:tcW w:w="11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Imaging Solutions</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10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ind w:right="92"/>
              <w:spacing w:after="0" w:line="202" w:lineRule="exact"/>
              <w:rPr>
                <w:sz w:val="20"/>
                <w:szCs w:val="20"/>
                <w:color w:val="auto"/>
              </w:rPr>
            </w:pPr>
            <w:r>
              <w:rPr>
                <w:rFonts w:ascii="Arial" w:cs="Arial" w:eastAsia="Arial" w:hAnsi="Arial"/>
                <w:sz w:val="18"/>
                <w:szCs w:val="18"/>
                <w:color w:val="auto"/>
              </w:rPr>
              <w:t>(5.3)</w:t>
            </w:r>
          </w:p>
        </w:tc>
        <w:tc>
          <w:tcPr>
            <w:tcW w:w="1260" w:type="dxa"/>
            <w:vAlign w:val="bottom"/>
            <w:gridSpan w:val="5"/>
          </w:tcPr>
          <w:p>
            <w:pPr>
              <w:jc w:val="right"/>
              <w:ind w:right="300"/>
              <w:spacing w:after="0" w:line="202"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31.7</w:t>
            </w:r>
          </w:p>
        </w:tc>
        <w:tc>
          <w:tcPr>
            <w:tcW w:w="10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(14.5)</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19.9</w:t>
            </w:r>
          </w:p>
        </w:tc>
        <w:tc>
          <w:tcPr>
            <w:tcW w:w="10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1260" w:type="dxa"/>
            <w:vAlign w:val="bottom"/>
            <w:gridSpan w:val="5"/>
          </w:tcPr>
          <w:p>
            <w:pPr>
              <w:jc w:val="right"/>
              <w:ind w:right="360"/>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74.0</w:t>
            </w:r>
          </w:p>
        </w:tc>
        <w:tc>
          <w:tcPr>
            <w:tcW w:w="11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14.0%</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vMerge w:val="restart"/>
          </w:tcPr>
          <w:p>
            <w:pPr>
              <w:jc w:val="right"/>
              <w:ind w:right="92"/>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Total gross profit decreased $7.4 million in the nine months ended September 30, 2007, or 9.1%, compared to the gross profit generated in the nine months ended October 1, 2006. Gross profit percentage for the nine months ended September 30, 2007 was 13.6% of net sales, a decrease of 0.4% from 14.0% for the nine months ended October 1, 2006. This decline in gross profit percentage was primarily attributable to an overall decrease in average selling prices.</w:t>
      </w:r>
    </w:p>
    <w:p>
      <w:pPr>
        <w:spacing w:after="0" w:line="137" w:lineRule="exact"/>
        <w:rPr>
          <w:sz w:val="20"/>
          <w:szCs w:val="20"/>
          <w:color w:val="auto"/>
        </w:rPr>
      </w:pPr>
    </w:p>
    <w:p>
      <w:pPr>
        <w:ind w:right="56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nine months ended September 30, 2007 declined to 8.9%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14.6% for the nine months ended October 1, 2006. This decline in gross profit percentage was primarily attributable to a 23.9% decrease in average selling prices.</w:t>
      </w:r>
    </w:p>
    <w:p>
      <w:pPr>
        <w:spacing w:after="0" w:line="131" w:lineRule="exact"/>
        <w:rPr>
          <w:sz w:val="20"/>
          <w:szCs w:val="20"/>
          <w:color w:val="auto"/>
        </w:rPr>
      </w:pPr>
    </w:p>
    <w:p>
      <w:pPr>
        <w:ind w:right="220" w:firstLine="571"/>
        <w:spacing w:after="0" w:line="293"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Gross profit percentage for the current period improved compared to the prior-year period primarily due to a 143.8%</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sales volume and a $3.9 million decrease in cost of sales which resulted primarily from a decrease in depreciation and amortization expense in connection with impairment charges in the second quarter of 2006, offset in part by a 53.6% decrease in average selling prices.</w:t>
      </w:r>
    </w:p>
    <w:p>
      <w:pPr>
        <w:spacing w:after="0" w:line="96" w:lineRule="exact"/>
        <w:rPr>
          <w:sz w:val="20"/>
          <w:szCs w:val="20"/>
          <w:color w:val="auto"/>
        </w:rPr>
      </w:pPr>
    </w:p>
    <w:p>
      <w:pPr>
        <w:jc w:val="both"/>
        <w:ind w:right="4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14.6%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from 16.5% in the nine months ended October 1, 2006. This decrease was primarily due to an 8.1% decrease in average selling prices caused by a decline in customer demand.</w:t>
      </w:r>
    </w:p>
    <w:p>
      <w:pPr>
        <w:spacing w:after="0" w:line="131" w:lineRule="exact"/>
        <w:rPr>
          <w:sz w:val="20"/>
          <w:szCs w:val="20"/>
          <w:color w:val="auto"/>
        </w:rPr>
      </w:pPr>
    </w:p>
    <w:p>
      <w:pPr>
        <w:jc w:val="center"/>
        <w:ind w:right="100"/>
        <w:spacing w:after="0"/>
        <w:tabs>
          <w:tab w:leader="none" w:pos="180" w:val="left"/>
        </w:tabs>
        <w:rPr>
          <w:sz w:val="20"/>
          <w:szCs w:val="20"/>
          <w:color w:val="auto"/>
        </w:rPr>
      </w:pPr>
      <w:r>
        <w:rPr>
          <w:rFonts w:ascii="Arial" w:cs="Arial" w:eastAsia="Arial" w:hAnsi="Arial"/>
          <w:sz w:val="18"/>
          <w:szCs w:val="18"/>
          <w:i w:val="1"/>
          <w:iCs w:val="1"/>
          <w:color w:val="auto"/>
        </w:rPr>
        <w:t>All other.</w:t>
      </w:r>
      <w:r>
        <w:rPr>
          <w:sz w:val="20"/>
          <w:szCs w:val="20"/>
          <w:color w:val="auto"/>
        </w:rPr>
        <w:tab/>
      </w:r>
      <w:r>
        <w:rPr>
          <w:rFonts w:ascii="Arial" w:cs="Arial" w:eastAsia="Arial" w:hAnsi="Arial"/>
          <w:sz w:val="16"/>
          <w:szCs w:val="16"/>
          <w:color w:val="auto"/>
        </w:rPr>
        <w:t>Gross profit percentage for All other for the current period increased to 37.2% from 24.0% for the prior-year period. This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improvement in gross profit percentage was primarily attributable to an increase in sales volume for unit processing and lower fixed costs per unit.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$71.9 million or 13.2% of net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2007 compared to $66.4 million or 11.4% for the nine months ended October 1, 2006. The increase of $5.5 million or 8.3% from the prior-year period was mainly attributable to a settlement with former subcontractors of $1.3 million. These increases were partially offset by a $1.2 million decrease in depreciation and amortization expenses resulting from impairment charges taken during the second quarter of 2006.</w:t>
      </w:r>
    </w:p>
    <w:p>
      <w:pPr>
        <w:spacing w:after="0" w:line="136" w:lineRule="exact"/>
        <w:rPr>
          <w:sz w:val="20"/>
          <w:szCs w:val="20"/>
          <w:color w:val="auto"/>
        </w:rPr>
      </w:pPr>
    </w:p>
    <w:p>
      <w:pPr>
        <w:ind w:right="220" w:firstLine="571"/>
        <w:spacing w:after="0" w:line="241"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current period were $101.1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or 5.3% from $95.9 million for the prior year period, mainly due to an increase in photomask usage of $3.4 million for new product development. This increase in research and development expenses essentially represented our focus on the introduction of new products. As a percentage of net sales, research and development expenses for the current period increased to 18.5% compared to 16.5% for the prior-year period.</w:t>
      </w:r>
    </w:p>
    <w:p>
      <w:pPr>
        <w:spacing w:after="0" w:line="136" w:lineRule="exact"/>
        <w:rPr>
          <w:sz w:val="20"/>
          <w:szCs w:val="20"/>
          <w:color w:val="auto"/>
        </w:rPr>
      </w:pPr>
    </w:p>
    <w:p>
      <w:pPr>
        <w:ind w:firstLine="571"/>
        <w:spacing w:after="0" w:line="272"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nine months ended September 30, 2007, we recognized restructuring and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charges of $12.1 million, which consisted of $10.1 million of impairment charges under SFAS No. 144 </w:t>
      </w:r>
      <w:r>
        <w:rPr>
          <w:rFonts w:ascii="Arial" w:cs="Arial" w:eastAsia="Arial" w:hAnsi="Arial"/>
          <w:sz w:val="16"/>
          <w:szCs w:val="16"/>
          <w:i w:val="1"/>
          <w:iCs w:val="1"/>
          <w:color w:val="auto"/>
        </w:rPr>
        <w:t>Accounting for the Impairment or Disposal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(“SFAS No. 144”) and $2.0 million of restructuring charges under SFAS No. 146</w:t>
      </w:r>
      <w:r>
        <w:rPr>
          <w:rFonts w:ascii="Arial" w:cs="Arial" w:eastAsia="Arial" w:hAnsi="Arial"/>
          <w:sz w:val="16"/>
          <w:szCs w:val="16"/>
          <w:i w:val="1"/>
          <w:iCs w:val="1"/>
          <w:color w:val="auto"/>
        </w:rPr>
        <w:t xml:space="preserve"> Accounting for Costs Associated with Exit or Disposal Activities </w:t>
      </w:r>
      <w:r>
        <w:rPr>
          <w:rFonts w:ascii="Arial" w:cs="Arial" w:eastAsia="Arial" w:hAnsi="Arial"/>
          <w:sz w:val="16"/>
          <w:szCs w:val="16"/>
          <w:color w:val="auto"/>
        </w:rPr>
        <w:t>(“SFAS No. 146”)</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impairment charges were recorded related to the closure of our five-inch wafer fabrication facility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losses and no longer supports our strategic technology roadmap. This facility closing is expected to be completed within the next several months. During the nine months ended October 1, 2006, we determined, based on revised forecasts, that the projected demand for certain of our products in the Imaging Solutions segment was significantly less than previously forecasted and that this decline was not temporary or seasonal. Therefore, we assessed whether there had been a material impairment of the asset group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and recorded impairment and restructuring charges of $93.9 million. The amount included $92.5 million of impairment charges recorded under SFAS No. 144 and $1.4 million of restructuring charges under SFAS No. 146. The impairment charges were recorded against a group of assets comprising of one of our fabrication facilities and certain related technology and customer-based intangible assets in our imaging solutions business, and the restructuring charges were incurred in association with certain changes in our management and the early retirement of certain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jc w:val="both"/>
        <w:ind w:right="200" w:firstLine="571"/>
        <w:spacing w:after="0" w:line="27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was $44.7 million during the nine-month period ended September 30, 2007, consistent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$43.0 million for the nine months ended October 1, 2006. Interest expense was incurred to service our notes in the amount of $750.0 million and drawings under our senior secured credit facility. At September 30, 2007, the notes bore interest at a weighted average interest rate of 7.94%.</w:t>
      </w:r>
    </w:p>
    <w:p>
      <w:pPr>
        <w:ind w:right="40"/>
        <w:spacing w:after="0" w:line="238" w:lineRule="auto"/>
        <w:rPr>
          <w:sz w:val="20"/>
          <w:szCs w:val="20"/>
          <w:color w:val="auto"/>
        </w:rPr>
      </w:pPr>
      <w:r>
        <w:rPr>
          <w:rFonts w:ascii="Arial" w:cs="Arial" w:eastAsia="Arial" w:hAnsi="Arial"/>
          <w:sz w:val="18"/>
          <w:szCs w:val="18"/>
          <w:color w:val="auto"/>
        </w:rPr>
        <w:t>Drawings under our senior secured credit facility bore interest at September 30, 2007 at either three-month LIBOR plus 4.75% or ABR plus 3.75%. The increase in net interest expense was mainly due to a decrease in interest income from financial assets including cash and cash equivalents and an increase in interest expense driven by drawdowns from the our senior secured credit facility.</w:t>
      </w:r>
    </w:p>
    <w:p>
      <w:pPr>
        <w:spacing w:after="0" w:line="136" w:lineRule="exact"/>
        <w:rPr>
          <w:sz w:val="20"/>
          <w:szCs w:val="20"/>
          <w:color w:val="auto"/>
        </w:rPr>
      </w:pPr>
    </w:p>
    <w:p>
      <w:pPr>
        <w:ind w:firstLine="571"/>
        <w:spacing w:after="0" w:line="260" w:lineRule="auto"/>
        <w:rPr>
          <w:sz w:val="20"/>
          <w:szCs w:val="20"/>
          <w:color w:val="auto"/>
        </w:rPr>
      </w:pPr>
      <w:r>
        <w:rPr>
          <w:rFonts w:ascii="Arial" w:cs="Arial" w:eastAsia="Arial" w:hAnsi="Arial"/>
          <w:sz w:val="18"/>
          <w:szCs w:val="18"/>
          <w:i w:val="1"/>
          <w:iCs w:val="1"/>
          <w:color w:val="auto"/>
        </w:rPr>
        <w:t xml:space="preserve">Foreign Currency Gain, net. </w:t>
      </w:r>
      <w:r>
        <w:rPr>
          <w:rFonts w:ascii="Arial" w:cs="Arial" w:eastAsia="Arial" w:hAnsi="Arial"/>
          <w:sz w:val="18"/>
          <w:szCs w:val="18"/>
          <w:color w:val="auto"/>
        </w:rPr>
        <w:t>Net foreign currency gain for the nine months ended September 30, 2007 was $11.3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gain of $40.9 million for the nine months ended October 1, 2006.</w:t>
      </w:r>
    </w:p>
    <w:p>
      <w:pPr>
        <w:spacing w:after="0" w:line="137"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recorded for intercompany borrowings at our Korean subsidiary and is affected by changes in the exchange rate between the Korean won and the U.S. dollar. The Korean won to U.S. dollar exchange rates were 913.6:1 and 946.0:1 using the noon buying rate in effect as of September 30, 2007 and October 1, 2006, respectively, as quoted by the Federal Reserve Bank of New York.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79"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current period were $6.6 million, compared to income tax expenses of $6.8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2006. Our income tax expenses are mostly composed of withholding taxes on intercompany interest payments and changes in deferred tax assets. Due to the uncertainty of the utilization of foreign tax credits, we did not recognize these withholding taxes as deferred tax assets.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2006 and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14"/>
                <w:szCs w:val="14"/>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2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644.9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3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729.0</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77.7</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87.7</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4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131.3</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94.3</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340" w:type="dxa"/>
            <w:vAlign w:val="bottom"/>
          </w:tcPr>
          <w:p>
            <w:pPr>
              <w:spacing w:after="0"/>
              <w:rPr>
                <w:sz w:val="17"/>
                <w:szCs w:val="17"/>
                <w:color w:val="auto"/>
              </w:rPr>
            </w:pP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36.2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(213.8)</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(28.7)</w:t>
            </w:r>
          </w:p>
        </w:tc>
        <w:tc>
          <w:tcPr>
            <w:tcW w:w="1340" w:type="dxa"/>
            <w:vAlign w:val="bottom"/>
            <w:gridSpan w:val="3"/>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(58.4)</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57.2</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57.2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50.9</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16.5</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(220.1)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0.2</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21"/>
                <w:szCs w:val="21"/>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7"/>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$ 273.7</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$ 326.0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(52.4)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60.5</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163.3</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17.4</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342.4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345.4</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67.8</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102.9</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11.0</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derive a majority of our net sales from three reportable segments: Display Solutions, Imaging Solutions and Semiconductor Manufacturing Services. All other for the period also included certain business activities exited in late 2005 or early 2006, such as our application processor and DRAM foundry businesses.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net sales for 2006 decreased $193.3 million, or 20.6%, compared to 2005. Net sales generated from the three reportable segments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2006 were $676.6 million, a decrease of $158.2 million, or 18.9%, from net sales from the three operating segments in 2005 mainly due to a</w:t>
      </w:r>
    </w:p>
    <w:p>
      <w:pPr>
        <w:spacing w:after="0"/>
        <w:rPr>
          <w:sz w:val="20"/>
          <w:szCs w:val="20"/>
          <w:color w:val="auto"/>
        </w:rPr>
      </w:pPr>
      <w:r>
        <w:rPr>
          <w:rFonts w:ascii="Arial" w:cs="Arial" w:eastAsia="Arial" w:hAnsi="Arial"/>
          <w:sz w:val="16"/>
          <w:szCs w:val="16"/>
          <w:color w:val="auto"/>
        </w:rPr>
        <w:t>$102.8 million, or 63.0%, decrease in net sales from the Imaging Solutions segment and a $52.4 million, or 16.0%, decrease in net sales from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Display Solutions segment.</w:t>
      </w:r>
    </w:p>
    <w:p>
      <w:pPr>
        <w:spacing w:after="0" w:line="140" w:lineRule="exact"/>
        <w:rPr>
          <w:sz w:val="20"/>
          <w:szCs w:val="20"/>
          <w:color w:val="auto"/>
        </w:rPr>
      </w:pPr>
    </w:p>
    <w:p>
      <w:pPr>
        <w:ind w:right="46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2006 were $273.7 million, a $52.4 million,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16.1% decrease, from $326.0 million for the year ended December 31, 2005. This decrease was primarily attributable to a 14.7% decline in average selling prices and a 1.6% sales volume decrease in large display driver products.</w:t>
      </w:r>
    </w:p>
    <w:p>
      <w:pPr>
        <w:spacing w:after="0" w:line="131" w:lineRule="exact"/>
        <w:rPr>
          <w:sz w:val="20"/>
          <w:szCs w:val="20"/>
          <w:color w:val="auto"/>
        </w:rPr>
      </w:pPr>
    </w:p>
    <w:p>
      <w:pPr>
        <w:ind w:right="60" w:firstLine="571"/>
        <w:spacing w:after="0" w:line="260"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decreased $102.8 million in 2006, or 63%, compared to net sales generated in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attributable to delays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transitioning to new megapixel products, resulting in a market share loss in this segment. Sales volume was decreased by 37.8% due to lower market demand and average selling prices were decreased by 36.2%.</w:t>
      </w:r>
    </w:p>
    <w:p>
      <w:pPr>
        <w:spacing w:after="0" w:line="137" w:lineRule="exact"/>
        <w:rPr>
          <w:sz w:val="20"/>
          <w:szCs w:val="20"/>
          <w:color w:val="auto"/>
        </w:rPr>
      </w:pPr>
    </w:p>
    <w:p>
      <w:pPr>
        <w:jc w:val="both"/>
        <w:ind w:right="16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year ended December 31, 2006</w:t>
      </w:r>
      <w:r>
        <w:rPr>
          <w:rFonts w:ascii="Arial" w:cs="Arial" w:eastAsia="Arial" w:hAnsi="Arial"/>
          <w:sz w:val="18"/>
          <w:szCs w:val="18"/>
          <w:i w:val="1"/>
          <w:iCs w:val="1"/>
          <w:color w:val="auto"/>
        </w:rPr>
        <w:t xml:space="preserve"> </w:t>
      </w:r>
      <w:r>
        <w:rPr>
          <w:rFonts w:ascii="Arial" w:cs="Arial" w:eastAsia="Arial" w:hAnsi="Arial"/>
          <w:sz w:val="18"/>
          <w:szCs w:val="18"/>
          <w:color w:val="auto"/>
        </w:rPr>
        <w:t>were $342.4 million, a $3.0 million or 0.9% decrease, compared to net sales of $345.4 million for 2005. The decrease was attributable to a 14.8% decrease in the average selling prices of eight-inch equivalent wafers, partially offset by 11.0% sales volume increase.</w:t>
      </w:r>
    </w:p>
    <w:p>
      <w:pPr>
        <w:spacing w:after="0" w:line="131"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2006 were $67.8 million compared to $102.9 million for 2005. This year-over-year sales reduction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$35.1 million was caused by the exit of our application processor and DRAM foundry businesses which generated $97.0 million of net sales in 2005, which were partially offset by a $60.8 million increase in sales from unit processing due to entering into a new arrangement with the customer.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years ended December 31, 2006 and 2005:</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5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December 31, 2006</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December 31, 2005</w:t>
            </w:r>
          </w:p>
        </w:tc>
        <w:tc>
          <w:tcPr>
            <w:tcW w:w="160" w:type="dxa"/>
            <w:vAlign w:val="bottom"/>
          </w:tcPr>
          <w:p>
            <w:pPr>
              <w:spacing w:after="0"/>
              <w:rPr>
                <w:sz w:val="15"/>
                <w:szCs w:val="15"/>
                <w:color w:val="auto"/>
              </w:rPr>
            </w:pPr>
          </w:p>
        </w:tc>
      </w:tr>
      <w:tr>
        <w:trPr>
          <w:trHeight w:val="223"/>
        </w:trPr>
        <w:tc>
          <w:tcPr>
            <w:tcW w:w="456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of Total</w:t>
            </w:r>
          </w:p>
        </w:tc>
      </w:tr>
      <w:tr>
        <w:trPr>
          <w:trHeight w:val="142"/>
        </w:trPr>
        <w:tc>
          <w:tcPr>
            <w:tcW w:w="45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54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$413.7</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55.6%</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$512.4</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173.0</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251.2</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97.8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9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62.4</w:t>
            </w:r>
          </w:p>
        </w:tc>
        <w:tc>
          <w:tcPr>
            <w:tcW w:w="102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8.4</w:t>
            </w:r>
          </w:p>
        </w:tc>
        <w:tc>
          <w:tcPr>
            <w:tcW w:w="12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56.9</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0"/>
        </w:trPr>
        <w:tc>
          <w:tcPr>
            <w:tcW w:w="4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10"/>
        </w:trPr>
        <w:tc>
          <w:tcPr>
            <w:tcW w:w="456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744.4</w:t>
            </w:r>
          </w:p>
        </w:tc>
        <w:tc>
          <w:tcPr>
            <w:tcW w:w="4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937.7</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2005</w:t>
            </w:r>
          </w:p>
        </w:tc>
        <w:tc>
          <w:tcPr>
            <w:tcW w:w="240" w:type="dxa"/>
            <w:vAlign w:val="bottom"/>
          </w:tcPr>
          <w:p>
            <w:pPr>
              <w:spacing w:after="0"/>
              <w:rPr>
                <w:sz w:val="14"/>
                <w:szCs w:val="14"/>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6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9"/>
              <w:spacing w:after="0" w:line="115"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9"/>
              <w:spacing w:after="0" w:line="115" w:lineRule="exact"/>
              <w:rPr>
                <w:sz w:val="20"/>
                <w:szCs w:val="20"/>
                <w:color w:val="auto"/>
              </w:rPr>
            </w:pPr>
            <w:r>
              <w:rPr>
                <w:rFonts w:ascii="Arial" w:cs="Arial" w:eastAsia="Arial" w:hAnsi="Arial"/>
                <w:sz w:val="12"/>
                <w:szCs w:val="12"/>
                <w:b w:val="1"/>
                <w:bCs w:val="1"/>
                <w:color w:val="auto"/>
              </w:rPr>
              <w:t>% of</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net sales</w:t>
            </w:r>
          </w:p>
        </w:tc>
        <w:tc>
          <w:tcPr>
            <w:tcW w:w="3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net sales</w:t>
            </w:r>
          </w:p>
        </w:tc>
        <w:tc>
          <w:tcPr>
            <w:tcW w:w="24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81"/>
              </w:rPr>
              <w:t>(in</w:t>
            </w: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$ 35.6</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66.5</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25.4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110.4</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0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6.3</w:t>
            </w: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$ 99.4</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u w:val="single" w:color="auto"/>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208.7</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Total gross profit decreased $109.2 million in 2006, or 52.4%, compared to 2005. Gross profit percentage for 2006 was 13.4% of net sales, a decrease of 8.9% from 22.3% for 2005. This decline in gross profit percentage was primarily attributable to lower utilization of our manufacturing capacity as a result of substantial sales decreases, coupled with an overall decrease in average selling prices.</w:t>
      </w:r>
    </w:p>
    <w:p>
      <w:pPr>
        <w:spacing w:after="0" w:line="136"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profit percentage for Display Solutions for the year ended December 31, 2006 declined to 13.0%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20.4% for the year ended December 31, 2005. This decline in gross profit percentage was primarily attributable to a reduction of 14.7% in average selling prices from the previous year’s average selling prices and to higher overhead cost per-unit driven by a decrease in unit volume.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reported a gross loss for the year ended December 31, 2006 primarily attributable to delays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to our new megapixel products and due to significant decreases in market demand for older products and a 36.2% decrease in average selling prices.</w:t>
      </w:r>
    </w:p>
    <w:p>
      <w:pPr>
        <w:spacing w:after="0" w:line="131" w:lineRule="exact"/>
        <w:rPr>
          <w:sz w:val="20"/>
          <w:szCs w:val="20"/>
          <w:color w:val="auto"/>
        </w:rPr>
      </w:pPr>
    </w:p>
    <w:p>
      <w:pPr>
        <w:ind w:right="28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13.4%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32.0% in 2005. The year-over-year decrease was primarily attributable to manufacturing a higher mix of larger geometry wafers, which generate lower gross profits than smaller geometry wafers resulting in a 14.8% decrease in average selling prices.</w:t>
      </w:r>
    </w:p>
    <w:p>
      <w:pPr>
        <w:spacing w:after="0" w:line="131" w:lineRule="exact"/>
        <w:rPr>
          <w:sz w:val="20"/>
          <w:szCs w:val="20"/>
          <w:color w:val="auto"/>
        </w:rPr>
      </w:pPr>
    </w:p>
    <w:p>
      <w:pPr>
        <w:ind w:right="60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2006 increased to 32.6% from 6.1% for the year ended December 31,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mainly attributable to the discontinuation of the less profitable application processor and DRAM foundry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140" w:firstLine="571"/>
        <w:spacing w:after="0" w:line="28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$87.7 million or 11.8% of net sales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2006 compared to $123.2 million, or 13.1% of net sales, for the year ended December 31, 2005. This decrease of $35.5 million, or 28.9%, from the prior year was primarily attributable to a $13.3 million reduction in professional service fees driven by our cost containment efforts and a $11.5 million decrease in amortization expense of intangible assets as a result of an impairment taken during the year.</w:t>
      </w:r>
    </w:p>
    <w:p>
      <w:pPr>
        <w:spacing w:after="0" w:line="105"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year ended December 31, 2006 were $131.3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$23.7 million, or 21.9%, increase, from $107.6 million for the year ended December 21, 2005. This increase in research and development expenses during the year primarily represented our focus on the introduction of new products. As a percentage of net sales, research and development expense increased to 17.6% in the more recent period as compared to 11.5% in the prior period.</w:t>
      </w:r>
    </w:p>
    <w:p>
      <w:pPr>
        <w:spacing w:after="0" w:line="13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2006, we recorded restructuring and impairment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$94.3 million, which included $92.9 million of impairment charges under SFAS No. 144 and $1.4 million of restructuring charges under SFAS No. 146. The impairment charges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62"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$1.4 million of restructuring charges for 2006 were incurred in connection with the termination of certain members of our management and other employees.</w:t>
      </w:r>
    </w:p>
    <w:p>
      <w:pPr>
        <w:spacing w:after="0" w:line="15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During the year ended December 31, 2005, we recorded a one-time charge of $36.2 million of restructuring and impairment charges which included $33.5 million for asset impairment and $2.7 million for restructuring.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jc w:val="both"/>
        <w:ind w:right="20" w:firstLine="571"/>
        <w:spacing w:after="0" w:line="24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$57.2 million for the year ended December 31, 2006, consistent with $57.2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2005. Interest expense was incurred to serve our notes in the amount of $750 million. At December 31, 2006, the notes bore interest at a weighted average interest rate of 7.94%.</w:t>
      </w:r>
    </w:p>
    <w:p>
      <w:pPr>
        <w:spacing w:after="0" w:line="13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Foreign Currency Gain, net. </w:t>
      </w:r>
      <w:r>
        <w:rPr>
          <w:rFonts w:ascii="Arial" w:cs="Arial" w:eastAsia="Arial" w:hAnsi="Arial"/>
          <w:sz w:val="18"/>
          <w:szCs w:val="18"/>
          <w:color w:val="auto"/>
        </w:rPr>
        <w:t>Net foreign currency gain for the year ended December 31, 2006 was $50.9 million, compared to $16.5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2005. A substantial portion of our net foreign currency gain was non-cash translation gain recorded for intercompany borrowings at one of our subsidiaries and is affected by changes in the Korean won to U.S. dollar exchange rate, which was 930.0:1 using the noon buying rate in effect as of December 31, 2006 as quoted by the Federal Reserve Bank of New York as compared to 1,010:1 for the prior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Income tax expenses for the year ended December 31, 2006 were $9.3 million while income tax expenses were $1.8 million for the year ended December 31, 2005. The lower income tax expenses in the prior period were primarily attributable to the income tax benefit recognized for a temporary difference related to revenue recognition at our Japanese subsidiaries, which became recognizable as a result of a change in business model. Income tax expenses for 2006 were comprised of $5.2 million of withholding taxes on the interest paid by one of our subsidiaries to its parent company, a $2.0 million income tax effect from the decrease of deferred tax assets and an aggregate $2.0 million of current income taxes incurred at various jurisdictions where we had our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2005 and December 31, 2004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Three months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Total twelve months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ended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right"/>
              <w:ind w:right="792"/>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1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 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72"/>
              <w:spacing w:after="0" w:line="115" w:lineRule="exact"/>
              <w:rPr>
                <w:sz w:val="20"/>
                <w:szCs w:val="20"/>
                <w:color w:val="auto"/>
              </w:rPr>
            </w:pPr>
            <w:r>
              <w:rPr>
                <w:rFonts w:ascii="Arial" w:cs="Arial" w:eastAsia="Arial" w:hAnsi="Arial"/>
                <w:sz w:val="12"/>
                <w:szCs w:val="12"/>
                <w:b w:val="1"/>
                <w:bCs w:val="1"/>
                <w:color w:val="auto"/>
              </w:rPr>
              <w:t>% of</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6"/>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w w:val="83"/>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w w:val="93"/>
              </w:rPr>
              <w:t>net sales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Company)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6"/>
              </w:rPr>
              <w:t>(in millions; %)</w:t>
            </w:r>
          </w:p>
        </w:tc>
        <w:tc>
          <w:tcPr>
            <w:tcW w:w="120" w:type="dxa"/>
            <w:vAlign w:val="bottom"/>
          </w:tcPr>
          <w:p>
            <w:pPr>
              <w:spacing w:after="0"/>
              <w:rPr>
                <w:sz w:val="14"/>
                <w:szCs w:val="14"/>
                <w:color w:val="auto"/>
              </w:rPr>
            </w:pPr>
          </w:p>
        </w:tc>
        <w:tc>
          <w:tcPr>
            <w:tcW w:w="206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6"/>
              </w:rPr>
              <w:t>(Predecessor Company)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440"/>
              <w:spacing w:after="0" w:line="202" w:lineRule="exact"/>
              <w:rPr>
                <w:sz w:val="20"/>
                <w:szCs w:val="20"/>
                <w:color w:val="auto"/>
              </w:rPr>
            </w:pPr>
            <w:r>
              <w:rPr>
                <w:rFonts w:ascii="Arial" w:cs="Arial" w:eastAsia="Arial" w:hAnsi="Arial"/>
                <w:sz w:val="18"/>
                <w:szCs w:val="18"/>
                <w:color w:val="auto"/>
              </w:rPr>
              <w:t>Related party</w:t>
            </w:r>
          </w:p>
        </w:tc>
        <w:tc>
          <w:tcPr>
            <w:tcW w:w="46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4"/>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163.8</w:t>
            </w:r>
          </w:p>
        </w:tc>
        <w:tc>
          <w:tcPr>
            <w:tcW w:w="120" w:type="dxa"/>
            <w:vAlign w:val="bottom"/>
          </w:tcPr>
          <w:p>
            <w:pPr>
              <w:spacing w:after="0"/>
              <w:rPr>
                <w:sz w:val="17"/>
                <w:szCs w:val="17"/>
                <w:color w:val="auto"/>
              </w:rPr>
            </w:pPr>
          </w:p>
        </w:tc>
        <w:tc>
          <w:tcPr>
            <w:tcW w:w="32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15.1%</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70"/>
              </w:rPr>
              <w:t>937.7</w:t>
            </w:r>
          </w:p>
        </w:tc>
        <w:tc>
          <w:tcPr>
            <w:tcW w:w="160" w:type="dxa"/>
            <w:vAlign w:val="bottom"/>
            <w:tcBorders>
              <w:lef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243.6</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921.4</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70"/>
              </w:rPr>
              <w:t>937.7</w:t>
            </w: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1,085.2</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70"/>
              </w:rPr>
              <w:t>729.0</w:t>
            </w:r>
          </w:p>
        </w:tc>
        <w:tc>
          <w:tcPr>
            <w:tcW w:w="160" w:type="dxa"/>
            <w:vAlign w:val="bottom"/>
            <w:tcBorders>
              <w:left w:val="single" w:sz="8" w:color="CCEEFF"/>
            </w:tcBorders>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02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859.1</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w:t>
            </w:r>
          </w:p>
        </w:tc>
        <w:tc>
          <w:tcPr>
            <w:tcW w:w="3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w w:val="70"/>
              </w:rPr>
              <w:t>208.7</w:t>
            </w:r>
          </w:p>
        </w:tc>
        <w:tc>
          <w:tcPr>
            <w:tcW w:w="1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3"/>
          </w:tcPr>
          <w:p>
            <w:pPr>
              <w:jc w:val="right"/>
              <w:ind w:right="37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226.1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6"/>
        </w:trPr>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expenses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80"/>
              <w:spacing w:after="0" w:line="200" w:lineRule="exact"/>
              <w:rPr>
                <w:sz w:val="20"/>
                <w:szCs w:val="20"/>
                <w:color w:val="auto"/>
              </w:rPr>
            </w:pPr>
            <w:r>
              <w:rPr>
                <w:rFonts w:ascii="Arial" w:cs="Arial" w:eastAsia="Arial" w:hAnsi="Arial"/>
                <w:sz w:val="18"/>
                <w:szCs w:val="18"/>
                <w:color w:val="auto"/>
                <w:w w:val="70"/>
              </w:rPr>
              <w:t>123.2</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372"/>
              <w:spacing w:after="0" w:line="200"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29.8</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83.8</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rPr>
              <w:t>7.7</w:t>
            </w: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80"/>
              <w:spacing w:after="0" w:line="202" w:lineRule="exact"/>
              <w:rPr>
                <w:sz w:val="20"/>
                <w:szCs w:val="20"/>
                <w:color w:val="auto"/>
              </w:rPr>
            </w:pPr>
            <w:r>
              <w:rPr>
                <w:rFonts w:ascii="Arial" w:cs="Arial" w:eastAsia="Arial" w:hAnsi="Arial"/>
                <w:sz w:val="18"/>
                <w:szCs w:val="18"/>
                <w:color w:val="auto"/>
                <w:w w:val="70"/>
              </w:rPr>
              <w:t>107.6</w:t>
            </w:r>
          </w:p>
        </w:tc>
        <w:tc>
          <w:tcPr>
            <w:tcW w:w="160" w:type="dxa"/>
            <w:vAlign w:val="bottom"/>
          </w:tcPr>
          <w:p>
            <w:pPr>
              <w:spacing w:after="0"/>
              <w:rPr>
                <w:sz w:val="17"/>
                <w:szCs w:val="17"/>
                <w:color w:val="auto"/>
              </w:rPr>
            </w:pPr>
          </w:p>
        </w:tc>
        <w:tc>
          <w:tcPr>
            <w:tcW w:w="1320" w:type="dxa"/>
            <w:vAlign w:val="bottom"/>
            <w:gridSpan w:val="5"/>
          </w:tcPr>
          <w:p>
            <w:pPr>
              <w:jc w:val="right"/>
              <w:ind w:right="372"/>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9.0</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36.2</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Foreign currency gain, net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1320" w:type="dxa"/>
            <w:vAlign w:val="bottom"/>
            <w:gridSpan w:val="5"/>
          </w:tcPr>
          <w:p>
            <w:pPr>
              <w:jc w:val="right"/>
              <w:ind w:right="372"/>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w:t>
            </w:r>
          </w:p>
        </w:tc>
        <w:tc>
          <w:tcPr>
            <w:tcW w:w="1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w:t>
            </w: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 net</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1320" w:type="dxa"/>
            <w:vAlign w:val="bottom"/>
            <w:gridSpan w:val="5"/>
          </w:tcPr>
          <w:p>
            <w:pPr>
              <w:jc w:val="right"/>
              <w:ind w:right="3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1320" w:type="dxa"/>
            <w:vAlign w:val="bottom"/>
            <w:gridSpan w:val="5"/>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w:t>
            </w:r>
          </w:p>
        </w:tc>
        <w:tc>
          <w:tcPr>
            <w:tcW w:w="1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0.9</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(100.9)</w:t>
            </w:r>
          </w:p>
        </w:tc>
        <w:tc>
          <w:tcPr>
            <w:tcW w:w="1320" w:type="dxa"/>
            <w:vAlign w:val="bottom"/>
            <w:gridSpan w:val="5"/>
          </w:tcPr>
          <w:p>
            <w:pPr>
              <w:jc w:val="right"/>
              <w:ind w:right="152"/>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tcBorders>
              <w:right w:val="single" w:sz="8" w:color="auto"/>
            </w:tcBorders>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43.2</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7"/>
                <w:szCs w:val="17"/>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6"/>
              </w:rPr>
              <w:t>Total twelve months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258"/>
              <w:spacing w:after="0" w:line="149" w:lineRule="exact"/>
              <w:rPr>
                <w:sz w:val="20"/>
                <w:szCs w:val="20"/>
                <w:color w:val="auto"/>
              </w:rPr>
            </w:pPr>
            <w:r>
              <w:rPr>
                <w:rFonts w:ascii="Arial" w:cs="Arial" w:eastAsia="Arial" w:hAnsi="Arial"/>
                <w:sz w:val="14"/>
                <w:szCs w:val="14"/>
                <w:b w:val="1"/>
                <w:bCs w:val="1"/>
                <w:color w:val="auto"/>
                <w:w w:val="96"/>
              </w:rPr>
              <w:t>ended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tcPr>
          <w:p>
            <w:pPr>
              <w:jc w:val="right"/>
              <w:ind w:right="872"/>
              <w:spacing w:after="0" w:line="149" w:lineRule="exact"/>
              <w:rPr>
                <w:sz w:val="20"/>
                <w:szCs w:val="20"/>
                <w:color w:val="auto"/>
              </w:rPr>
            </w:pPr>
            <w:r>
              <w:rPr>
                <w:rFonts w:ascii="Arial" w:cs="Arial" w:eastAsia="Arial" w:hAnsi="Arial"/>
                <w:sz w:val="14"/>
                <w:szCs w:val="14"/>
                <w:b w:val="1"/>
                <w:bCs w:val="1"/>
                <w:color w:val="auto"/>
              </w:rPr>
              <w:t>Year ended</w:t>
            </w:r>
          </w:p>
        </w:tc>
        <w:tc>
          <w:tcPr>
            <w:tcW w:w="130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2"/>
                <w:szCs w:val="12"/>
                <w:color w:val="auto"/>
              </w:rPr>
            </w:pPr>
          </w:p>
        </w:tc>
        <w:tc>
          <w:tcPr>
            <w:tcW w:w="1160" w:type="dxa"/>
            <w:vAlign w:val="bottom"/>
            <w:gridSpan w:val="5"/>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jc w:val="right"/>
              <w:ind w:right="632"/>
              <w:spacing w:after="0"/>
              <w:rPr>
                <w:sz w:val="20"/>
                <w:szCs w:val="20"/>
                <w:color w:val="auto"/>
              </w:rPr>
            </w:pPr>
            <w:r>
              <w:rPr>
                <w:rFonts w:ascii="Arial" w:cs="Arial" w:eastAsia="Arial" w:hAnsi="Arial"/>
                <w:sz w:val="14"/>
                <w:szCs w:val="14"/>
                <w:b w:val="1"/>
                <w:bCs w:val="1"/>
                <w:color w:val="auto"/>
                <w:w w:val="95"/>
              </w:rPr>
              <w:t>December 31, 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82"/>
              <w:spacing w:after="0" w:line="115" w:lineRule="exact"/>
              <w:rPr>
                <w:sz w:val="20"/>
                <w:szCs w:val="20"/>
                <w:color w:val="auto"/>
              </w:rPr>
            </w:pPr>
            <w:r>
              <w:rPr>
                <w:rFonts w:ascii="Arial" w:cs="Arial" w:eastAsia="Arial" w:hAnsi="Arial"/>
                <w:sz w:val="12"/>
                <w:szCs w:val="12"/>
                <w:b w:val="1"/>
                <w:bCs w:val="1"/>
                <w:color w:val="auto"/>
              </w:rPr>
              <w:t>% of</w:t>
            </w:r>
          </w:p>
        </w:tc>
        <w:tc>
          <w:tcPr>
            <w:tcW w:w="52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96"/>
              <w:spacing w:after="0" w:line="115" w:lineRule="exact"/>
              <w:rPr>
                <w:sz w:val="20"/>
                <w:szCs w:val="20"/>
                <w:color w:val="auto"/>
              </w:rPr>
            </w:pPr>
            <w:r>
              <w:rPr>
                <w:rFonts w:ascii="Arial" w:cs="Arial" w:eastAsia="Arial" w:hAnsi="Arial"/>
                <w:sz w:val="12"/>
                <w:szCs w:val="12"/>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7"/>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38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right"/>
              <w:spacing w:after="0" w:line="125" w:lineRule="exact"/>
              <w:rPr>
                <w:sz w:val="20"/>
                <w:szCs w:val="20"/>
                <w:color w:val="auto"/>
              </w:rPr>
            </w:pPr>
            <w:r>
              <w:rPr>
                <w:rFonts w:ascii="Arial" w:cs="Arial" w:eastAsia="Arial" w:hAnsi="Arial"/>
                <w:sz w:val="14"/>
                <w:szCs w:val="14"/>
                <w:b w:val="1"/>
                <w:bCs w:val="1"/>
                <w:color w:val="auto"/>
                <w:w w:val="95"/>
              </w:rPr>
              <w:t>(Successor</w:t>
            </w:r>
          </w:p>
        </w:tc>
        <w:tc>
          <w:tcPr>
            <w:tcW w:w="5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72"/>
              </w:rPr>
              <w:t>Company)</w:t>
            </w:r>
          </w:p>
        </w:tc>
        <w:tc>
          <w:tcPr>
            <w:tcW w:w="24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76"/>
              </w:rPr>
              <w:t>(Predecessor</w:t>
            </w:r>
          </w:p>
        </w:tc>
        <w:tc>
          <w:tcPr>
            <w:tcW w:w="1080" w:type="dxa"/>
            <w:vAlign w:val="bottom"/>
            <w:gridSpan w:val="6"/>
          </w:tcPr>
          <w:p>
            <w:pPr>
              <w:jc w:val="right"/>
              <w:ind w:right="158"/>
              <w:spacing w:after="0" w:line="125" w:lineRule="exact"/>
              <w:rPr>
                <w:sz w:val="20"/>
                <w:szCs w:val="20"/>
                <w:color w:val="auto"/>
              </w:rPr>
            </w:pPr>
            <w:r>
              <w:rPr>
                <w:rFonts w:ascii="Arial" w:cs="Arial" w:eastAsia="Arial" w:hAnsi="Arial"/>
                <w:sz w:val="14"/>
                <w:szCs w:val="14"/>
                <w:b w:val="1"/>
                <w:bCs w:val="1"/>
                <w:color w:val="auto"/>
              </w:rPr>
              <w:t>Company)</w:t>
            </w:r>
          </w:p>
        </w:tc>
        <w:tc>
          <w:tcPr>
            <w:tcW w:w="3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(in millions;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rPr>
                <w:sz w:val="11"/>
                <w:szCs w:val="11"/>
                <w:color w:val="auto"/>
              </w:rPr>
            </w:pPr>
          </w:p>
        </w:tc>
        <w:tc>
          <w:tcPr>
            <w:tcW w:w="5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$ 326.0</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23.9%</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163.3</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58.1</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142.1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345.4</w:t>
            </w:r>
          </w:p>
        </w:tc>
        <w:tc>
          <w:tcPr>
            <w:tcW w:w="16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102.9</w:t>
            </w:r>
          </w:p>
        </w:tc>
        <w:tc>
          <w:tcPr>
            <w:tcW w:w="16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230.5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3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160" w:type="dxa"/>
            <w:vAlign w:val="bottom"/>
            <w:tcBorders>
              <w:left w:val="single" w:sz="8" w:color="CCEEFF"/>
            </w:tcBorders>
            <w:shd w:val="clear" w:color="auto" w:fill="CCEEFF"/>
          </w:tcPr>
          <w:p>
            <w:pPr>
              <w:spacing w:after="0"/>
              <w:rPr>
                <w:sz w:val="17"/>
                <w:szCs w:val="17"/>
                <w:color w:val="auto"/>
              </w:rPr>
            </w:pPr>
          </w:p>
        </w:tc>
        <w:tc>
          <w:tcPr>
            <w:tcW w:w="1320" w:type="dxa"/>
            <w:vAlign w:val="bottom"/>
            <w:gridSpan w:val="5"/>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841.6</w:t>
            </w:r>
          </w:p>
        </w:tc>
        <w:tc>
          <w:tcPr>
            <w:tcW w:w="120" w:type="dxa"/>
            <w:vAlign w:val="bottom"/>
            <w:shd w:val="clear" w:color="auto" w:fill="CCEEFF"/>
          </w:tcPr>
          <w:p>
            <w:pPr>
              <w:spacing w:after="0"/>
              <w:rPr>
                <w:sz w:val="17"/>
                <w:szCs w:val="17"/>
                <w:color w:val="auto"/>
              </w:rPr>
            </w:pPr>
          </w:p>
        </w:tc>
        <w:tc>
          <w:tcPr>
            <w:tcW w:w="920" w:type="dxa"/>
            <w:vAlign w:val="bottom"/>
            <w:gridSpan w:val="5"/>
            <w:shd w:val="clear" w:color="auto" w:fill="CCEEFF"/>
          </w:tcPr>
          <w:p>
            <w:pPr>
              <w:jc w:val="right"/>
              <w:ind w:right="1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1,085.2</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Total net sales for the year ended December 31, 2005 were $937.7 million, a $147.5 million or 13.6% decrease from $1.1 billion in 2004, which consisted of $841.6 million for the nine months ended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September 30, 2004 and $243.6 million for the three months ended December 31, 2004. The reduction was primarily attributable to a decrease of $133.4 million in our DRAM foundry business with Hynix, which is included in the All other category, driven by our strategic decision to focus on three core segments. Net sales generated from the three operating segments in 2005 were $834.8 million, compared to $817.8 million in 2004.</w:t>
      </w:r>
    </w:p>
    <w:p>
      <w:pPr>
        <w:spacing w:after="0" w:line="106" w:lineRule="exact"/>
        <w:rPr>
          <w:sz w:val="20"/>
          <w:szCs w:val="20"/>
          <w:color w:val="auto"/>
        </w:rPr>
      </w:pPr>
    </w:p>
    <w:p>
      <w:pPr>
        <w:ind w:right="12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2005 were $326.0 million, a $66.9 million or 25.9%</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$259.2 million for the year ended December 31, 2004. This revenue increase for Display Solutions was driven by an expansion in market demand, partially offset by a decline of 8.0% in average selling prices.</w:t>
      </w:r>
    </w:p>
    <w:p>
      <w:pPr>
        <w:spacing w:after="0" w:line="131" w:lineRule="exact"/>
        <w:rPr>
          <w:sz w:val="20"/>
          <w:szCs w:val="20"/>
          <w:color w:val="auto"/>
        </w:rPr>
      </w:pPr>
    </w:p>
    <w:p>
      <w:pPr>
        <w:ind w:right="18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for the year ended December 2005 were $163.3 million, a decrease of $36.8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18.4%, compared to $200.1 million for the year ended December 31, 2004. This decrease in net sales was mainly attributable to a 33.1% decline in average selling price, which was partially offset by a 24.7% increase in sales volume.</w:t>
      </w:r>
    </w:p>
    <w:p>
      <w:pPr>
        <w:spacing w:after="0" w:line="131" w:lineRule="exact"/>
        <w:rPr>
          <w:sz w:val="20"/>
          <w:szCs w:val="20"/>
          <w:color w:val="auto"/>
        </w:rPr>
      </w:pPr>
    </w:p>
    <w:p>
      <w:pPr>
        <w:ind w:right="12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for the year ended December 31, 2005 generated from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were $345.4 million, compared to $358.5 million of revenue for the year ended December 31, 2004, due to a 13.5% decrease in sales volume of eight-inch equivalent wafers and a 2.0% decrease in average selling price.</w:t>
      </w:r>
    </w:p>
    <w:p>
      <w:pPr>
        <w:spacing w:after="0" w:line="131" w:lineRule="exact"/>
        <w:rPr>
          <w:sz w:val="20"/>
          <w:szCs w:val="20"/>
          <w:color w:val="auto"/>
        </w:rPr>
      </w:pPr>
    </w:p>
    <w:p>
      <w:pPr>
        <w:ind w:right="44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decreased 61.5% to $102.9 million in 2005 from $267.3 million in 2004 as we strategically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DRAM foundry and application solutions in an effort to focus on our three major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periods provided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00" w:type="dxa"/>
            <w:vAlign w:val="bottom"/>
            <w:gridSpan w:val="4"/>
          </w:tcPr>
          <w:p>
            <w:pPr>
              <w:jc w:val="right"/>
              <w:ind w:right="620"/>
              <w:spacing w:after="0" w:line="152"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860" w:type="dxa"/>
            <w:vAlign w:val="bottom"/>
            <w:gridSpan w:val="4"/>
          </w:tcPr>
          <w:p>
            <w:pPr>
              <w:ind w:left="160"/>
              <w:spacing w:after="0" w:line="152" w:lineRule="exact"/>
              <w:rPr>
                <w:sz w:val="20"/>
                <w:szCs w:val="20"/>
                <w:color w:val="auto"/>
              </w:rPr>
            </w:pPr>
            <w:r>
              <w:rPr>
                <w:rFonts w:ascii="Arial" w:cs="Arial" w:eastAsia="Arial" w:hAnsi="Arial"/>
                <w:sz w:val="14"/>
                <w:szCs w:val="14"/>
                <w:b w:val="1"/>
                <w:bCs w:val="1"/>
                <w:color w:val="auto"/>
              </w:rPr>
              <w:t>Three months ended</w:t>
            </w:r>
          </w:p>
        </w:tc>
        <w:tc>
          <w:tcPr>
            <w:tcW w:w="1600" w:type="dxa"/>
            <w:vAlign w:val="bottom"/>
            <w:gridSpan w:val="3"/>
          </w:tcPr>
          <w:p>
            <w:pPr>
              <w:jc w:val="right"/>
              <w:ind w:right="95"/>
              <w:spacing w:after="0" w:line="152" w:lineRule="exact"/>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60"/>
              <w:spacing w:after="0" w:line="152" w:lineRule="exact"/>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4"/>
                <w:szCs w:val="14"/>
                <w:b w:val="1"/>
                <w:bCs w:val="1"/>
                <w:color w:val="auto"/>
              </w:rPr>
              <w:t>December 31, 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December 31, 2004</w:t>
            </w:r>
          </w:p>
        </w:tc>
        <w:tc>
          <w:tcPr>
            <w:tcW w:w="200" w:type="dxa"/>
            <w:vAlign w:val="bottom"/>
          </w:tcPr>
          <w:p>
            <w:pPr>
              <w:spacing w:after="0"/>
              <w:rPr>
                <w:sz w:val="15"/>
                <w:szCs w:val="15"/>
                <w:color w:val="auto"/>
              </w:rPr>
            </w:pPr>
          </w:p>
        </w:tc>
        <w:tc>
          <w:tcPr>
            <w:tcW w:w="16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September 30, 2004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5"/>
              <w:spacing w:after="0"/>
              <w:rPr>
                <w:sz w:val="20"/>
                <w:szCs w:val="20"/>
                <w:color w:val="auto"/>
              </w:rPr>
            </w:pPr>
            <w:r>
              <w:rPr>
                <w:rFonts w:ascii="Arial" w:cs="Arial" w:eastAsia="Arial" w:hAnsi="Arial"/>
                <w:sz w:val="14"/>
                <w:szCs w:val="14"/>
                <w:b w:val="1"/>
                <w:bCs w:val="1"/>
                <w:color w:val="auto"/>
                <w:w w:val="96"/>
              </w:rPr>
              <w:t>December 31, 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 of Total</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 of Total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of Total</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(Successor Company)</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w:t>
            </w:r>
          </w:p>
        </w:tc>
        <w:tc>
          <w:tcPr>
            <w:tcW w:w="56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(Predecessor Company)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19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$512.4</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$ 127.2</w:t>
            </w:r>
          </w:p>
        </w:tc>
        <w:tc>
          <w:tcPr>
            <w:tcW w:w="22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57"/>
              <w:spacing w:after="0" w:line="202" w:lineRule="exact"/>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$455.6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54.1%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1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251.2</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26.8</w:t>
            </w: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63.1</w:t>
            </w:r>
          </w:p>
        </w:tc>
        <w:tc>
          <w:tcPr>
            <w:tcW w:w="880" w:type="dxa"/>
            <w:vAlign w:val="bottom"/>
            <w:tcBorders>
              <w:right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25.9</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203.8</w:t>
            </w:r>
          </w:p>
        </w:tc>
        <w:tc>
          <w:tcPr>
            <w:tcW w:w="220" w:type="dxa"/>
            <w:vAlign w:val="bottom"/>
          </w:tcPr>
          <w:p>
            <w:pPr>
              <w:spacing w:after="0"/>
              <w:rPr>
                <w:sz w:val="17"/>
                <w:szCs w:val="17"/>
                <w:color w:val="auto"/>
              </w:rPr>
            </w:pPr>
          </w:p>
        </w:tc>
        <w:tc>
          <w:tcPr>
            <w:tcW w:w="82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266.9</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880" w:type="dxa"/>
            <w:vAlign w:val="bottom"/>
            <w:tcBorders>
              <w:right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304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19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56.9</w:t>
            </w: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6.1</w:t>
            </w:r>
          </w:p>
        </w:tc>
        <w:tc>
          <w:tcPr>
            <w:tcW w:w="8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11.7</w:t>
            </w:r>
          </w:p>
        </w:tc>
        <w:tc>
          <w:tcPr>
            <w:tcW w:w="880" w:type="dxa"/>
            <w:vAlign w:val="bottom"/>
            <w:tcBorders>
              <w:right w:val="single" w:sz="8" w:color="auto"/>
            </w:tcBorders>
          </w:tcPr>
          <w:p>
            <w:pPr>
              <w:jc w:val="right"/>
              <w:ind w:right="317"/>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78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17.4</w:t>
            </w:r>
          </w:p>
        </w:tc>
        <w:tc>
          <w:tcPr>
            <w:tcW w:w="820" w:type="dxa"/>
            <w:vAlign w:val="bottom"/>
          </w:tcPr>
          <w:p>
            <w:pPr>
              <w:jc w:val="right"/>
              <w:ind w:right="295"/>
              <w:spacing w:after="0" w:line="202" w:lineRule="exact"/>
              <w:rPr>
                <w:sz w:val="20"/>
                <w:szCs w:val="20"/>
                <w:color w:val="auto"/>
              </w:rPr>
            </w:pPr>
            <w:r>
              <w:rPr>
                <w:rFonts w:ascii="Arial" w:cs="Arial" w:eastAsia="Arial" w:hAnsi="Arial"/>
                <w:sz w:val="18"/>
                <w:szCs w:val="18"/>
                <w:color w:val="auto"/>
              </w:rPr>
              <w:t>2.1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29.1</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w:t>
            </w:r>
          </w:p>
        </w:tc>
        <w:tc>
          <w:tcPr>
            <w:tcW w:w="880" w:type="dxa"/>
            <w:vAlign w:val="bottom"/>
            <w:tcBorders>
              <w:right w:val="single" w:sz="8" w:color="auto"/>
            </w:tcBorders>
            <w:shd w:val="clear" w:color="auto" w:fill="CCEEFF"/>
          </w:tcPr>
          <w:p>
            <w:pPr>
              <w:jc w:val="right"/>
              <w:ind w:right="317"/>
              <w:spacing w:after="0" w:line="202" w:lineRule="exact"/>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21.6</w:t>
            </w:r>
          </w:p>
        </w:tc>
        <w:tc>
          <w:tcPr>
            <w:tcW w:w="820" w:type="dxa"/>
            <w:vAlign w:val="bottom"/>
            <w:shd w:val="clear" w:color="auto" w:fill="CCEEFF"/>
          </w:tcPr>
          <w:p>
            <w:pPr>
              <w:jc w:val="right"/>
              <w:ind w:right="295"/>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25.2</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937.7</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$ 243.6</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157"/>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841.6</w:t>
            </w:r>
          </w:p>
        </w:tc>
        <w:tc>
          <w:tcPr>
            <w:tcW w:w="220" w:type="dxa"/>
            <w:vAlign w:val="bottom"/>
          </w:tcPr>
          <w:p>
            <w:pPr>
              <w:spacing w:after="0"/>
              <w:rPr>
                <w:sz w:val="18"/>
                <w:szCs w:val="18"/>
                <w:color w:val="auto"/>
              </w:rPr>
            </w:pPr>
          </w:p>
        </w:tc>
        <w:tc>
          <w:tcPr>
            <w:tcW w:w="820" w:type="dxa"/>
            <w:vAlign w:val="bottom"/>
          </w:tcPr>
          <w:p>
            <w:pPr>
              <w:jc w:val="right"/>
              <w:ind w:right="135"/>
              <w:spacing w:after="0"/>
              <w:rPr>
                <w:sz w:val="20"/>
                <w:szCs w:val="20"/>
                <w:color w:val="auto"/>
              </w:rPr>
            </w:pPr>
            <w:r>
              <w:rPr>
                <w:rFonts w:ascii="Arial" w:cs="Arial" w:eastAsia="Arial" w:hAnsi="Arial"/>
                <w:sz w:val="18"/>
                <w:szCs w:val="18"/>
                <w:color w:val="auto"/>
                <w:w w:val="94"/>
              </w:rPr>
              <w:t>100.0%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1,085.2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Three months</w:t>
            </w:r>
          </w:p>
        </w:tc>
        <w:tc>
          <w:tcPr>
            <w:tcW w:w="3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Nine months</w:t>
            </w:r>
          </w:p>
        </w:tc>
        <w:tc>
          <w:tcPr>
            <w:tcW w:w="140" w:type="dxa"/>
            <w:vAlign w:val="bottom"/>
          </w:tcPr>
          <w:p>
            <w:pPr>
              <w:spacing w:after="0"/>
              <w:rPr>
                <w:sz w:val="14"/>
                <w:szCs w:val="14"/>
                <w:color w:val="auto"/>
              </w:rPr>
            </w:pPr>
          </w:p>
        </w:tc>
        <w:tc>
          <w:tcPr>
            <w:tcW w:w="17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Total twelve months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ended</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ended</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720"/>
              <w:spacing w:after="0" w:line="152"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3"/>
                <w:szCs w:val="13"/>
                <w:color w:val="auto"/>
              </w:rPr>
            </w:pPr>
          </w:p>
        </w:tc>
        <w:tc>
          <w:tcPr>
            <w:tcW w:w="1120" w:type="dxa"/>
            <w:vAlign w:val="bottom"/>
            <w:gridSpan w:val="3"/>
          </w:tcPr>
          <w:p>
            <w:pPr>
              <w:jc w:val="center"/>
              <w:ind w:right="220"/>
              <w:spacing w:after="0" w:line="152" w:lineRule="exact"/>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3"/>
                <w:szCs w:val="13"/>
                <w:color w:val="auto"/>
              </w:rPr>
            </w:pPr>
          </w:p>
        </w:tc>
        <w:tc>
          <w:tcPr>
            <w:tcW w:w="1260" w:type="dxa"/>
            <w:vAlign w:val="bottom"/>
            <w:gridSpan w:val="3"/>
          </w:tcPr>
          <w:p>
            <w:pPr>
              <w:jc w:val="center"/>
              <w:ind w:right="340"/>
              <w:spacing w:after="0" w:line="152"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3"/>
                <w:szCs w:val="13"/>
                <w:color w:val="auto"/>
              </w:rPr>
            </w:pPr>
          </w:p>
        </w:tc>
        <w:tc>
          <w:tcPr>
            <w:tcW w:w="1780" w:type="dxa"/>
            <w:vAlign w:val="bottom"/>
            <w:gridSpan w:val="4"/>
          </w:tcPr>
          <w:p>
            <w:pPr>
              <w:jc w:val="center"/>
              <w:ind w:right="460"/>
              <w:spacing w:after="0" w:line="152" w:lineRule="exact"/>
              <w:rPr>
                <w:sz w:val="20"/>
                <w:szCs w:val="20"/>
                <w:color w:val="auto"/>
              </w:rPr>
            </w:pPr>
            <w:r>
              <w:rPr>
                <w:rFonts w:ascii="Arial" w:cs="Arial" w:eastAsia="Arial" w:hAnsi="Arial"/>
                <w:sz w:val="14"/>
                <w:szCs w:val="14"/>
                <w:b w:val="1"/>
                <w:bCs w:val="1"/>
                <w:color w:val="auto"/>
                <w:w w:val="96"/>
              </w:rPr>
              <w:t>December 31,</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December 31, 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tcPr>
          <w:p>
            <w:pPr>
              <w:jc w:val="center"/>
              <w:ind w:right="515"/>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84"/>
              <w:spacing w:after="0" w:line="115" w:lineRule="exact"/>
              <w:rPr>
                <w:sz w:val="20"/>
                <w:szCs w:val="20"/>
                <w:color w:val="auto"/>
              </w:rPr>
            </w:pPr>
            <w:r>
              <w:rPr>
                <w:rFonts w:ascii="Arial" w:cs="Arial" w:eastAsia="Arial" w:hAnsi="Arial"/>
                <w:sz w:val="12"/>
                <w:szCs w:val="12"/>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15"/>
              <w:spacing w:after="0" w:line="115" w:lineRule="exact"/>
              <w:rPr>
                <w:sz w:val="20"/>
                <w:szCs w:val="20"/>
                <w:color w:val="auto"/>
              </w:rPr>
            </w:pPr>
            <w:r>
              <w:rPr>
                <w:rFonts w:ascii="Arial" w:cs="Arial" w:eastAsia="Arial" w:hAnsi="Arial"/>
                <w:sz w:val="12"/>
                <w:szCs w:val="12"/>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net sales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rPr>
              <w:t>(Successor Company)</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Company)</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 millions; %)</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w:t>
            </w:r>
          </w:p>
        </w:tc>
        <w:tc>
          <w:tcPr>
            <w:tcW w:w="1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20.4%</w:t>
            </w:r>
          </w:p>
        </w:tc>
        <w:tc>
          <w:tcPr>
            <w:tcW w:w="36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13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w:t>
            </w:r>
          </w:p>
        </w:tc>
        <w:tc>
          <w:tcPr>
            <w:tcW w:w="11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1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34.7</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110.4</w:t>
            </w:r>
          </w:p>
        </w:tc>
        <w:tc>
          <w:tcPr>
            <w:tcW w:w="100" w:type="dxa"/>
            <w:vAlign w:val="bottom"/>
          </w:tcPr>
          <w:p>
            <w:pPr>
              <w:spacing w:after="0"/>
              <w:rPr>
                <w:sz w:val="17"/>
                <w:szCs w:val="17"/>
                <w:color w:val="auto"/>
              </w:rPr>
            </w:pPr>
          </w:p>
        </w:tc>
        <w:tc>
          <w:tcPr>
            <w:tcW w:w="11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19.1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86.3</w:t>
            </w: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105.4</w:t>
            </w:r>
          </w:p>
        </w:tc>
        <w:tc>
          <w:tcPr>
            <w:tcW w:w="132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29.4</w:t>
            </w:r>
          </w:p>
        </w:tc>
        <w:tc>
          <w:tcPr>
            <w:tcW w:w="7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3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6.2</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22.3%</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226.1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20.8%</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Total gross profit for 2005 decreased $17.5 million or 7.7%, compared to gross profit generated in 2004 mainly due to a decrease in revenue base. Gross profit percentage for 2005 increased to 22.3% of net sales from 20.8% of net sales for 2004. This improvement in gross profit percentage was primarily attributable to lower depreciation costs for 2005 associated with the application of purchase accounting from the Original Acquisition.</w:t>
      </w:r>
    </w:p>
    <w:p>
      <w:pPr>
        <w:spacing w:after="0" w:line="137" w:lineRule="exact"/>
        <w:rPr>
          <w:sz w:val="20"/>
          <w:szCs w:val="20"/>
          <w:color w:val="auto"/>
        </w:rPr>
      </w:pPr>
    </w:p>
    <w:p>
      <w:pPr>
        <w:ind w:right="8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year ended December 31, 2005 increased to 20.4%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13.4% for the year ended December 31, 2004. The increase in gross profit percentage was primarily attributable to lower per-unit overhead costs driven by a significant increase in unit volume produced during 2005.</w:t>
      </w:r>
    </w:p>
    <w:p>
      <w:pPr>
        <w:spacing w:after="0" w:line="131" w:lineRule="exact"/>
        <w:rPr>
          <w:sz w:val="20"/>
          <w:szCs w:val="20"/>
          <w:color w:val="auto"/>
        </w:rPr>
      </w:pPr>
    </w:p>
    <w:p>
      <w:pPr>
        <w:ind w:right="320" w:firstLine="571"/>
        <w:spacing w:after="0" w:line="260"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Imaging Solutions for 2005 was 15.6% compared with 34.7% for 2004.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decrease from 2004 was primarily attributable to a decrease in average selling prices.</w:t>
      </w:r>
    </w:p>
    <w:p>
      <w:pPr>
        <w:spacing w:after="0" w:line="119" w:lineRule="exact"/>
        <w:rPr>
          <w:sz w:val="20"/>
          <w:szCs w:val="20"/>
          <w:color w:val="auto"/>
        </w:rPr>
      </w:pPr>
    </w:p>
    <w:p>
      <w:pPr>
        <w:ind w:right="180" w:firstLine="571"/>
        <w:spacing w:after="0" w:line="260"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increased to 32.0% in 2005</w:t>
      </w:r>
      <w:r>
        <w:rPr>
          <w:rFonts w:ascii="Arial" w:cs="Arial" w:eastAsia="Arial" w:hAnsi="Arial"/>
          <w:sz w:val="18"/>
          <w:szCs w:val="18"/>
          <w:i w:val="1"/>
          <w:iCs w:val="1"/>
          <w:color w:val="auto"/>
        </w:rPr>
        <w:t xml:space="preserve"> </w:t>
      </w:r>
      <w:r>
        <w:rPr>
          <w:rFonts w:ascii="Arial" w:cs="Arial" w:eastAsia="Arial" w:hAnsi="Arial"/>
          <w:sz w:val="18"/>
          <w:szCs w:val="18"/>
          <w:color w:val="auto"/>
        </w:rPr>
        <w:t>from 29.4% in 2004. This increase in gross profit percentage in 2005 resulted from lower depreciation expenses during the period.</w:t>
      </w:r>
    </w:p>
    <w:p>
      <w:pPr>
        <w:spacing w:after="0" w:line="119" w:lineRule="exact"/>
        <w:rPr>
          <w:sz w:val="20"/>
          <w:szCs w:val="20"/>
          <w:color w:val="auto"/>
        </w:rPr>
      </w:pPr>
    </w:p>
    <w:p>
      <w:pPr>
        <w:ind w:left="580"/>
        <w:spacing w:after="0"/>
        <w:tabs>
          <w:tab w:leader="none" w:pos="1440" w:val="left"/>
        </w:tabs>
        <w:rPr>
          <w:sz w:val="20"/>
          <w:szCs w:val="20"/>
          <w:color w:val="auto"/>
        </w:rPr>
      </w:pPr>
      <w:r>
        <w:rPr>
          <w:rFonts w:ascii="Arial" w:cs="Arial" w:eastAsia="Arial" w:hAnsi="Arial"/>
          <w:sz w:val="18"/>
          <w:szCs w:val="18"/>
          <w:i w:val="1"/>
          <w:iCs w:val="1"/>
          <w:color w:val="auto"/>
        </w:rPr>
        <w:t>All other.</w:t>
      </w:r>
      <w:r>
        <w:rPr>
          <w:sz w:val="20"/>
          <w:szCs w:val="20"/>
          <w:color w:val="auto"/>
        </w:rPr>
        <w:tab/>
      </w:r>
      <w:r>
        <w:rPr>
          <w:rFonts w:ascii="Arial" w:cs="Arial" w:eastAsia="Arial" w:hAnsi="Arial"/>
          <w:sz w:val="16"/>
          <w:szCs w:val="16"/>
          <w:color w:val="auto"/>
        </w:rPr>
        <w:t>Gross profit percentage for All other for 2005 was 6.1%, relatively consistent with 6.2% for 2004.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$123.2 million, or 13.1%, of net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This represents a $39.5 million, or 47.1%, increase from a total of $83.8 million, or 7.7%, of net sales in 2004, which consisted of $54.0 million for the nine months ended September 30, 2004 and $29.8 million for the three months ended December 31, 2004. The increase in selling, general and administrative expenses was primarily attributable to amortization of intangible assets recorded upon the application of purchase accounting as a result of the Original Acquisition. We also recognized increased professional fees related to consulting and infrastructure build-out as well as additional warranty reserves to cover possible exposures to future claims from customers.</w:t>
      </w:r>
    </w:p>
    <w:p>
      <w:pPr>
        <w:spacing w:after="0" w:line="141" w:lineRule="exact"/>
        <w:rPr>
          <w:sz w:val="20"/>
          <w:szCs w:val="20"/>
          <w:color w:val="auto"/>
        </w:rPr>
      </w:pPr>
    </w:p>
    <w:p>
      <w:pPr>
        <w:ind w:right="480" w:firstLine="571"/>
        <w:spacing w:after="0" w:line="260"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 2005 were $107.6 million, a $9.8 million, or 10.0%,</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$97.8 million in 2004, which consisted of $75.7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million for the nine months ended September 30, 2004 and $22.1 million for the three months ended December 31, 2004. The increase in research and development expenses was mainly due to our reinforcement of research and development centers worldwide through our mergers and acquisitions and process development to support next generation products. As a percentage of net sales, research and development expenses increased to 11.5% in 2005 from 9.0% in 2004.</w:t>
      </w:r>
    </w:p>
    <w:p>
      <w:pPr>
        <w:spacing w:after="0" w:line="137" w:lineRule="exact"/>
        <w:rPr>
          <w:sz w:val="20"/>
          <w:szCs w:val="20"/>
          <w:color w:val="auto"/>
        </w:rPr>
      </w:pPr>
    </w:p>
    <w:p>
      <w:pPr>
        <w:jc w:val="both"/>
        <w:ind w:right="160" w:firstLine="571"/>
        <w:spacing w:after="0" w:line="247"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year ended December 31, 2005, we recorded a one-time charge of $36.2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impairment charges associated with our initiative to focus on our core businesses and streamline our organization. The amount included $33.5 million for asset impairment charges and $2.7 million for restructuring charges.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$57.2 million in 2005, a $22.8 million, or 66.3%, increase from aggregated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$34.5 million in 2004, which consisted of $17.7 million for the nine months ended September 30, 2004 and $16.8 million for the three months ended December 31, 2004. The increase in net interest expense was primarily due to interest expenses incurred on the long-term debt of $750 million, which was issued in December 2004 and outstanding throughout the year 2005.</w:t>
      </w:r>
    </w:p>
    <w:p>
      <w:pPr>
        <w:spacing w:after="0" w:line="134"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i w:val="1"/>
          <w:iCs w:val="1"/>
          <w:color w:val="auto"/>
        </w:rPr>
        <w:t xml:space="preserve">Foreign Currency Gain, net. </w:t>
      </w:r>
      <w:r>
        <w:rPr>
          <w:rFonts w:ascii="Arial" w:cs="Arial" w:eastAsia="Arial" w:hAnsi="Arial"/>
          <w:sz w:val="18"/>
          <w:szCs w:val="18"/>
          <w:color w:val="auto"/>
        </w:rPr>
        <w:t>Net foreign currency gain for the year ended December 31, 2005 was $16.5 million, compared to $35.8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2004. A substantial portion of our net foreign currency gain for 2005 was non-cash translation gain recorded for intercompany borrowings at one of our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60" w:lineRule="exact"/>
        <w:rPr>
          <w:sz w:val="20"/>
          <w:szCs w:val="20"/>
          <w:color w:val="auto"/>
        </w:rPr>
      </w:pPr>
    </w:p>
    <w:p>
      <w:pPr>
        <w:ind w:right="120" w:firstLine="571"/>
        <w:spacing w:after="0" w:line="278"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$1.8 million in 2005, compared to $6.7 million for the three months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2004 and $2.8 million for the nine months ended September 30, 2004, which on an aggregate basis totaled $9.5 million for the year ended December 31, 2004. Income tax expense for the year ended December 31, 2005 was primarily attributable to $5.2 million of Korean withholding tax on the interest income paid to our Korean subsidiary’s parent company. Income tax expense including this withholding tax was partially offset by the recognition of a deferred tax asset at our Japanese subsidiaries based on a temporary difference related to revenue recognition.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September 30, 2007, we had total long-term debt outstanding of $750 million.</w:t>
      </w:r>
    </w:p>
    <w:p>
      <w:pPr>
        <w:spacing w:after="0" w:line="157"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Our principal sources of liquidity are our cash, cash equivalents and available borrowings under our senior secured credit facility of $100 million and the net proceeds from this offering. As of September 30, 2007, our cash and cash equivalents balance was $61.9 million, or 8.3%, of our total assets, a $27.3 million decrease from $89.2 million or 11.6% of total assets as of December 31, 2006. The decrease in cash and cash equivalents during the nine-month period ended September 30, 2007 was primarily attributable to a cash outflow of $13.2 million in operating activities, coupled with a cash outflow related to</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capital expenditures during such period of $64.9 million. As of December 31, 2006, our cash and cash equivalents balance was $89.2 million or 11.6%, of our total assets, a $2.6 million increase from $86.6 million, or 8.3%, of total assets as of December 31, 2005. The increase in cash and cash equivalents was due to a cash inflow from operating activities coupled with an increase from foreign currency translation gains, mostly offset by cash outflows for capital expenditures and other investing activities.</w:t>
      </w:r>
    </w:p>
    <w:p>
      <w:pPr>
        <w:spacing w:after="0" w:line="155"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During the nine months ended September 30, 2007, net cash used in operating activities was $13.2 million, compared to $36.6 million of net cash generated by operating activities during the year-ago period. This decrease in cash from operating activities between the two periods was primarily attributable to changes in operating assets and liabilities of $30.0 million, mostly impacted by an increase in accounts receivable due to higher sales during the three-month period ended September 30, 2007, and increases in inventories primarily due to the anticipation of sales growth. The net operating cash outflow for the current period principally reflects our net loss of $151.1 million adjusted by non-cash charges of $156.6 million, which mainly consisted of depreciation, impairment and amortization charges and an increase in working capital of $18.7 million. We generated cash from operating activities of $30.5 million during the year ended December 31, 2006, which principally reflected our net loss of $229.3 million, adjusted by $247.2 million of total non-cash items composed mainly of depreciation and amortization expenses and impairment charges. Cash from operating activities for 2006 decreased $73.1 million from $103.6 million for 2005. This decrease in cash from operating activities between the two periods was primarily due to a 52.4% decrease in gross profits, mitigated by a decrease in working capital during the year 2006.</w:t>
      </w:r>
    </w:p>
    <w:p>
      <w:pPr>
        <w:spacing w:after="0" w:line="16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working capital balance as of September 30, 2007 was $59.3 million compared to $122.6 million as of December 31, 2006. The decrease of $63.3 million in our working capital balance was mainly due to a $117.4 million increase in current liabilities and $27.3 million reduction in cash and cash equivalents which was used to support our large capital investments and operations. This decrease was partially offset by an increase in accounts receivable of $47.7 million and a build-up in inventory of $36.3 million in anticipation of sales growth in future periods. Our working capital balance as of December 31, 2006 was $122.6 million compared to $141.4 million as of December 31, 2005. The decrease of $18.8 million in our working capital balance consisted primarily of a $35.4 million decrease in accounts receivable and $30.8 million decrease in inventories, partially offset by a $34.5 million decrease in accounts and other accounts payable and $5.3 million decrease in accrued expenses. This decrease in working capital was mainly attributable to a 20.6% decline in total net sales.</w:t>
      </w:r>
    </w:p>
    <w:p>
      <w:pPr>
        <w:spacing w:after="0" w:line="154"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For investing activities, the net cash outlay during the nine months ended September 30, 2007 was $64.4 million, compared to $20.2 million in the prior-year period, primarily relating to capacity expansion and technology improvements at a fabrication facility in anticipation of sales growth in future periods. During the year ended December 31, 2006, cash outlay for our capital expenditures was offset by a cash inflow from the sale of our application processor business. For investing activities, we used cash of approximately $33.4 million in 2006 compared to $64.1 million in</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2005. The decrease in cash used for investing activities during the year 2006 was primarily attributable to lower capital equipment expenditures during the year. Cash outflows for acquisitions of subsidiaries in 2005 in an effort to reinforce global research and development capability also led to a higher cash expenditures in 2005. We did not consummate any business acquisitions during the year 2006.</w:t>
      </w:r>
    </w:p>
    <w:p>
      <w:pPr>
        <w:spacing w:after="0" w:line="15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generated $50.5 million during the nine months ended September 30, 2007 from financing activities compared to the usage of $0.3 million for the nine-month period ended October 1, 2006. During the nine months ended September 30, 2007, we borrowed $70.4 million under our senior secured credit facility while we repaid borrowings under that facility of $20.0 million during the same period. We used $0.3 million for the year ended December 31, 2006, compared to $12.8 million for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year ended December 31, 2005. As we had sufficient capital resources available to serve our capital requirements, we did not have significant financing activities during the year 2006. The cash outlay during 2006 was mainly due to MagnaChip Semiconductor LLC’s repurchase of common units upon termination of certain members of our management and other employees. Cash outflow in 2005 was mainly attributable to for the repayment of short-term borrowings at one of our subsidiaries that we acquired during the year.</w:t>
      </w:r>
    </w:p>
    <w:p>
      <w:pPr>
        <w:spacing w:after="0" w:line="15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74" w:lineRule="exact"/>
        <w:rPr>
          <w:sz w:val="20"/>
          <w:szCs w:val="20"/>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April 19, 2007, Moody’s Investor Service, Inc. downgraded the ratings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39"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nine months ended September 30, 2007, capital expenditures were $64.9 million, a $36.9 million or 131.7%</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$28.0 million for the nine months ended October 1, 2006. Capital expenditures for the year ended December 31, 2006 were $41.4 million, a decrease of $23.1 million, or 35.8%, compared to $64.5 million for the year ended December 31, 2005. This year-over-year decrease was a result of managing our capital expenditure timing in order to better support the growth of our business from new customers and to optimize asset utilization and return on capital investments.</w:t>
      </w:r>
    </w:p>
    <w:p>
      <w:pPr>
        <w:spacing w:after="0" w:line="136" w:lineRule="exact"/>
        <w:rPr>
          <w:sz w:val="20"/>
          <w:szCs w:val="20"/>
          <w:color w:val="auto"/>
        </w:rPr>
      </w:pPr>
    </w:p>
    <w:p>
      <w:pPr>
        <w:jc w:val="both"/>
        <w:ind w:right="260" w:firstLine="571"/>
        <w:spacing w:after="0" w:line="243"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meeting required debt payments and funding working capital needs. We anticipate that our operating cash flows, together with the proceeds of this offering and available borrowings, if any, under our senior secured credit facility, will be sufficient to meet these capital requirements for the foreseeable future. We may from time to time also incur additional debt.</w:t>
      </w:r>
    </w:p>
    <w:p>
      <w:pPr>
        <w:spacing w:after="0" w:line="152"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However,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right="380" w:firstLine="571"/>
        <w:spacing w:after="0" w:line="237" w:lineRule="auto"/>
        <w:rPr>
          <w:sz w:val="20"/>
          <w:szCs w:val="20"/>
          <w:color w:val="auto"/>
        </w:rPr>
      </w:pPr>
      <w:r>
        <w:rPr>
          <w:rFonts w:ascii="Arial" w:cs="Arial" w:eastAsia="Arial" w:hAnsi="Arial"/>
          <w:sz w:val="18"/>
          <w:szCs w:val="18"/>
          <w:color w:val="auto"/>
        </w:rPr>
        <w:t>Summarized in the table below are estimates of future payments under debt obligations and minimum lease payment obligations at September 30, 2007.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7"/>
              </w:rPr>
              <w:t>Payments Due by Period</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620" w:type="dxa"/>
            <w:vAlign w:val="bottom"/>
          </w:tcPr>
          <w:p>
            <w:pPr>
              <w:jc w:val="right"/>
              <w:ind w:right="77"/>
              <w:spacing w:after="0" w:line="183" w:lineRule="exact"/>
              <w:rPr>
                <w:sz w:val="20"/>
                <w:szCs w:val="20"/>
                <w:color w:val="auto"/>
              </w:rPr>
            </w:pPr>
            <w:r>
              <w:rPr>
                <w:rFonts w:ascii="Arial" w:cs="Arial" w:eastAsia="Arial" w:hAnsi="Arial"/>
                <w:sz w:val="13"/>
                <w:szCs w:val="13"/>
                <w:b w:val="1"/>
                <w:bCs w:val="1"/>
                <w:color w:val="auto"/>
                <w:w w:val="95"/>
              </w:rPr>
              <w:t>2007</w:t>
            </w:r>
            <w:r>
              <w:rPr>
                <w:rFonts w:ascii="Arial" w:cs="Arial" w:eastAsia="Arial" w:hAnsi="Arial"/>
                <w:sz w:val="21"/>
                <w:szCs w:val="21"/>
                <w:b w:val="1"/>
                <w:bCs w:val="1"/>
                <w:color w:val="auto"/>
                <w:w w:val="95"/>
                <w:vertAlign w:val="superscript"/>
              </w:rPr>
              <w:t>(1)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5"/>
                <w:szCs w:val="15"/>
                <w:color w:val="auto"/>
              </w:rPr>
            </w:pPr>
          </w:p>
        </w:tc>
        <w:tc>
          <w:tcPr>
            <w:tcW w:w="32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3"/>
              </w:rPr>
              <w:t>Thereafter</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(2)(3)</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51.4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880" w:type="dxa"/>
            <w:vAlign w:val="bottom"/>
          </w:tcPr>
          <w:p>
            <w:pPr>
              <w:spacing w:after="0" w:line="203" w:lineRule="exact"/>
              <w:rPr>
                <w:sz w:val="20"/>
                <w:szCs w:val="20"/>
                <w:color w:val="auto"/>
              </w:rPr>
            </w:pPr>
            <w:r>
              <w:rPr>
                <w:rFonts w:ascii="Arial" w:cs="Arial" w:eastAsia="Arial" w:hAnsi="Arial"/>
                <w:sz w:val="18"/>
                <w:szCs w:val="18"/>
                <w:color w:val="auto"/>
              </w:rPr>
              <w:t>Notes</w:t>
            </w:r>
            <w:r>
              <w:rPr>
                <w:rFonts w:ascii="Arial" w:cs="Arial" w:eastAsia="Arial" w:hAnsi="Arial"/>
                <w:sz w:val="22"/>
                <w:szCs w:val="22"/>
                <w:color w:val="auto"/>
                <w:vertAlign w:val="superscript"/>
              </w:rPr>
              <w:t>(4)</w:t>
            </w:r>
          </w:p>
        </w:tc>
        <w:tc>
          <w:tcPr>
            <w:tcW w:w="12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1,062.1</w:t>
            </w:r>
          </w:p>
        </w:tc>
        <w:tc>
          <w:tcPr>
            <w:tcW w:w="12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558.5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Others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amounts due to be paid in the quarter ended December 31, 2007.</w:t>
      </w:r>
    </w:p>
    <w:p>
      <w:pPr>
        <w:ind w:left="580" w:hanging="572"/>
        <w:spacing w:after="0" w:line="23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ind w:left="580" w:hanging="572"/>
        <w:spacing w:after="0" w:line="23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ind w:left="580" w:right="540" w:hanging="572"/>
        <w:spacing w:after="0" w:line="299"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interest obligations on the notes. For purposes of estimating the interest obligations under our Floating Rate Second Priority Senior Secured Notes, we used the average interest rate for such notes during the nine-month period ended September 30, 2007.</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floating rate second priority senior secured notes of $300 million and second priority senior secured notes of $200 million mature</w:t>
      </w:r>
    </w:p>
    <w:p>
      <w:pPr>
        <w:spacing w:after="0" w:line="2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 xml:space="preserve">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indenture governing the notes contains covenants that limit our ability and that of our subsidiaries to (1) incur additional indebtedness,</w:t>
      </w:r>
    </w:p>
    <w:p>
      <w:pPr>
        <w:spacing w:after="0" w:line="19"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 dividends or make other distributions on our capital stock or repurchase, repay or redeem our capital stock, (3) make certain investments,</w:t>
      </w:r>
    </w:p>
    <w:p>
      <w:pPr>
        <w:spacing w:after="0" w:line="18" w:lineRule="exact"/>
        <w:rPr>
          <w:rFonts w:ascii="Arial" w:cs="Arial" w:eastAsia="Arial" w:hAnsi="Arial"/>
          <w:sz w:val="16"/>
          <w:szCs w:val="16"/>
          <w:color w:val="auto"/>
        </w:rPr>
      </w:pPr>
    </w:p>
    <w:p>
      <w:pPr>
        <w:ind w:right="180" w:firstLine="8"/>
        <w:spacing w:after="0" w:line="239"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55"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137"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our unrecognized tax benefits totaled $1.6 million. These unrecognized tax benefits have been excluded from the above table because we cannot estimate the period of cash settlement with the respective taxing authorities.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September 30, 2007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December 31, 2006 was $35.5 million and $93.8 million, respectively. The utilized portions of the credit facility are related to the issuance of letters of credit and cash drawdowns.</w:t>
      </w:r>
    </w:p>
    <w:p>
      <w:pPr>
        <w:spacing w:after="0" w:line="155"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February 2007, the Financial Accounting Standards Board (“FASB”) issued Statements of Financial Accounting Standards (“SFAS”)</w:t>
      </w:r>
    </w:p>
    <w:p>
      <w:pPr>
        <w:ind w:right="20"/>
        <w:spacing w:after="0" w:line="275" w:lineRule="auto"/>
        <w:rPr>
          <w:sz w:val="20"/>
          <w:szCs w:val="20"/>
          <w:color w:val="auto"/>
        </w:rPr>
      </w:pPr>
      <w:r>
        <w:rPr>
          <w:rFonts w:ascii="Arial" w:cs="Arial" w:eastAsia="Arial" w:hAnsi="Arial"/>
          <w:sz w:val="16"/>
          <w:szCs w:val="16"/>
          <w:color w:val="auto"/>
        </w:rPr>
        <w:t>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1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56"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7"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transferred, the price is fixed and determinable, and collection of resulting receivables is reasonably assured.</w:t>
      </w:r>
    </w:p>
    <w:p>
      <w:pPr>
        <w:spacing w:after="0" w:line="158"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31"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5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39" w:lineRule="exact"/>
        <w:rPr>
          <w:sz w:val="20"/>
          <w:szCs w:val="20"/>
          <w:color w:val="auto"/>
        </w:rPr>
      </w:pPr>
    </w:p>
    <w:p>
      <w:pPr>
        <w:ind w:right="200" w:firstLine="571"/>
        <w:spacing w:after="0" w:line="243" w:lineRule="auto"/>
        <w:rPr>
          <w:sz w:val="20"/>
          <w:szCs w:val="20"/>
          <w:color w:val="auto"/>
        </w:rPr>
      </w:pPr>
      <w:r>
        <w:rPr>
          <w:rFonts w:ascii="Arial" w:cs="Arial" w:eastAsia="Arial" w:hAnsi="Arial"/>
          <w:sz w:val="18"/>
          <w:szCs w:val="18"/>
          <w:color w:val="auto"/>
        </w:rPr>
        <w:t xml:space="preserve">In addition, as prescribed in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assess long-lived assets for impairment when events or changes in circumstances indicate that the carrying value of the assets or the asset group may not be recoverable. Factors that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3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9" w:lineRule="exact"/>
        <w:rPr>
          <w:sz w:val="20"/>
          <w:szCs w:val="20"/>
          <w:color w:val="auto"/>
        </w:rPr>
      </w:pPr>
    </w:p>
    <w:p>
      <w:pPr>
        <w:ind w:right="200" w:firstLine="571"/>
        <w:spacing w:after="0" w:line="275" w:lineRule="auto"/>
        <w:rPr>
          <w:sz w:val="20"/>
          <w:szCs w:val="20"/>
          <w:color w:val="auto"/>
        </w:rPr>
      </w:pPr>
      <w:r>
        <w:rPr>
          <w:rFonts w:ascii="Arial" w:cs="Arial" w:eastAsia="Arial" w:hAnsi="Arial"/>
          <w:sz w:val="16"/>
          <w:szCs w:val="16"/>
          <w:color w:val="auto"/>
        </w:rPr>
        <w:t xml:space="preserve">We account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3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56"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7"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in Income Taxes</w:t>
      </w:r>
      <w:r>
        <w:rPr>
          <w:rFonts w:ascii="Arial" w:cs="Arial" w:eastAsia="Arial" w:hAnsi="Arial"/>
          <w:sz w:val="16"/>
          <w:szCs w:val="16"/>
          <w:color w:val="auto"/>
        </w:rPr>
        <w:t>—an interpretation of SFAS No. 109. Under FIN No. 48, we evaluate our tax positions taken or expected to be taken in</w:t>
      </w:r>
      <w:r>
        <w:rPr>
          <w:rFonts w:ascii="Arial" w:cs="Arial" w:eastAsia="Arial" w:hAnsi="Arial"/>
          <w:sz w:val="16"/>
          <w:szCs w:val="16"/>
          <w:i w:val="1"/>
          <w:iCs w:val="1"/>
          <w:color w:val="auto"/>
        </w:rPr>
        <w:t xml:space="preserve"> </w:t>
      </w:r>
      <w:r>
        <w:rPr>
          <w:rFonts w:ascii="Arial" w:cs="Arial" w:eastAsia="Arial" w:hAnsi="Arial"/>
          <w:sz w:val="16"/>
          <w:szCs w:val="16"/>
          <w:color w:val="auto"/>
        </w:rPr>
        <w:t>a tax return for recognition 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7" w:lineRule="exact"/>
        <w:rPr>
          <w:sz w:val="20"/>
          <w:szCs w:val="20"/>
          <w:color w:val="auto"/>
        </w:rPr>
      </w:pPr>
    </w:p>
    <w:p>
      <w:pPr>
        <w:ind w:right="1020" w:firstLine="571"/>
        <w:spacing w:after="0" w:line="239"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5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54"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3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2007 for our Korean subsidiary, a 10% devaluation of the Korean won against the U.S. dollar would have resulted in a decrease of $1.0 million in our U.S. dollar financial instruments balance and cash balance. Based on the Japanese yen cash balance at September 30, 2007, a 10% devaluation of the Japanese yen against the U.S. dollar would have resulted in a decrease of $0.6 million in our U.S. dollar cash balance.</w:t>
      </w:r>
    </w:p>
    <w:p>
      <w:pPr>
        <w:spacing w:after="0" w:line="168" w:lineRule="exact"/>
        <w:rPr>
          <w:sz w:val="20"/>
          <w:szCs w:val="20"/>
          <w:color w:val="auto"/>
        </w:rPr>
      </w:pPr>
    </w:p>
    <w:p>
      <w:pPr>
        <w:ind w:right="160" w:firstLine="571"/>
        <w:spacing w:after="0" w:line="23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the $250 million 8% senior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2014 are subject to changes in fair value due to interest rate changes. If the market interest rate had decreased by 10% and all other variables were held constant from their levels at September 30, 2007, we estimate that we would have additional interest expense costs over the market rate of $2.2 million for the nine months ended September 30, 2007. The fair value of these fixed rate notes would have decreased by $7.4 million or increased by $7.7 million with a 10% increase or decrease in the interest rate,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second priority senior secured notes to a fixed interest rate for the periods to maturity date of June 2008. Pursuant to this interest rate swap and during the duration of such swap, cash flow interest rate risk was replaced with exposure to interest rate risk.</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9"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MagnaChip is a leading, Asia-based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7,700 registered and pending patents and extensive engineering and manufacturing process expertise. Our wide variety of analog and mixed-signal semiconductor products and services combined with our deep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such as LG.Philips LCD, Sharp and Samsung. As a result, we have been able to strengthen our technology platform and focus on products and services that are in high demand by our customers and end consumers. We believe our end customers include a majority of the ten largest global consumer electronics companies by revenue. We have sold over 1,850 distinct products to over 190 customers in the nine months ended September 30, 2007, with a substantial portion of our revenues nonetheless derived from a concentrated number of customers. Our largest semiconductor manufacturing services customers include some of the fastest growing and leading semiconductor companies that design products for the consumer, computing, wireless and industrial end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9"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consumer electronics market is large and growing rapidly. This market includes mobile communications and entertainment devices such as digital televisions, mobile phones, flat panel displays, notebook computers, mobile multimedia devices and digital cameras. We believe that we address market segments with a higher growth rate than the overall consumer electronics market. For example, from 2006 to 2011 the worldwide third-generation mobile phone, LCD television and notebook computer market segments are expected to grow at compound annual unit growth rates of 28%, 27% and 23%, respectively, according to Gartner. We believe this growth will be driven largely by consumers seeking to enjoy greater availability of rich media content, such as digital and high definition audio and video, mobile television, games and digital photography. In order to address and further stimulate consumer demand, electronics manufacturers have been driving rapid advances in technology, functionality, form factor, cost, quality, reliability and power consumption of electronic devices. With these technological advancements, many electronic devices now display high resolution content, capture images, play digital audio and video and use power efficiently.</w:t>
      </w:r>
    </w:p>
    <w:p>
      <w:pPr>
        <w:spacing w:after="0" w:line="136"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believe that consumer electronics manufacturers recognize that the user experience plays a critical role in differentiating their products from competing offerings. This user experience is defined in part by the quality of the display, audio and video processing capabilities and power efficiency of a particular electronic product. Analog and mixed-signal semiconductors enable and enhance these device capabilities. Examples of such analog and mixed-signal semiconductors include display drivers, timing controllers, image sensors, power management voltage regulators, converters, audio coding or decoding devices, or codecs, interface circuits and radio frequency, or RF, components. According to iSuppli Corporation the market opportunity for semiconductors used in consumer electronics, wireless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communications and data processing applications is expected to rise to $260 billion in 2010, of which we believe we will have an addressable market opportunity of $63 billion.</w:t>
      </w:r>
    </w:p>
    <w:p>
      <w:pPr>
        <w:spacing w:after="0" w:line="155"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Design and manufacture of analog and mixed-signal semiconductors used in consumer electronics are highly complex. In order to grow and succeed in the industry, we believe semiconductor suppliers need to have a broad, advanced intellectual property portfolio, product design expertise, comprehensive product offerings and specialized manufacturing process technologies and capabilities.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Facing Our Customers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believe our target customers are looking for suppliers of analog and mixed-signal semiconductor products and services who can help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55" w:lineRule="exact"/>
        <w:rPr>
          <w:sz w:val="20"/>
          <w:szCs w:val="20"/>
          <w:color w:val="auto"/>
        </w:rPr>
      </w:pPr>
    </w:p>
    <w:p>
      <w:pPr>
        <w:ind w:left="820" w:right="4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Differentiate products through advanced features and functions. </w:t>
      </w:r>
      <w:r>
        <w:rPr>
          <w:rFonts w:ascii="Arial" w:cs="Arial" w:eastAsia="Arial" w:hAnsi="Arial"/>
          <w:sz w:val="18"/>
          <w:szCs w:val="18"/>
          <w:color w:val="auto"/>
        </w:rPr>
        <w:t>Our target customers seek to differentiate their end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employing innovative semiconductor products. They seek to closely collaborate with semiconductor suppliers that can provide advanced products, technologies, and manufacturing processes that enable advanced features and functions, such as bright and thin displays, small form factor and energy efficiency.</w:t>
      </w:r>
    </w:p>
    <w:p>
      <w:pPr>
        <w:spacing w:after="0" w:line="49" w:lineRule="exact"/>
        <w:rPr>
          <w:rFonts w:ascii="Arial" w:cs="Arial" w:eastAsia="Arial" w:hAnsi="Arial"/>
          <w:sz w:val="18"/>
          <w:szCs w:val="18"/>
          <w:color w:val="auto"/>
        </w:rPr>
      </w:pPr>
    </w:p>
    <w:p>
      <w:pPr>
        <w:ind w:left="820" w:right="300" w:hanging="245"/>
        <w:spacing w:after="0" w:line="24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Accelerate new product introduction. </w:t>
      </w:r>
      <w:r>
        <w:rPr>
          <w:rFonts w:ascii="Arial" w:cs="Arial" w:eastAsia="Arial" w:hAnsi="Arial"/>
          <w:sz w:val="18"/>
          <w:szCs w:val="18"/>
          <w:color w:val="auto"/>
        </w:rPr>
        <w:t>As a result of rapid technological advancements and short product lifecycles, our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typically prefer suppliers who have a rich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8"/>
          <w:szCs w:val="18"/>
          <w:color w:val="auto"/>
        </w:rPr>
      </w:pPr>
    </w:p>
    <w:p>
      <w:pPr>
        <w:ind w:left="820" w:right="200" w:hanging="245"/>
        <w:spacing w:after="0" w:line="24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Ensure speed and stability of supply. </w:t>
      </w:r>
      <w:r>
        <w:rPr>
          <w:rFonts w:ascii="Arial" w:cs="Arial" w:eastAsia="Arial" w:hAnsi="Arial"/>
          <w:sz w:val="18"/>
          <w:szCs w:val="18"/>
          <w:color w:val="auto"/>
        </w:rPr>
        <w:t>Our customers often face rapid product adoption. Inability to meet this demand can</w:t>
      </w:r>
      <w:r>
        <w:rPr>
          <w:rFonts w:ascii="Arial" w:cs="Arial" w:eastAsia="Arial" w:hAnsi="Arial"/>
          <w:sz w:val="18"/>
          <w:szCs w:val="18"/>
          <w:b w:val="1"/>
          <w:bCs w:val="1"/>
          <w:color w:val="auto"/>
        </w:rPr>
        <w:t xml:space="preserve"> </w:t>
      </w:r>
      <w:r>
        <w:rPr>
          <w:rFonts w:ascii="Arial" w:cs="Arial" w:eastAsia="Arial" w:hAnsi="Arial"/>
          <w:sz w:val="18"/>
          <w:szCs w:val="18"/>
          <w:color w:val="auto"/>
        </w:rPr>
        <w:t>dramatically impact their profitability and market share. As a result, they need suppliers who can increase production quickly and meet demand consistently through periods of constrained industry capacity.</w:t>
      </w:r>
    </w:p>
    <w:p>
      <w:pPr>
        <w:spacing w:after="0" w:line="44" w:lineRule="exact"/>
        <w:rPr>
          <w:rFonts w:ascii="Arial" w:cs="Arial" w:eastAsia="Arial" w:hAnsi="Arial"/>
          <w:sz w:val="18"/>
          <w:szCs w:val="18"/>
          <w:color w:val="auto"/>
        </w:rPr>
      </w:pPr>
    </w:p>
    <w:p>
      <w:pPr>
        <w:ind w:left="820" w:right="10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Provide environmentally friendly products. </w:t>
      </w:r>
      <w:r>
        <w:rPr>
          <w:rFonts w:ascii="Arial" w:cs="Arial" w:eastAsia="Arial" w:hAnsi="Arial"/>
          <w:sz w:val="18"/>
          <w:szCs w:val="18"/>
          <w:color w:val="auto"/>
        </w:rPr>
        <w:t>Consumers increasingly seek environmentally friendly and energy efficient products.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there is increasing regulatory focus on reducing energy consumption of electronic products. As a result, our customers are seeking analog and mixed-signal semiconductor suppliers that have the technological expertise to deliver solutions that satisfy these ever increasing regulatory and consumer demands.</w:t>
      </w:r>
    </w:p>
    <w:p>
      <w:pPr>
        <w:spacing w:after="0" w:line="49" w:lineRule="exact"/>
        <w:rPr>
          <w:rFonts w:ascii="Arial" w:cs="Arial" w:eastAsia="Arial" w:hAnsi="Arial"/>
          <w:sz w:val="18"/>
          <w:szCs w:val="18"/>
          <w:color w:val="auto"/>
        </w:rPr>
      </w:pPr>
    </w:p>
    <w:p>
      <w:pPr>
        <w:ind w:left="820" w:right="14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Deliver cost competitive solutions. </w:t>
      </w:r>
      <w:r>
        <w:rPr>
          <w:rFonts w:ascii="Arial" w:cs="Arial" w:eastAsia="Arial" w:hAnsi="Arial"/>
          <w:sz w:val="18"/>
          <w:szCs w:val="18"/>
          <w:color w:val="auto"/>
        </w:rPr>
        <w:t>Electronics manufacturers are under constant pressure to deliver cost competitive solutions.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this objective, they need strategic suppliers that have the ability to provide system-level solutions and more integrated products, a broad product offering at a range of price points and the design and manufacturing infrastructure and logistical support to deliver cost competitive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competitive strengths enable us to offer our customers solutions to solve their key challenges. We believe our strengths include:</w:t>
      </w:r>
    </w:p>
    <w:p>
      <w:pPr>
        <w:spacing w:after="0" w:line="55" w:lineRule="exact"/>
        <w:rPr>
          <w:sz w:val="20"/>
          <w:szCs w:val="20"/>
          <w:color w:val="auto"/>
        </w:rPr>
      </w:pPr>
    </w:p>
    <w:p>
      <w:pPr>
        <w:ind w:left="820" w:hanging="245"/>
        <w:spacing w:after="0" w:line="239"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Leading analog and mixed-signal semiconductor technology platform. </w:t>
      </w:r>
      <w:r>
        <w:rPr>
          <w:rFonts w:ascii="Arial" w:cs="Arial" w:eastAsia="Arial" w:hAnsi="Arial"/>
          <w:sz w:val="18"/>
          <w:szCs w:val="18"/>
          <w:color w:val="auto"/>
        </w:rPr>
        <w:t>We believe we have one of the broadest and deepest</w:t>
      </w:r>
      <w:r>
        <w:rPr>
          <w:rFonts w:ascii="Arial" w:cs="Arial" w:eastAsia="Arial" w:hAnsi="Arial"/>
          <w:sz w:val="18"/>
          <w:szCs w:val="18"/>
          <w:b w:val="1"/>
          <w:bCs w:val="1"/>
          <w:color w:val="auto"/>
        </w:rPr>
        <w:t xml:space="preserve"> </w:t>
      </w:r>
      <w:r>
        <w:rPr>
          <w:rFonts w:ascii="Arial" w:cs="Arial" w:eastAsia="Arial" w:hAnsi="Arial"/>
          <w:sz w:val="18"/>
          <w:szCs w:val="18"/>
          <w:color w:val="auto"/>
        </w:rPr>
        <w:t>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across multiple end markets. This, in turn, allows us to develop and introduce new products quickly as well as to integrate numerous functions into a single product. For example, we were one of the first companies to introduce a commercial AMOLED display driver for mobile phones. Further, we have introduced an integrated image sensor with digital auto focus technology, combining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signal processing capabilities with specialized optics to achieve superior system performance in a single chip solution.</w:t>
      </w:r>
    </w:p>
    <w:p>
      <w:pPr>
        <w:spacing w:after="0" w:line="68" w:lineRule="exact"/>
        <w:rPr>
          <w:sz w:val="20"/>
          <w:szCs w:val="20"/>
          <w:color w:val="auto"/>
        </w:rPr>
      </w:pPr>
    </w:p>
    <w:p>
      <w:pPr>
        <w:ind w:left="820" w:hanging="245"/>
        <w:spacing w:after="0" w:line="242"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Established relationships and close collaboration with leading global electronics companies. </w:t>
      </w:r>
      <w:r>
        <w:rPr>
          <w:rFonts w:ascii="Arial" w:cs="Arial" w:eastAsia="Arial" w:hAnsi="Arial"/>
          <w:sz w:val="18"/>
          <w:szCs w:val="18"/>
          <w:color w:val="auto"/>
        </w:rPr>
        <w:t>We have a long history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supplying and collaborating on product and technology development with leading innovators in the consumer electronics market, such as LG.Philips LCD, Sharp and Samsung. As a result, we have further strengthened our technology platform and focus on those products and services that our customers and end consumers demand. We believe our close contact with customers enhances our visibility into new product opportunities, markets and technology trends.</w:t>
      </w:r>
    </w:p>
    <w:p>
      <w:pPr>
        <w:spacing w:after="0" w:line="50" w:lineRule="exact"/>
        <w:rPr>
          <w:rFonts w:ascii="Arial" w:cs="Arial" w:eastAsia="Arial" w:hAnsi="Arial"/>
          <w:sz w:val="18"/>
          <w:szCs w:val="18"/>
          <w:color w:val="auto"/>
        </w:rPr>
      </w:pPr>
    </w:p>
    <w:p>
      <w:pPr>
        <w:jc w:val="both"/>
        <w:ind w:left="820" w:right="220" w:hanging="245"/>
        <w:spacing w:after="0" w:line="296"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product and service offerings. </w:t>
      </w:r>
      <w:r>
        <w:rPr>
          <w:rFonts w:ascii="Arial" w:cs="Arial" w:eastAsia="Arial" w:hAnsi="Arial"/>
          <w:sz w:val="16"/>
          <w:szCs w:val="16"/>
          <w:color w:val="auto"/>
        </w:rPr>
        <w:t>We continue to develop a wide variety of analog and mixed-signal semiconductor</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for multiple high growth consumer end markets. We believe our expanding product and service offerings allow us to provide additional products to new and existing customers and to cross-sell our products and services to our established customers.</w:t>
      </w:r>
    </w:p>
    <w:p>
      <w:pPr>
        <w:spacing w:after="0" w:line="8" w:lineRule="exact"/>
        <w:rPr>
          <w:rFonts w:ascii="Arial" w:cs="Arial" w:eastAsia="Arial" w:hAnsi="Arial"/>
          <w:sz w:val="16"/>
          <w:szCs w:val="16"/>
          <w:color w:val="auto"/>
        </w:rPr>
      </w:pPr>
    </w:p>
    <w:p>
      <w:pPr>
        <w:ind w:left="820" w:hanging="245"/>
        <w:spacing w:after="0" w:line="280"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Distinctive process technology expertise and manufacturing capabilities. </w:t>
      </w:r>
      <w:r>
        <w:rPr>
          <w:rFonts w:ascii="Arial" w:cs="Arial" w:eastAsia="Arial" w:hAnsi="Arial"/>
          <w:sz w:val="16"/>
          <w:szCs w:val="16"/>
          <w:color w:val="auto"/>
        </w:rPr>
        <w:t>We have developed specialty analog and mixed-signal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processes such as high voltage CMOS, power and embedded memory. These processes enable us to manufacture highly integrated, high 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20" w:lineRule="exact"/>
        <w:rPr>
          <w:rFonts w:ascii="Arial" w:cs="Arial" w:eastAsia="Arial" w:hAnsi="Arial"/>
          <w:sz w:val="16"/>
          <w:szCs w:val="16"/>
          <w:color w:val="auto"/>
        </w:rPr>
      </w:pPr>
    </w:p>
    <w:p>
      <w:pPr>
        <w:ind w:left="820" w:right="8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Longstanding presence in Asia. </w:t>
      </w:r>
      <w:r>
        <w:rPr>
          <w:rFonts w:ascii="Arial" w:cs="Arial" w:eastAsia="Arial" w:hAnsi="Arial"/>
          <w:sz w:val="18"/>
          <w:szCs w:val="18"/>
          <w:color w:val="auto"/>
        </w:rPr>
        <w:t>Our substantial manufacturing operations in Korea and design centers in Korea and Japan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proximity to many of our largest customers and to the core of the global consumer electronics supply chain. We have active local applications, engineering and product design support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4" w:lineRule="exact"/>
        <w:rPr>
          <w:rFonts w:ascii="Arial" w:cs="Arial" w:eastAsia="Arial" w:hAnsi="Arial"/>
          <w:sz w:val="18"/>
          <w:szCs w:val="18"/>
          <w:color w:val="auto"/>
        </w:rPr>
      </w:pPr>
    </w:p>
    <w:p>
      <w:pPr>
        <w:ind w:left="820" w:right="60" w:hanging="245"/>
        <w:spacing w:after="0" w:line="23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Highly efficient manufacturing capabilities. </w:t>
      </w:r>
      <w:r>
        <w:rPr>
          <w:rFonts w:ascii="Arial" w:cs="Arial" w:eastAsia="Arial" w:hAnsi="Arial"/>
          <w:sz w:val="18"/>
          <w:szCs w:val="18"/>
          <w:color w:val="auto"/>
        </w:rPr>
        <w:t>Our manufacturing strategy is focused on maintaining the price competitiveness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through our low cost operating structure. We believe the location of our primary manufacturing and research and development facilities in Asia provides us with a number of cost advantages as compared to operating in other regions in the world.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52" w:lineRule="exact"/>
        <w:rPr>
          <w:sz w:val="20"/>
          <w:szCs w:val="20"/>
          <w:color w:val="auto"/>
        </w:rPr>
      </w:pPr>
    </w:p>
    <w:p>
      <w:pPr>
        <w:ind w:left="820" w:right="380" w:hanging="245"/>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leading analog and mixed-signal technology platform. </w:t>
      </w:r>
      <w:r>
        <w:rPr>
          <w:rFonts w:ascii="Arial" w:cs="Arial" w:eastAsia="Arial" w:hAnsi="Arial"/>
          <w:sz w:val="18"/>
          <w:szCs w:val="18"/>
          <w:color w:val="auto"/>
        </w:rPr>
        <w:t>We intend to continue to utilize our extensive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portfolio and specific end-market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7" w:lineRule="auto"/>
        <w:rPr>
          <w:sz w:val="20"/>
          <w:szCs w:val="20"/>
          <w:color w:val="auto"/>
        </w:rPr>
      </w:pPr>
      <w:r>
        <w:rPr>
          <w:rFonts w:ascii="Arial" w:cs="Arial" w:eastAsia="Arial" w:hAnsi="Arial"/>
          <w:sz w:val="18"/>
          <w:szCs w:val="18"/>
          <w:color w:val="auto"/>
        </w:rPr>
        <w:t>applications expertise to deliver products with high levels of performance and integration to customers. We also intend to utilize our systems expertise to extend our product and service offerings within our target end markets. For example, we have utilized our extensive patent portfolio, process technologies and analog and mixed-signal technology platform to develop power management solutions that we expect will expand our market opportunity and address more of our customers’ needs.</w:t>
      </w:r>
    </w:p>
    <w:p>
      <w:pPr>
        <w:spacing w:after="0" w:line="65" w:lineRule="exact"/>
        <w:rPr>
          <w:sz w:val="20"/>
          <w:szCs w:val="20"/>
          <w:color w:val="auto"/>
        </w:rPr>
      </w:pPr>
    </w:p>
    <w:p>
      <w:pPr>
        <w:ind w:left="820" w:hanging="245"/>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innovate and deliver new products and services. </w:t>
      </w:r>
      <w:r>
        <w:rPr>
          <w:rFonts w:ascii="Arial" w:cs="Arial" w:eastAsia="Arial" w:hAnsi="Arial"/>
          <w:sz w:val="18"/>
          <w:szCs w:val="18"/>
          <w:color w:val="auto"/>
        </w:rPr>
        <w:t>We intend to leverage our deep knowledge of our customers’ needs,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our analog and mixed-signal design and manufacturing expertise, to design and develop innovative products and offer specialized manufacturing services. We continue to invest in research and development to introduce new technologies such as AMOLED display drivers. We are also currently developing innovative image sensors featuring backside illumination technology that we expect will offer improved light sensitivity performance at high resolutions. In manufacturing services, we are developing cost-effective processes that substantially reduce die size using deep trench isolation.</w:t>
      </w:r>
    </w:p>
    <w:p>
      <w:pPr>
        <w:spacing w:after="0" w:line="54" w:lineRule="exact"/>
        <w:rPr>
          <w:rFonts w:ascii="Arial" w:cs="Arial" w:eastAsia="Arial" w:hAnsi="Arial"/>
          <w:sz w:val="18"/>
          <w:szCs w:val="18"/>
          <w:color w:val="auto"/>
        </w:rPr>
      </w:pPr>
    </w:p>
    <w:p>
      <w:pPr>
        <w:ind w:left="820" w:right="120" w:hanging="245"/>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w:t>
      </w:r>
      <w:r>
        <w:rPr>
          <w:rFonts w:ascii="Arial" w:cs="Arial" w:eastAsia="Arial" w:hAnsi="Arial"/>
          <w:sz w:val="18"/>
          <w:szCs w:val="18"/>
          <w:b w:val="1"/>
          <w:bCs w:val="1"/>
          <w:color w:val="auto"/>
        </w:rPr>
        <w:t xml:space="preserve"> </w:t>
      </w:r>
      <w:r>
        <w:rPr>
          <w:rFonts w:ascii="Arial" w:cs="Arial" w:eastAsia="Arial" w:hAnsi="Arial"/>
          <w:sz w:val="18"/>
          <w:szCs w:val="18"/>
          <w:color w:val="auto"/>
        </w:rPr>
        <w:t>who sell into multiple end markets. We intend to continue strengthening our relationships with our customers by collaborating on critical design and product development in order to improve our success in achieving design wins. We will seek to increase our customer penetration by taking advantage of our broad product portfolio and existing relationships to sell more existing and new products. For example, after initially providing image sensors to one of our key customers, we now also provide mobile and large display driver solutions and plan to provide additional solutions, such as power management, over time.</w:t>
      </w:r>
    </w:p>
    <w:p>
      <w:pPr>
        <w:spacing w:after="0" w:line="54" w:lineRule="exact"/>
        <w:rPr>
          <w:rFonts w:ascii="Arial" w:cs="Arial" w:eastAsia="Arial" w:hAnsi="Arial"/>
          <w:sz w:val="18"/>
          <w:szCs w:val="18"/>
          <w:color w:val="auto"/>
        </w:rPr>
      </w:pPr>
    </w:p>
    <w:p>
      <w:pPr>
        <w:ind w:left="820" w:right="20" w:hanging="245"/>
        <w:spacing w:after="0" w:line="242"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 presence, particularly in China, Hong Kong, Taiwan and Macau, or collectively, Greater China, and other high growth geographies, to penetrate new accounts. In addition, we intend to introduce new products and variations of existing products to address a broader customer base. For example, while we are initially targeting our existing customers with power management solutions, we expect to access a variety of distribution channels to broaden the customer base for these solutions over time.</w:t>
      </w:r>
    </w:p>
    <w:p>
      <w:pPr>
        <w:spacing w:after="0" w:line="5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Drive execution excellence. </w:t>
      </w:r>
      <w:r>
        <w:rPr>
          <w:rFonts w:ascii="Arial" w:cs="Arial" w:eastAsia="Arial" w:hAnsi="Arial"/>
          <w:sz w:val="18"/>
          <w:szCs w:val="18"/>
          <w:color w:val="auto"/>
        </w:rPr>
        <w:t>We have significantly improved our execution through a number of management initiatives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hiring of our Chief Executive Officer and Chairman, Sang Park, in 2006. As an example, we have introduced new processes for product development, customer service and personnel development. We expect these ongoing initiatives will improve our new product development and customer service as well as lead to a culture of quick action and execution by our workforce. As a result of our focus on execution excellence, we have meaningfully reduced our time from new product definition to development completion, and the proportion of our revenue derived from products introduced in the prior twelve months was approximately 20% greater in the first nine months of 2007 than in the comparable period of 2006.</w:t>
      </w:r>
    </w:p>
    <w:p>
      <w:pPr>
        <w:spacing w:after="0" w:line="56" w:lineRule="exact"/>
        <w:rPr>
          <w:rFonts w:ascii="Arial" w:cs="Arial" w:eastAsia="Arial" w:hAnsi="Arial"/>
          <w:sz w:val="18"/>
          <w:szCs w:val="18"/>
          <w:color w:val="auto"/>
        </w:rPr>
      </w:pPr>
    </w:p>
    <w:p>
      <w:pPr>
        <w:ind w:left="820" w:right="300" w:hanging="245"/>
        <w:spacing w:after="0" w:line="24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Optimize asset utilization and return on capital investments. </w:t>
      </w:r>
      <w:r>
        <w:rPr>
          <w:rFonts w:ascii="Arial" w:cs="Arial" w:eastAsia="Arial" w:hAnsi="Arial"/>
          <w:sz w:val="18"/>
          <w:szCs w:val="18"/>
          <w:color w:val="auto"/>
        </w:rPr>
        <w:t>We intend to keep our capital expenditures relatively low by</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maintaining our focus on specialty process technologies that do not require substantial investment in leading edge manufacturing equipment. By utilizing our manufacturing facilities for both our solutions products and our manufacturing services customers, we will seek to optimize returns on our capital investments.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continuously strengthen our leading analog and mixed-signal semiconductor technology platform by developing innovative technologies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56"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robust intellectual property portfolio to improve the power efficiency of displays, for example, our smart mobile luminance control, or SMLC, algorithm.</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image sensor technology portfolio and development are centered on advanced pixel technologies and specialized manufacturing processes that increase light sensitivity and enable more integrated, thinner form factor image sensors. Our technology portfolio includes advanced algorithms, such as extended depth of field, or eDoF, and digital auto focus that enable significant image quality improvements.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over 170 process flows we can utilize for our products and offer to our semiconductor manufacturing services customers. Our process technologies include standard CMOS, high voltage complementary metal-oxide semiconductor, or HVCMOS, ultra-low leakage HVCMOS, and bipolar complementary double-diffused metal oxide semiconductor, or BCDMOS. Our manufacturing processes incorporate embedded memory solutions such as static random access memory, or SRAM, one-time programmable, or OTP, memory, electronically erasable programmable read only memory, or EEPROM, and single-transistor random access memory, or 1TRAM. More broadly, we focus extensively on processes that reduce die size across all of the products we manufacture, in order to deliver cost effective solutions to our customers.</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Expertise in high voltage and deep trench CMOS process technologies, low power analog and mixed-signal design capabilities and packaging know-how are key requirements in the power management market. We are currently leveraging our capabilities in these areas to enter the power management market with products such as linear low drop-out, or LDO, regulators and power metal oxide semiconductor field effect transistors, or MOSFETs. We believe our system level understanding of applications such as LCD TVs and mobile phones will allow us to more quickly develop and customize power management solutions for our customers in these markets.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Our broad portfolio of products and services addresses multiple high growth, consumer-focused end markets. A key component of our product strategy is to supply multiple related product and service offerings to each of the end markets that we serve.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Display Solutions</w:t>
      </w:r>
    </w:p>
    <w:p>
      <w:pPr>
        <w:spacing w:after="0" w:line="81" w:lineRule="exact"/>
        <w:rPr>
          <w:sz w:val="20"/>
          <w:szCs w:val="20"/>
          <w:color w:val="auto"/>
        </w:rPr>
      </w:pPr>
    </w:p>
    <w:p>
      <w:pPr>
        <w:ind w:right="540" w:firstLine="571"/>
        <w:spacing w:after="0" w:line="260" w:lineRule="auto"/>
        <w:rPr>
          <w:sz w:val="20"/>
          <w:szCs w:val="20"/>
          <w:color w:val="auto"/>
        </w:rPr>
      </w:pPr>
      <w:r>
        <w:rPr>
          <w:rFonts w:ascii="Arial" w:cs="Arial" w:eastAsia="Arial" w:hAnsi="Arial"/>
          <w:sz w:val="18"/>
          <w:szCs w:val="18"/>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The following key characteristics determine display driver performance and end-market application:</w:t>
      </w:r>
    </w:p>
    <w:p>
      <w:pPr>
        <w:spacing w:after="0" w:line="38" w:lineRule="exact"/>
        <w:rPr>
          <w:sz w:val="20"/>
          <w:szCs w:val="20"/>
          <w:color w:val="auto"/>
        </w:rPr>
      </w:pPr>
    </w:p>
    <w:p>
      <w:pPr>
        <w:ind w:left="820" w:right="60" w:hanging="245"/>
        <w:spacing w:after="0" w:line="241"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pixels 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QQVGA (160RGB x 120) to HVGA (320RGB x 480).</w:t>
      </w:r>
    </w:p>
    <w:p>
      <w:pPr>
        <w:spacing w:after="0" w:line="54" w:lineRule="exact"/>
        <w:rPr>
          <w:rFonts w:ascii="Arial" w:cs="Arial" w:eastAsia="Arial" w:hAnsi="Arial"/>
          <w:sz w:val="18"/>
          <w:szCs w:val="18"/>
          <w:color w:val="auto"/>
        </w:rPr>
      </w:pPr>
    </w:p>
    <w:p>
      <w:pPr>
        <w:ind w:left="820" w:right="40" w:hanging="245"/>
        <w:spacing w:after="0" w:line="24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colors are supported by 6-bit source drivers; 16 million colors are supported by 8-bit source drivers; and 1 billion colors are supported by 10-bit and 12-bit source drivers.</w:t>
      </w:r>
    </w:p>
    <w:p>
      <w:pPr>
        <w:spacing w:after="0" w:line="49" w:lineRule="exact"/>
        <w:rPr>
          <w:rFonts w:ascii="Arial" w:cs="Arial" w:eastAsia="Arial" w:hAnsi="Arial"/>
          <w:sz w:val="18"/>
          <w:szCs w:val="18"/>
          <w:color w:val="auto"/>
        </w:rPr>
      </w:pPr>
    </w:p>
    <w:p>
      <w:pPr>
        <w:ind w:left="820" w:right="100" w:hanging="245"/>
        <w:spacing w:after="0" w:line="293" w:lineRule="auto"/>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 to 3.6 volts 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14" w:lineRule="exact"/>
        <w:rPr>
          <w:rFonts w:ascii="Arial" w:cs="Arial" w:eastAsia="Arial" w:hAnsi="Arial"/>
          <w:sz w:val="16"/>
          <w:szCs w:val="16"/>
          <w:color w:val="auto"/>
        </w:rPr>
      </w:pPr>
    </w:p>
    <w:p>
      <w:pPr>
        <w:ind w:left="820" w:right="200" w:hanging="245"/>
        <w:spacing w:after="0" w:line="24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Gamma Curve. </w:t>
      </w:r>
      <w:r>
        <w:rPr>
          <w:rFonts w:ascii="Arial" w:cs="Arial" w:eastAsia="Arial" w:hAnsi="Arial"/>
          <w:sz w:val="18"/>
          <w:szCs w:val="18"/>
          <w:color w:val="auto"/>
        </w:rPr>
        <w:t>The relationship between the light passing through a pixel and the voltage applied to the pixel by the source driver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3" w:lineRule="exact"/>
        <w:rPr>
          <w:rFonts w:ascii="Arial" w:cs="Arial" w:eastAsia="Arial" w:hAnsi="Arial"/>
          <w:sz w:val="18"/>
          <w:szCs w:val="18"/>
          <w:color w:val="auto"/>
        </w:rPr>
      </w:pPr>
    </w:p>
    <w:p>
      <w:pPr>
        <w:ind w:left="820" w:right="340" w:hanging="245"/>
        <w:spacing w:after="0" w:line="24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increasingly require higher bandwidth interface technology to address the larger data transfer rate necessary for higher definition images. The principal types of interface technologies are transistor-to-transistor logic, or TTL, reduced swing differential signaling, or RSDS, low current differential signaling, or LCDS, and mini-low voltage differential signaling, or mLVDS.</w:t>
      </w:r>
    </w:p>
    <w:p>
      <w:pPr>
        <w:spacing w:after="0" w:line="53" w:lineRule="exact"/>
        <w:rPr>
          <w:rFonts w:ascii="Arial" w:cs="Arial" w:eastAsia="Arial" w:hAnsi="Arial"/>
          <w:sz w:val="18"/>
          <w:szCs w:val="18"/>
          <w:color w:val="auto"/>
        </w:rPr>
      </w:pPr>
    </w:p>
    <w:p>
      <w:pPr>
        <w:ind w:left="820" w:right="360" w:hanging="245"/>
        <w:spacing w:after="0" w:line="260"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Package Type. </w:t>
      </w:r>
      <w:r>
        <w:rPr>
          <w:rFonts w:ascii="Arial" w:cs="Arial" w:eastAsia="Arial" w:hAnsi="Arial"/>
          <w:sz w:val="18"/>
          <w:szCs w:val="18"/>
          <w:color w:val="auto"/>
        </w:rPr>
        <w:t>The assembly of display drivers typically uses chip-on-film, or COF, tape carrier package, or TCP, and COG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types.</w:t>
      </w:r>
    </w:p>
    <w:p>
      <w:pPr>
        <w:spacing w:after="0" w:line="200"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Mobile Displays Solutions. </w:t>
      </w:r>
      <w:r>
        <w:rPr>
          <w:rFonts w:ascii="Arial" w:cs="Arial" w:eastAsia="Arial" w:hAnsi="Arial"/>
          <w:sz w:val="18"/>
          <w:szCs w:val="18"/>
          <w:color w:val="auto"/>
        </w:rPr>
        <w:t>Our mobile display solutions incorporate the industry’s most advanced display technologies, such as LTPS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AMOLED, as well as high volume technologies such as amorphous silicon, a-Si,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features of our products, both in mass production and in development, for mobile displays: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Key Features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Applications</w:t>
            </w:r>
          </w:p>
        </w:tc>
      </w:tr>
      <w:tr>
        <w:trPr>
          <w:trHeight w:val="273"/>
        </w:trPr>
        <w:tc>
          <w:tcPr>
            <w:tcW w:w="1380" w:type="dxa"/>
            <w:vAlign w:val="bottom"/>
          </w:tcPr>
          <w:p>
            <w:pPr>
              <w:spacing w:after="0"/>
              <w:rPr>
                <w:sz w:val="20"/>
                <w:szCs w:val="20"/>
                <w:color w:val="auto"/>
              </w:rPr>
            </w:pPr>
            <w:r>
              <w:rPr>
                <w:rFonts w:ascii="Arial" w:cs="Arial" w:eastAsia="Arial" w:hAnsi="Arial"/>
                <w:sz w:val="18"/>
                <w:szCs w:val="18"/>
                <w:color w:val="auto"/>
              </w:rPr>
              <w:t>LTPS</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QQVGA, QCIF+, QVGA, WQVGA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65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0.18µm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Digital cameras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380" w:type="dxa"/>
            <w:vAlign w:val="bottom"/>
          </w:tcPr>
          <w:p>
            <w:pPr>
              <w:spacing w:after="0"/>
              <w:rPr>
                <w:sz w:val="20"/>
                <w:szCs w:val="20"/>
                <w:color w:val="auto"/>
              </w:rPr>
            </w:pPr>
            <w:r>
              <w:rPr>
                <w:rFonts w:ascii="Arial" w:cs="Arial" w:eastAsia="Arial" w:hAnsi="Arial"/>
                <w:sz w:val="18"/>
                <w:szCs w:val="18"/>
                <w:color w:val="auto"/>
              </w:rPr>
              <w:t>AMOLED</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QVGA, WQVGA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Portable</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0.15µm</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w w:val="97"/>
              </w:rPr>
              <w:t>multimedia players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ABC, ACL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380" w:type="dxa"/>
            <w:vAlign w:val="bottom"/>
          </w:tcPr>
          <w:p>
            <w:pPr>
              <w:spacing w:after="0"/>
              <w:rPr>
                <w:sz w:val="20"/>
                <w:szCs w:val="20"/>
                <w:color w:val="auto"/>
              </w:rPr>
            </w:pPr>
            <w:r>
              <w:rPr>
                <w:rFonts w:ascii="Arial" w:cs="Arial" w:eastAsia="Arial" w:hAnsi="Arial"/>
                <w:sz w:val="18"/>
                <w:szCs w:val="18"/>
                <w:color w:val="auto"/>
              </w:rPr>
              <w:t>a-Si TFT</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QCIF+, QVGA, WQVGA, HVGA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Game consoles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0.35µm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w w:val="97"/>
              </w:rPr>
              <w:t>Navigation devices</w:t>
            </w: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MIPI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1T RAM and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ABC, SMLC and LABC</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Embedded touch screen controller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Wide view angle support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Separated gamma control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230" w:lineRule="exact"/>
        <w:rPr>
          <w:sz w:val="20"/>
          <w:szCs w:val="20"/>
          <w:color w:val="auto"/>
        </w:rPr>
      </w:pPr>
    </w:p>
    <w:p>
      <w:pPr>
        <w:ind w:right="280" w:firstLine="571"/>
        <w:spacing w:after="0" w:line="260" w:lineRule="auto"/>
        <w:rPr>
          <w:sz w:val="20"/>
          <w:szCs w:val="20"/>
          <w:color w:val="auto"/>
        </w:rPr>
      </w:pPr>
      <w:r>
        <w:rPr>
          <w:rFonts w:ascii="Arial" w:cs="Arial" w:eastAsia="Arial" w:hAnsi="Arial"/>
          <w:sz w:val="18"/>
          <w:szCs w:val="18"/>
          <w:i w:val="1"/>
          <w:iCs w:val="1"/>
          <w:color w:val="auto"/>
        </w:rPr>
        <w:t xml:space="preserve">Large Display Solutions. </w:t>
      </w:r>
      <w:r>
        <w:rPr>
          <w:rFonts w:ascii="Arial" w:cs="Arial" w:eastAsia="Arial" w:hAnsi="Arial"/>
          <w:sz w:val="18"/>
          <w:szCs w:val="18"/>
          <w:color w:val="auto"/>
        </w:rPr>
        <w:t>We provide display solutions for a wide range of large panel display sizes used in digital televisions,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high definition televisions, or HDTVs, LCD monitors and notebook computers.</w:t>
      </w:r>
    </w:p>
    <w:p>
      <w:pPr>
        <w:spacing w:after="0" w:line="137"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720 channels. We also offer a distinctive interface technology known as LCDS, which supports thinner displays for notebook computers. Our large display solutions are designed to allow customers to cost effectively meet the increasing demand for high resolution displays. We focus extensively on reducing the die size of our large display drivers and other solutions products and have recently introduced a number of new large display drivers with reduced die size.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sets forth the features of our products, both in mass production and in development, for large-sized displays:</w:t>
      </w:r>
    </w:p>
    <w:p>
      <w:pPr>
        <w:sectPr>
          <w:pgSz w:w="11900" w:h="16838" w:orient="portrait"/>
          <w:cols w:equalWidth="0" w:num="1">
            <w:col w:w="11340"/>
          </w:cols>
          <w:pgMar w:left="240" w:top="459" w:right="31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460" w:type="dxa"/>
            <w:vAlign w:val="bottom"/>
          </w:tcPr>
          <w:p>
            <w:pPr>
              <w:spacing w:after="0"/>
              <w:rPr>
                <w:sz w:val="14"/>
                <w:szCs w:val="14"/>
                <w:color w:val="auto"/>
              </w:rPr>
            </w:pPr>
          </w:p>
        </w:tc>
        <w:tc>
          <w:tcPr>
            <w:tcW w:w="730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Key Features</w:t>
            </w:r>
          </w:p>
        </w:tc>
      </w:tr>
      <w:tr>
        <w:trPr>
          <w:trHeight w:val="273"/>
        </w:trPr>
        <w:tc>
          <w:tcPr>
            <w:tcW w:w="1160" w:type="dxa"/>
            <w:vAlign w:val="bottom"/>
          </w:tcPr>
          <w:p>
            <w:pPr>
              <w:spacing w:after="0"/>
              <w:rPr>
                <w:sz w:val="20"/>
                <w:szCs w:val="20"/>
                <w:color w:val="auto"/>
              </w:rPr>
            </w:pPr>
            <w:r>
              <w:rPr>
                <w:rFonts w:ascii="Arial" w:cs="Arial" w:eastAsia="Arial" w:hAnsi="Arial"/>
                <w:sz w:val="18"/>
                <w:szCs w:val="18"/>
                <w:color w:val="auto"/>
              </w:rPr>
              <w:t>TFT-LCD</w:t>
            </w:r>
          </w:p>
        </w:tc>
        <w:tc>
          <w:tcPr>
            <w:tcW w:w="46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384 to 720 output channels</w:t>
            </w:r>
          </w:p>
        </w:tc>
      </w:tr>
      <w:tr>
        <w:trPr>
          <w:trHeight w:val="203"/>
        </w:trPr>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Source</w:t>
            </w: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6-bit (262 thousand colors), 8-bit (16 million colors), 10-bit and 12-bit (1 billion colors)</w:t>
            </w:r>
          </w:p>
        </w:tc>
      </w:tr>
      <w:tr>
        <w:trPr>
          <w:trHeight w:val="203"/>
        </w:trPr>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Drivers</w:t>
            </w: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Output voltage ranging from 4.5V to 18V</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standard 2.0V to 3.6V</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Low power consumption and low EMI</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COF, TCP and COG package types</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RSDS, LCDS, and mLVDS interface technologies</w:t>
            </w:r>
          </w:p>
        </w:tc>
      </w:tr>
      <w:tr>
        <w:trPr>
          <w:trHeight w:val="211"/>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0.18µm to 0.3µm</w:t>
            </w:r>
          </w:p>
        </w:tc>
      </w:tr>
      <w:tr>
        <w:trPr>
          <w:trHeight w:val="275"/>
        </w:trPr>
        <w:tc>
          <w:tcPr>
            <w:tcW w:w="1160" w:type="dxa"/>
            <w:vAlign w:val="bottom"/>
          </w:tcPr>
          <w:p>
            <w:pPr>
              <w:spacing w:after="0"/>
              <w:rPr>
                <w:sz w:val="20"/>
                <w:szCs w:val="20"/>
                <w:color w:val="auto"/>
              </w:rPr>
            </w:pPr>
            <w:r>
              <w:rPr>
                <w:rFonts w:ascii="Arial" w:cs="Arial" w:eastAsia="Arial" w:hAnsi="Arial"/>
                <w:sz w:val="18"/>
                <w:szCs w:val="18"/>
                <w:color w:val="auto"/>
              </w:rPr>
              <w:t>TFT-LCD</w:t>
            </w:r>
          </w:p>
        </w:tc>
        <w:tc>
          <w:tcPr>
            <w:tcW w:w="46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240 to 540 output channels</w:t>
            </w:r>
          </w:p>
        </w:tc>
      </w:tr>
      <w:tr>
        <w:trPr>
          <w:trHeight w:val="203"/>
        </w:trPr>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Gate</w:t>
            </w: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Output voltage ranging up to 40V</w:t>
            </w:r>
          </w:p>
        </w:tc>
      </w:tr>
      <w:tr>
        <w:trPr>
          <w:trHeight w:val="203"/>
        </w:trPr>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Drivers</w:t>
            </w: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standard 2.0V to 3.6V</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COF and COG package types</w:t>
            </w:r>
          </w:p>
        </w:tc>
      </w:tr>
      <w:tr>
        <w:trPr>
          <w:trHeight w:val="211"/>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0.35µm to 0.6µm</w:t>
            </w:r>
          </w:p>
        </w:tc>
      </w:tr>
      <w:tr>
        <w:trPr>
          <w:trHeight w:val="275"/>
        </w:trPr>
        <w:tc>
          <w:tcPr>
            <w:tcW w:w="1160" w:type="dxa"/>
            <w:vAlign w:val="bottom"/>
          </w:tcPr>
          <w:p>
            <w:pPr>
              <w:spacing w:after="0"/>
              <w:rPr>
                <w:sz w:val="20"/>
                <w:szCs w:val="20"/>
                <w:color w:val="auto"/>
              </w:rPr>
            </w:pPr>
            <w:r>
              <w:rPr>
                <w:rFonts w:ascii="Arial" w:cs="Arial" w:eastAsia="Arial" w:hAnsi="Arial"/>
                <w:sz w:val="18"/>
                <w:szCs w:val="18"/>
                <w:color w:val="auto"/>
              </w:rPr>
              <w:t>Timing</w:t>
            </w:r>
          </w:p>
        </w:tc>
        <w:tc>
          <w:tcPr>
            <w:tcW w:w="460" w:type="dxa"/>
            <w:vAlign w:val="bottom"/>
          </w:tcPr>
          <w:p>
            <w:pPr>
              <w:spacing w:after="0"/>
              <w:rPr>
                <w:sz w:val="23"/>
                <w:szCs w:val="23"/>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Product portfolio supports a wide range of resolutions</w:t>
            </w:r>
          </w:p>
        </w:tc>
      </w:tr>
      <w:tr>
        <w:trPr>
          <w:trHeight w:val="203"/>
        </w:trPr>
        <w:tc>
          <w:tcPr>
            <w:tcW w:w="1160" w:type="dxa"/>
            <w:vAlign w:val="bottom"/>
          </w:tcPr>
          <w:p>
            <w:pPr>
              <w:ind w:left="220"/>
              <w:spacing w:after="0" w:line="202" w:lineRule="exact"/>
              <w:rPr>
                <w:sz w:val="20"/>
                <w:szCs w:val="20"/>
                <w:color w:val="auto"/>
              </w:rPr>
            </w:pPr>
            <w:r>
              <w:rPr>
                <w:rFonts w:ascii="Arial" w:cs="Arial" w:eastAsia="Arial" w:hAnsi="Arial"/>
                <w:sz w:val="18"/>
                <w:szCs w:val="18"/>
                <w:color w:val="auto"/>
              </w:rPr>
              <w:t>Controllers</w:t>
            </w: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TTL, mLVDS, RSDS, LCDS interface technologies</w:t>
            </w:r>
          </w:p>
        </w:tc>
      </w:tr>
      <w:tr>
        <w:trPr>
          <w:trHeight w:val="203"/>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3.6V to 2.3V</w:t>
            </w:r>
          </w:p>
        </w:tc>
      </w:tr>
      <w:tr>
        <w:trPr>
          <w:trHeight w:val="211"/>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0.25µm to 0.6µm</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42"/>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4490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2" w:lineRule="exact"/>
        <w:rPr>
          <w:sz w:val="20"/>
          <w:szCs w:val="20"/>
          <w:color w:val="auto"/>
        </w:rPr>
      </w:pPr>
    </w:p>
    <w:p>
      <w:pPr>
        <w:ind w:left="282" w:right="80" w:hanging="282"/>
        <w:spacing w:after="0" w:line="234" w:lineRule="auto"/>
        <w:tabs>
          <w:tab w:leader="none" w:pos="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262" w:hanging="262"/>
        <w:spacing w:after="0" w:line="234"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40" w:hanging="282"/>
        <w:spacing w:after="0" w:line="299"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282" w:right="80" w:hanging="282"/>
        <w:spacing w:after="0" w:line="234" w:lineRule="auto"/>
        <w:tabs>
          <w:tab w:leader="none" w:pos="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262" w:hanging="262"/>
        <w:spacing w:after="0" w:line="234"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40" w:hanging="282"/>
        <w:spacing w:after="0" w:line="299"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3" w:lineRule="exact"/>
        <w:rPr>
          <w:rFonts w:ascii="Arial" w:cs="Arial" w:eastAsia="Arial" w:hAnsi="Arial"/>
          <w:sz w:val="16"/>
          <w:szCs w:val="16"/>
          <w:color w:val="auto"/>
        </w:rPr>
      </w:pPr>
    </w:p>
    <w:p>
      <w:pPr>
        <w:ind w:left="262" w:hanging="262"/>
        <w:spacing w:after="0"/>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w:t>
      </w:r>
    </w:p>
    <w:p>
      <w:pPr>
        <w:ind w:left="262" w:hanging="262"/>
        <w:spacing w:after="0"/>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spacing w:after="0" w:line="941" w:lineRule="exact"/>
        <w:rPr>
          <w:sz w:val="20"/>
          <w:szCs w:val="20"/>
          <w:color w:val="auto"/>
        </w:rPr>
      </w:pPr>
    </w:p>
    <w:p>
      <w:pPr>
        <w:sectPr>
          <w:pgSz w:w="11900" w:h="16838" w:orient="portrait"/>
          <w:cols w:equalWidth="0" w:num="2">
            <w:col w:w="8920" w:space="218"/>
            <w:col w:w="2202"/>
          </w:cols>
          <w:pgMar w:left="240" w:top="459" w:right="319" w:bottom="1440" w:gutter="0" w:footer="0" w:header="0"/>
          <w:type w:val="continuous"/>
        </w:sectPr>
      </w:pPr>
    </w:p>
    <w:p>
      <w:pPr>
        <w:ind w:firstLine="571"/>
        <w:spacing w:after="0" w:line="271" w:lineRule="auto"/>
        <w:rPr>
          <w:sz w:val="20"/>
          <w:szCs w:val="20"/>
          <w:color w:val="auto"/>
        </w:rPr>
      </w:pPr>
      <w:r>
        <w:rPr>
          <w:rFonts w:ascii="Arial" w:cs="Arial" w:eastAsia="Arial" w:hAnsi="Arial"/>
          <w:sz w:val="16"/>
          <w:szCs w:val="16"/>
          <w:color w:val="auto"/>
        </w:rPr>
        <w:t>We have begun marketing a new line of power management solutions. Our initial power management products include MOSFETs, DC-DC converters and linear regulators. These initial products are designed for applications such as mobile phones and LCD televisions and allow electronics manufacturers to achieve specific design goals of high efficiency and low standby power consumption. For mobile device applications, our product design is focused on improving battery life, while for LCD televisions, we have focused our product design on controlling and reducing standby power consumption. We believe that our power management solutions will enable customers to increase system stability and reduce heat dissipation and energy use, resulting in cost savings for our customers and consumers, as well as environmental benefits.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Solutions</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provide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 Our captive manufacturing capabilities enable us to continuously refine our CMOS process and pixel technology to deliver improved image-capture sensitivity and accuracy.</w:t>
      </w:r>
    </w:p>
    <w:p>
      <w:pPr>
        <w:spacing w:after="0" w:line="15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CMOS image sensors are characterized by a high level of integration. Many CMOS image sensor systems are made up of at least two integrated circuits, including the CMOS image sensor itself and a separate image signal processor, or ISP. With the continuing demand for ever smaller camera-enabled devices, small size without performance degradation has become an increasingly important requirement for manufacturers of camera phones and similar products. Our products meet this demand for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smaller form factor by integrating both our proprietary image sensor and an ISP onto a single chip, thus occupying approximately half of the space required by conventional multiple chip solutions, while providing equivalent, or even superior, image quality with lower power consumption and a lower overall cost.</w:t>
      </w:r>
    </w:p>
    <w:p>
      <w:pPr>
        <w:spacing w:after="0" w:line="154" w:lineRule="exact"/>
        <w:rPr>
          <w:sz w:val="20"/>
          <w:szCs w:val="20"/>
          <w:color w:val="auto"/>
        </w:rPr>
      </w:pPr>
    </w:p>
    <w:p>
      <w:pPr>
        <w:ind w:right="300" w:firstLine="571"/>
        <w:spacing w:after="0" w:line="281" w:lineRule="auto"/>
        <w:rPr>
          <w:sz w:val="20"/>
          <w:szCs w:val="20"/>
          <w:color w:val="auto"/>
        </w:rPr>
      </w:pPr>
      <w:r>
        <w:rPr>
          <w:rFonts w:ascii="Arial" w:cs="Arial" w:eastAsia="Arial" w:hAnsi="Arial"/>
          <w:sz w:val="16"/>
          <w:szCs w:val="16"/>
          <w:color w:val="auto"/>
        </w:rPr>
        <w:t>The choice of image sensor products by our customers may involve many factors such as light sensitivity, resolution, size of device, packaging and integration level. Our image sensors are available in multiple package types as well as with various levels of integration, ranging from stand alone image sensors to SoC solutions that integrate ISP and eDoF technologies, so as to service a broad range of customer needs.</w:t>
      </w:r>
    </w:p>
    <w:p>
      <w:pPr>
        <w:spacing w:after="0" w:line="124"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Image sensor products are classified by resolution, which determines the visual detail in the image. As the size of the pixel decreases, smaller devices can be produced with higher resolution. Image sensors are comprised of an array of pixels. The pixel size and optical format, which is the size of the image area, determine the size of the pixel array. Smaller optical formats and pixel sizes enable higher resolutions without increasing device size. Our image sensors range from VGA devices at one end of the resolution spectrum up to 3.2 MP at the other.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key products and features of our image solutions currently either in mass production or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Resolution</w:t>
            </w:r>
          </w:p>
        </w:tc>
        <w:tc>
          <w:tcPr>
            <w:tcW w:w="1300" w:type="dxa"/>
            <w:vAlign w:val="bottom"/>
          </w:tcPr>
          <w:p>
            <w:pPr>
              <w:spacing w:after="0"/>
              <w:rPr>
                <w:sz w:val="14"/>
                <w:szCs w:val="14"/>
                <w:color w:val="auto"/>
              </w:rPr>
            </w:pPr>
          </w:p>
        </w:tc>
        <w:tc>
          <w:tcPr>
            <w:tcW w:w="33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Key Features</w:t>
            </w: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Applications</w:t>
            </w:r>
          </w:p>
        </w:tc>
      </w:tr>
      <w:tr>
        <w:trPr>
          <w:trHeight w:val="273"/>
        </w:trPr>
        <w:tc>
          <w:tcPr>
            <w:tcW w:w="3660" w:type="dxa"/>
            <w:vAlign w:val="bottom"/>
          </w:tcPr>
          <w:p>
            <w:pPr>
              <w:spacing w:after="0"/>
              <w:rPr>
                <w:sz w:val="20"/>
                <w:szCs w:val="20"/>
                <w:color w:val="auto"/>
              </w:rPr>
            </w:pPr>
            <w:r>
              <w:rPr>
                <w:rFonts w:ascii="Arial" w:cs="Arial" w:eastAsia="Arial" w:hAnsi="Arial"/>
                <w:sz w:val="18"/>
                <w:szCs w:val="18"/>
                <w:color w:val="auto"/>
              </w:rPr>
              <w:t>VGA (640 x 480)</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5.04µm to 2.2µm Optical</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PC cameras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format: 1/4” to 1/10”</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1.3 MP (1280 x 1024)</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w w:val="99"/>
              </w:rPr>
              <w:t>Pixel size: 3.6µm to 2.8µm Optical format: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1/3” to 1/5”</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Digital cameras</w:t>
            </w:r>
          </w:p>
        </w:tc>
      </w:tr>
      <w:tr>
        <w:trPr>
          <w:trHeight w:val="446"/>
        </w:trPr>
        <w:tc>
          <w:tcPr>
            <w:tcW w:w="3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2.1 MP (1600 x 1200)</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2.2µm</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Optical format: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275"/>
        </w:trPr>
        <w:tc>
          <w:tcPr>
            <w:tcW w:w="3660" w:type="dxa"/>
            <w:vAlign w:val="bottom"/>
          </w:tcPr>
          <w:p>
            <w:pPr>
              <w:spacing w:after="0"/>
              <w:rPr>
                <w:sz w:val="20"/>
                <w:szCs w:val="20"/>
                <w:color w:val="auto"/>
              </w:rPr>
            </w:pPr>
            <w:r>
              <w:rPr>
                <w:rFonts w:ascii="Arial" w:cs="Arial" w:eastAsia="Arial" w:hAnsi="Arial"/>
                <w:sz w:val="18"/>
                <w:szCs w:val="18"/>
                <w:color w:val="auto"/>
              </w:rPr>
              <w:t>3.2 MP (2048 x 1536)</w:t>
            </w:r>
          </w:p>
        </w:tc>
        <w:tc>
          <w:tcPr>
            <w:tcW w:w="130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Pixel size: 2.2µm to 1.75µm Optical</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3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format: 1/3.2” to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Digital cameras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Manufacturing Services</w:t>
      </w:r>
    </w:p>
    <w:p>
      <w:pPr>
        <w:spacing w:after="0" w:line="99"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We provide semiconductor manufacturing services to analog and mixed-signal semiconductor companies. We have over 170 process flows we offer to our manufacturing services customers. We also often partner with key customers to jointly develop or customize specialized processes that enable our customers to improve their products and allow us to develop unique manufacturing expertise.</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Our manufacturing services offering is targeted at customers who require differentiated, specialty analog and mixed-signal process technologies such as high voltage CMOS, embedded memory and power. We differentiate ourselves through the depth of our intellectual property portfolio, ability to customize process technology to meet the customers’ requirements effectively, long history in this business and reputation for excellence.</w:t>
      </w:r>
    </w:p>
    <w:p>
      <w:pPr>
        <w:spacing w:after="0" w:line="155" w:lineRule="exact"/>
        <w:rPr>
          <w:sz w:val="20"/>
          <w:szCs w:val="20"/>
          <w:color w:val="auto"/>
        </w:rPr>
      </w:pPr>
    </w:p>
    <w:p>
      <w:pPr>
        <w:ind w:right="880" w:firstLine="571"/>
        <w:spacing w:after="0" w:line="299" w:lineRule="auto"/>
        <w:rPr>
          <w:sz w:val="20"/>
          <w:szCs w:val="20"/>
          <w:color w:val="auto"/>
        </w:rPr>
      </w:pPr>
      <w:r>
        <w:rPr>
          <w:rFonts w:ascii="Arial" w:cs="Arial" w:eastAsia="Arial" w:hAnsi="Arial"/>
          <w:sz w:val="16"/>
          <w:szCs w:val="16"/>
          <w:color w:val="auto"/>
        </w:rPr>
        <w:t>Our semiconductor manufacturing services customers typically serve high growth and high volume applications in the consumer, computing, wireless and industrial end markets. We strive to be the primary manufacturing source for our foundry customers.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Process Technology Overview</w:t>
      </w:r>
    </w:p>
    <w:p>
      <w:pPr>
        <w:spacing w:after="0" w:line="81" w:lineRule="exact"/>
        <w:rPr>
          <w:sz w:val="20"/>
          <w:szCs w:val="20"/>
          <w:color w:val="auto"/>
        </w:rPr>
      </w:pPr>
    </w:p>
    <w:p>
      <w:pPr>
        <w:ind w:left="820" w:right="180" w:hanging="245"/>
        <w:spacing w:after="0" w:line="24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Mixed Signal</w:t>
      </w:r>
      <w:r>
        <w:rPr>
          <w:rFonts w:ascii="Arial" w:cs="Arial" w:eastAsia="Arial" w:hAnsi="Arial"/>
          <w:sz w:val="18"/>
          <w:szCs w:val="18"/>
          <w:color w:val="auto"/>
        </w:rPr>
        <w:t>. Mixed signal process technology is used in devices that require conversion of light and sound into electrical signals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display. Our mixed signal processes include advanced technologies such as triple gate, which uses less power at any given performance level.</w:t>
      </w:r>
    </w:p>
    <w:p>
      <w:pPr>
        <w:spacing w:after="0" w:line="49" w:lineRule="exact"/>
        <w:rPr>
          <w:rFonts w:ascii="Arial" w:cs="Arial" w:eastAsia="Arial" w:hAnsi="Arial"/>
          <w:sz w:val="18"/>
          <w:szCs w:val="18"/>
          <w:color w:val="auto"/>
        </w:rPr>
      </w:pPr>
    </w:p>
    <w:p>
      <w:pPr>
        <w:ind w:left="820" w:right="820" w:hanging="245"/>
        <w:spacing w:after="0" w:line="260"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Power</w:t>
      </w:r>
      <w:r>
        <w:rPr>
          <w:rFonts w:ascii="Arial" w:cs="Arial" w:eastAsia="Arial" w:hAnsi="Arial"/>
          <w:sz w:val="18"/>
          <w:szCs w:val="18"/>
          <w:color w:val="auto"/>
        </w:rPr>
        <w:t>. Power process technology, such as modular BCD, includes high voltage capabilities as well as the ability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such as self-regulation, internal protection, and other intelligent features.</w:t>
      </w:r>
    </w:p>
    <w:p>
      <w:pPr>
        <w:spacing w:after="0" w:line="37" w:lineRule="exact"/>
        <w:rPr>
          <w:rFonts w:ascii="Arial" w:cs="Arial" w:eastAsia="Arial" w:hAnsi="Arial"/>
          <w:sz w:val="18"/>
          <w:szCs w:val="18"/>
          <w:color w:val="auto"/>
        </w:rPr>
      </w:pPr>
    </w:p>
    <w:p>
      <w:pPr>
        <w:ind w:left="820" w:right="60" w:hanging="245"/>
        <w:spacing w:after="0" w:line="243"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High Voltage CMOS</w:t>
      </w:r>
      <w:r>
        <w:rPr>
          <w:rFonts w:ascii="Arial" w:cs="Arial" w:eastAsia="Arial" w:hAnsi="Arial"/>
          <w:sz w:val="18"/>
          <w:szCs w:val="18"/>
          <w:color w:val="auto"/>
        </w:rPr>
        <w:t>. High voltage CMOS process technology facilitates the use of high voltage levels in conjunction with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transistor sizes. This 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53" w:lineRule="exact"/>
        <w:rPr>
          <w:rFonts w:ascii="Arial" w:cs="Arial" w:eastAsia="Arial" w:hAnsi="Arial"/>
          <w:sz w:val="18"/>
          <w:szCs w:val="18"/>
          <w:color w:val="auto"/>
        </w:rPr>
      </w:pPr>
    </w:p>
    <w:p>
      <w:pPr>
        <w:ind w:left="820" w:right="160" w:hanging="245"/>
        <w:spacing w:after="0" w:line="24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Non-Volatile Memory (NVM)</w:t>
      </w:r>
      <w:r>
        <w:rPr>
          <w:rFonts w:ascii="Arial" w:cs="Arial" w:eastAsia="Arial" w:hAnsi="Arial"/>
          <w:sz w:val="18"/>
          <w:szCs w:val="18"/>
          <w:color w:val="auto"/>
        </w:rPr>
        <w:t>. Non-volatile memory process technology enables the integration of non-volatile memory cells that allow</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of the stored information even when power is removed from the circuit. This type of memory is typically used for long-term persistent storage.</w:t>
      </w:r>
    </w:p>
    <w:p>
      <w:pPr>
        <w:spacing w:after="0" w:line="49" w:lineRule="exact"/>
        <w:rPr>
          <w:rFonts w:ascii="Arial" w:cs="Arial" w:eastAsia="Arial" w:hAnsi="Arial"/>
          <w:sz w:val="18"/>
          <w:szCs w:val="18"/>
          <w:color w:val="auto"/>
        </w:rPr>
      </w:pPr>
    </w:p>
    <w:p>
      <w:pPr>
        <w:ind w:left="820" w:right="540" w:hanging="245"/>
        <w:spacing w:after="0" w:line="322"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Microelectromechanical Systems (MEMS). </w:t>
      </w:r>
      <w:r>
        <w:rPr>
          <w:rFonts w:ascii="Arial" w:cs="Arial" w:eastAsia="Arial" w:hAnsi="Arial"/>
          <w:sz w:val="16"/>
          <w:szCs w:val="16"/>
          <w:color w:val="auto"/>
        </w:rPr>
        <w:t>MEMS process technology allows the manufacture of components that use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energy to generate a mechanical response. For example, MEMS devices are used in the earpieces of mobile phones.</w:t>
      </w:r>
    </w:p>
    <w:p>
      <w:pPr>
        <w:spacing w:after="0" w:line="92" w:lineRule="exact"/>
        <w:rPr>
          <w:sz w:val="20"/>
          <w:szCs w:val="20"/>
          <w:color w:val="auto"/>
        </w:rPr>
      </w:pPr>
    </w:p>
    <w:p>
      <w:pPr>
        <w:ind w:right="840" w:firstLine="571"/>
        <w:spacing w:after="0" w:line="239" w:lineRule="auto"/>
        <w:rPr>
          <w:sz w:val="20"/>
          <w:szCs w:val="20"/>
          <w:color w:val="auto"/>
        </w:rPr>
      </w:pPr>
      <w:r>
        <w:rPr>
          <w:rFonts w:ascii="Arial" w:cs="Arial" w:eastAsia="Arial" w:hAnsi="Arial"/>
          <w:sz w:val="18"/>
          <w:szCs w:val="18"/>
          <w:color w:val="auto"/>
        </w:rPr>
        <w:t>The table below sets forth the key process technologies in semiconductor manufacturing services currently in mass production or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Process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Technology</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Device</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End Markets</w:t>
            </w:r>
          </w:p>
        </w:tc>
      </w:tr>
      <w:tr>
        <w:trPr>
          <w:trHeight w:val="68"/>
        </w:trPr>
        <w:tc>
          <w:tcPr>
            <w:tcW w:w="2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6"/>
        </w:trPr>
        <w:tc>
          <w:tcPr>
            <w:tcW w:w="2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Mixed-signal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0.16-0.8µm</w:t>
            </w:r>
          </w:p>
        </w:tc>
        <w:tc>
          <w:tcPr>
            <w:tcW w:w="820" w:type="dxa"/>
            <w:vAlign w:val="bottom"/>
            <w:gridSpan w:val="2"/>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Analog to digital converter</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Consumer</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Multipurpose</w:t>
            </w:r>
          </w:p>
        </w:tc>
        <w:tc>
          <w:tcPr>
            <w:tcW w:w="8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Digital to analog converter</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Triple gate</w:t>
            </w:r>
          </w:p>
        </w:tc>
        <w:tc>
          <w:tcPr>
            <w:tcW w:w="8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CODEC</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13"/>
        </w:trPr>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DVD chipset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Computing</w:t>
            </w:r>
          </w:p>
        </w:tc>
      </w:tr>
      <w:tr>
        <w:trPr>
          <w:trHeight w:val="273"/>
        </w:trPr>
        <w:tc>
          <w:tcPr>
            <w:tcW w:w="2980" w:type="dxa"/>
            <w:vAlign w:val="bottom"/>
          </w:tcPr>
          <w:p>
            <w:pPr>
              <w:spacing w:after="0"/>
              <w:rPr>
                <w:sz w:val="20"/>
                <w:szCs w:val="20"/>
                <w:color w:val="auto"/>
              </w:rPr>
            </w:pPr>
            <w:r>
              <w:rPr>
                <w:rFonts w:ascii="Arial" w:cs="Arial" w:eastAsia="Arial" w:hAnsi="Arial"/>
                <w:sz w:val="18"/>
                <w:szCs w:val="18"/>
                <w:color w:val="auto"/>
              </w:rPr>
              <w:t>Power</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0.18-0.6µm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Power management</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40V-80V</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Power over Ethernet</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Analog</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LED drivers</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Modular 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Deep Trench</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Trench MOSFET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70"/>
        </w:trPr>
        <w:tc>
          <w:tcPr>
            <w:tcW w:w="2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6"/>
        </w:trPr>
        <w:tc>
          <w:tcPr>
            <w:tcW w:w="2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High Voltage CMOS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6" w:lineRule="exact"/>
              <w:rPr>
                <w:sz w:val="20"/>
                <w:szCs w:val="20"/>
                <w:color w:val="auto"/>
              </w:rPr>
            </w:pPr>
            <w:r>
              <w:rPr>
                <w:rFonts w:ascii="Arial" w:cs="Arial" w:eastAsia="Arial" w:hAnsi="Arial"/>
                <w:sz w:val="18"/>
                <w:szCs w:val="18"/>
                <w:color w:val="auto"/>
              </w:rPr>
              <w:t>0.13-0.8µm</w:t>
            </w:r>
          </w:p>
        </w:tc>
        <w:tc>
          <w:tcPr>
            <w:tcW w:w="820" w:type="dxa"/>
            <w:vAlign w:val="bottom"/>
            <w:gridSpan w:val="2"/>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Display drivers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Consumer</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18V-200V</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Multiple options, such as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2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Bipolar, Mixed Mode, Thick</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3"/>
        </w:trPr>
        <w:tc>
          <w:tcPr>
            <w:tcW w:w="2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3"/>
        </w:trPr>
        <w:tc>
          <w:tcPr>
            <w:tcW w:w="2980" w:type="dxa"/>
            <w:vAlign w:val="bottom"/>
          </w:tcPr>
          <w:p>
            <w:pPr>
              <w:spacing w:after="0"/>
              <w:rPr>
                <w:sz w:val="20"/>
                <w:szCs w:val="20"/>
                <w:color w:val="auto"/>
              </w:rPr>
            </w:pPr>
            <w:r>
              <w:rPr>
                <w:rFonts w:ascii="Arial" w:cs="Arial" w:eastAsia="Arial" w:hAnsi="Arial"/>
                <w:sz w:val="18"/>
                <w:szCs w:val="18"/>
                <w:color w:val="auto"/>
              </w:rPr>
              <w:t>NVM</w:t>
            </w:r>
          </w:p>
        </w:tc>
        <w:tc>
          <w:tcPr>
            <w:tcW w:w="3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0.18-0.35µm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Microcontroller</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EEPROM</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Electronic Tag</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eFlash</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Hearing aid</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1"/>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80"/>
              <w:spacing w:after="0"/>
              <w:rPr>
                <w:sz w:val="20"/>
                <w:szCs w:val="20"/>
                <w:color w:val="auto"/>
              </w:rPr>
            </w:pPr>
            <w:r>
              <w:rPr>
                <w:rFonts w:ascii="Arial" w:cs="Arial" w:eastAsia="Arial" w:hAnsi="Arial"/>
                <w:sz w:val="18"/>
                <w:szCs w:val="18"/>
                <w:color w:val="auto"/>
              </w:rPr>
              <w:t>Automotive</w:t>
            </w:r>
          </w:p>
        </w:tc>
      </w:tr>
      <w:tr>
        <w:trPr>
          <w:trHeight w:val="70"/>
        </w:trPr>
        <w:tc>
          <w:tcPr>
            <w:tcW w:w="2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MEMS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1.0µm</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Transducer</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Wireless</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Facilities</w:t>
      </w:r>
    </w:p>
    <w:p>
      <w:pPr>
        <w:spacing w:after="0" w:line="99" w:lineRule="exact"/>
        <w:rPr>
          <w:sz w:val="20"/>
          <w:szCs w:val="20"/>
          <w:color w:val="auto"/>
        </w:rPr>
      </w:pPr>
    </w:p>
    <w:p>
      <w:pPr>
        <w:ind w:right="620" w:firstLine="571"/>
        <w:spacing w:after="0" w:line="239" w:lineRule="auto"/>
        <w:rPr>
          <w:sz w:val="20"/>
          <w:szCs w:val="20"/>
          <w:color w:val="auto"/>
        </w:rPr>
      </w:pPr>
      <w:r>
        <w:rPr>
          <w:rFonts w:ascii="Arial" w:cs="Arial" w:eastAsia="Arial" w:hAnsi="Arial"/>
          <w:sz w:val="18"/>
          <w:szCs w:val="18"/>
          <w:color w:val="auto"/>
        </w:rPr>
        <w:t>Our manufacturing operations consist of two sites located in Cheongju and Gumi in Korea. These sites have a combined capacity of approximately 119,000 eight-inch equivalent wafers per month.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manufacture wafers utilizing geometries ranging from 0.13 to 1.0 micron. The Cheongju facilities have three main buildings totaling 164,058 square meters devoted to manufacturing and development. The Gumi facilities have two main buildings with 50,352 square meters devoted to manufacturing, testing and packaging.</w:t>
      </w:r>
    </w:p>
    <w:p>
      <w:pPr>
        <w:spacing w:after="0" w:line="154"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In addition to our fabrication facilities located in Cheongju and Gumi, Korea, we lease facilities in Seoul, Korea, Sunnyvale, California, and Tokyo and Osaka, Japan. Each of these facilities includes administration, sales and marketing and research and development functions. We lease a design facility in Lake Oswego, Oregon, and sales and marketing offices at our subsidiaries in several other countries.</w:t>
      </w:r>
    </w:p>
    <w:p>
      <w:pPr>
        <w:spacing w:after="0" w:line="154"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properties are adequate for the conduct of our business for the foreseeable future.</w:t>
      </w:r>
    </w:p>
    <w:p>
      <w:pPr>
        <w:spacing w:after="0" w:line="154"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We use a combination of in-house and outsourced assembly, test and packaging services. Our independent providers of these services are located in Korea, China, Japan and Taiwan.</w:t>
      </w:r>
    </w:p>
    <w:p>
      <w:pPr>
        <w:spacing w:after="0" w:line="155"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We use processes that require specialized raw materials that are generally available from a limited number of suppliers. In 2006, we diversified suppliers for many of our raw materials, including polysilicon, chemicals, gases and tape. Tape is one of the process materials required for our display drivers. We continue to attempt to qualify additional suppliers for our raw materials.</w:t>
      </w:r>
    </w:p>
    <w:p>
      <w:pPr>
        <w:spacing w:after="0" w:line="1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are party to several building lease agreements, and land lease and easement agreements, with Hynix pursuant to which we lease certain of our facilities located in Cheongju, Korea to Hynix, and Hynix leases certain of its facilities to us. The lease terms are for twenty years from the date of the Original Acquisition with automatic extensions for ten year terms. However, the leases may be terminated by either party prior to the expiration of the terms upon the occurrence of a material breach by the other party or the cessation of business on the premises by the lessee, or by the lessee for any reason upon ninety days prior notice. Because we share certain facilities with Hynix, several services that are essential to our business are provided to us by or through Hynix under our general service supply agreement with Hynix. These services include electricity, bulk gasses and de-ionized water, campus facilities and housing, wastewater and sewage management, environmental safety and certain utilities and infrastructure support services. The services generally continue until the lease applicable to the property with respect to which the services are being provided terminates. However, certain of the services may be terminated by us prior to the applicable lease expiration. Hynix may also terminate this general service supply agreement upon a material breach by us or the cessation of business on the premises by us. Additionally, under a research and development equipment utilization agreement with Hynix, Hynix has granted us a right to use certain of its equipment for research and development purposes. The term of this agreement expires five years after the date of the Original Acquisition and may be extended for one additional year unless earlier terminated by either party upon the occurrence of a material breach by the other party. This agreement may also be terminated by Hynix if we cease to conduct certain permitted activities and, with respect to certain equipment, by us for any reason.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We focus our sales and marketing strategy on creating and strengthening our relationships with leading consumer electronics OEMs, such as LG.Philips LCD, Sharp and Samsung,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organized by customers as opposed to products. We believe this facilitates the sale of products that address multiple end-market applications to each of our customers. Our manufacturing services sales teams focus on marketing our services to mixed-signal semiconductor companies that require specialty manufacturing processes.</w:t>
      </w:r>
    </w:p>
    <w:p>
      <w:pPr>
        <w:spacing w:after="0" w:line="154" w:lineRule="exact"/>
        <w:rPr>
          <w:sz w:val="20"/>
          <w:szCs w:val="20"/>
          <w:color w:val="auto"/>
        </w:rPr>
      </w:pPr>
    </w:p>
    <w:p>
      <w:pPr>
        <w:ind w:right="120" w:firstLine="571"/>
        <w:spacing w:after="0" w:line="273"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Japan and the United States, as well as our local sales and support offices in Greater China and Europe. We have a network of agents and distributors in Korea, Japan, Europe and Greater China. During the nine-month period ended September 30, 2007, we derived approximately 84% of net sales through our direct sales force and 16% of net sales through our network of authorized agents and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jc w:val="both"/>
        <w:ind w:right="40" w:firstLine="571"/>
        <w:spacing w:after="0" w:line="237" w:lineRule="auto"/>
        <w:rPr>
          <w:sz w:val="20"/>
          <w:szCs w:val="20"/>
          <w:color w:val="auto"/>
        </w:rPr>
      </w:pPr>
      <w:r>
        <w:rPr>
          <w:rFonts w:ascii="Arial" w:cs="Arial" w:eastAsia="Arial" w:hAnsi="Arial"/>
          <w:sz w:val="18"/>
          <w:szCs w:val="18"/>
          <w:color w:val="auto"/>
        </w:rPr>
        <w:t>Our research and development efforts focus on intellectual property, design methodology and process technology for our complex analog and mixed-signal semiconductor products and services. Our expenditures for research and development were $101.1 million, representing 18.5% of net sales for the nine months ended September 30, 2007, compared to 17.6% of net sales for the year ended December 31, 2006 and 11.5% of net sales for the year ended December 31, 2005.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We sell our products to consumer electronics OEMs as well as subsystem designers and contract manufacturers. We sell our manufacturing services to analog and mixed-signal semiconductor companies. We believe our end customers include a majority of the ten largest global consumer electronics companies by revenue. In the nine-month period ended September 30, 2007, our 10 largest customers accounted for approximately 61.6% of our net sales, and we had one customer, LG.Philips LCD, representing greater than 10% of our net sales. During the nine-month period ended September 30, 2007, we received revenues of $31.7 million from customers in the United States and $514.2 million from all foreign countries, of which 62.0% was from Korea, 16.7% from Taiwan, 8.8% from Japan and 8.2% from China, Hong Kong and Macau.</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As of September 30, 2007, our portfolio of intellectual property assets included approximately 7,700 registered and pending patents. Our patents expire at various times over the next 18 years. While these patents are in the aggregate important to our competitive position, we do not believe that any single registered or pending patent is material to us.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Additionally, in connection with the Original Acquisition, Hynix retained a perpetual license 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power management and image sensor semiconductor devices, as well as companies providing specialty manufacturing services.</w:t>
      </w:r>
    </w:p>
    <w:p>
      <w:pPr>
        <w:spacing w:after="0" w:line="12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worldwide workforce consisted of 3,575 employees (full- and part-time) as of September 30, 2007, of which 440 were involved in sales, general and administrative, 541 were in research and development (including 295 with advanced degrees), 93 were in quality, reliability and assurance and 2,501 were in manufacturing (comprised of 399 in engineering and 2,102 in operations). As of September 30, 2007, 2,187 employees, or approximately 61% of our workforce, were represented by the MagnaChip Semiconductor Labor Union, which is a member of the Federation of Korean Metal Workers Trade Unions. We believe our labor relations are good.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9" w:lineRule="exact"/>
        <w:rPr>
          <w:sz w:val="20"/>
          <w:szCs w:val="20"/>
          <w:color w:val="auto"/>
        </w:rPr>
      </w:pPr>
    </w:p>
    <w:p>
      <w:pPr>
        <w:ind w:right="120" w:firstLine="571"/>
        <w:spacing w:after="0" w:line="26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9"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155" w:lineRule="exact"/>
        <w:rPr>
          <w:sz w:val="20"/>
          <w:szCs w:val="20"/>
          <w:color w:val="auto"/>
        </w:rPr>
      </w:pPr>
    </w:p>
    <w:p>
      <w:pPr>
        <w:ind w:right="520" w:firstLine="571"/>
        <w:spacing w:after="0" w:line="299" w:lineRule="auto"/>
        <w:rPr>
          <w:sz w:val="20"/>
          <w:szCs w:val="20"/>
          <w:color w:val="auto"/>
        </w:rPr>
      </w:pPr>
      <w:r>
        <w:rPr>
          <w:rFonts w:ascii="Arial" w:cs="Arial" w:eastAsia="Arial" w:hAnsi="Arial"/>
          <w:sz w:val="16"/>
          <w:szCs w:val="16"/>
          <w:color w:val="auto"/>
        </w:rPr>
        <w:t>For a description of our business and the distribution of our assets by geographic regions and reporting segments, see note 16 to the consolidated financial statements of MagnaChip Semiconductor LLC for the year ended December 31, 2006 elsewhere in this prospectus.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and Corporate Governance.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is a list of the current directors and executive officers of MagnaChip and their respective ages as of February 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282"/>
        </w:trPr>
        <w:tc>
          <w:tcPr>
            <w:tcW w:w="3080" w:type="dxa"/>
            <w:vAlign w:val="bottom"/>
          </w:tcPr>
          <w:p>
            <w:pPr>
              <w:spacing w:after="0"/>
              <w:rPr>
                <w:sz w:val="20"/>
                <w:szCs w:val="20"/>
                <w:color w:val="auto"/>
              </w:rPr>
            </w:pPr>
            <w:r>
              <w:rPr>
                <w:rFonts w:ascii="Arial" w:cs="Arial" w:eastAsia="Arial" w:hAnsi="Arial"/>
                <w:sz w:val="18"/>
                <w:szCs w:val="18"/>
                <w:color w:val="auto"/>
              </w:rPr>
              <w:t>Sang Park</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764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Robert J. Krakauer</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President, Chief Financial Officer, General Manager, Imaging Solutions Division, and 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Tae Young Hwang</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7640" w:type="dxa"/>
            <w:vAlign w:val="bottom"/>
          </w:tcPr>
          <w:p>
            <w:pPr>
              <w:spacing w:after="0"/>
              <w:rPr>
                <w:sz w:val="20"/>
                <w:szCs w:val="20"/>
                <w:color w:val="auto"/>
              </w:rPr>
            </w:pPr>
            <w:r>
              <w:rPr>
                <w:rFonts w:ascii="Arial" w:cs="Arial" w:eastAsia="Arial" w:hAnsi="Arial"/>
                <w:sz w:val="18"/>
                <w:szCs w:val="18"/>
                <w:color w:val="auto"/>
                <w:w w:val="98"/>
              </w:rPr>
              <w:t>Executive Vice President, Manufacturing Division, and General Manager, Large Display Solutions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Chan Hee Lee</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7640" w:type="dxa"/>
            <w:vAlign w:val="bottom"/>
          </w:tcPr>
          <w:p>
            <w:pPr>
              <w:spacing w:after="0"/>
              <w:rPr>
                <w:sz w:val="20"/>
                <w:szCs w:val="20"/>
                <w:color w:val="auto"/>
              </w:rPr>
            </w:pPr>
            <w:r>
              <w:rPr>
                <w:rFonts w:ascii="Arial" w:cs="Arial" w:eastAsia="Arial" w:hAnsi="Arial"/>
                <w:sz w:val="18"/>
                <w:szCs w:val="18"/>
                <w:color w:val="auto"/>
              </w:rPr>
              <w:t>Executive Vice President and General Manager, Semiconductor Manufacturing Services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John McFarland</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Victoria Miller Nam</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Strategic Operations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Brent Rowe</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Worldwide Sales</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Margaret Sakai</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7640" w:type="dxa"/>
            <w:vAlign w:val="bottom"/>
          </w:tcPr>
          <w:p>
            <w:pPr>
              <w:spacing w:after="0"/>
              <w:rPr>
                <w:sz w:val="20"/>
                <w:szCs w:val="20"/>
                <w:color w:val="auto"/>
              </w:rPr>
            </w:pPr>
            <w:r>
              <w:rPr>
                <w:rFonts w:ascii="Arial" w:cs="Arial" w:eastAsia="Arial" w:hAnsi="Arial"/>
                <w:sz w:val="18"/>
                <w:szCs w:val="18"/>
                <w:color w:val="auto"/>
              </w:rPr>
              <w:t>Senior Vice President, Finance</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Jerry M. Baker</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Dipanjan Deb</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Armando Geday</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45</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Roy Kuan</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R. Douglas Norby</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72</w:t>
            </w:r>
          </w:p>
        </w:tc>
        <w:tc>
          <w:tcPr>
            <w:tcW w:w="764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Phokion Potamianos</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Paul C. Schorr IV</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080" w:type="dxa"/>
            <w:vAlign w:val="bottom"/>
          </w:tcPr>
          <w:p>
            <w:pPr>
              <w:spacing w:after="0"/>
              <w:rPr>
                <w:sz w:val="20"/>
                <w:szCs w:val="20"/>
                <w:color w:val="auto"/>
              </w:rPr>
            </w:pPr>
            <w:r>
              <w:rPr>
                <w:rFonts w:ascii="Arial" w:cs="Arial" w:eastAsia="Arial" w:hAnsi="Arial"/>
                <w:sz w:val="18"/>
                <w:szCs w:val="18"/>
                <w:color w:val="auto"/>
              </w:rPr>
              <w:t>David F. Thomas</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76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right="40" w:firstLine="571"/>
        <w:spacing w:after="0"/>
        <w:rPr>
          <w:sz w:val="20"/>
          <w:szCs w:val="20"/>
          <w:color w:val="auto"/>
        </w:rPr>
      </w:pPr>
      <w:r>
        <w:rPr>
          <w:rFonts w:ascii="Arial" w:cs="Arial" w:eastAsia="Arial" w:hAnsi="Arial"/>
          <w:sz w:val="18"/>
          <w:szCs w:val="18"/>
          <w:b w:val="1"/>
          <w:bCs w:val="1"/>
          <w:i w:val="1"/>
          <w:iCs w:val="1"/>
          <w:color w:val="auto"/>
        </w:rPr>
        <w:t>Sang Park</w:t>
      </w:r>
      <w:r>
        <w:rPr>
          <w:rFonts w:ascii="Arial" w:cs="Arial" w:eastAsia="Arial" w:hAnsi="Arial"/>
          <w:sz w:val="18"/>
          <w:szCs w:val="18"/>
          <w:i w:val="1"/>
          <w:iCs w:val="1"/>
          <w:color w:val="auto"/>
        </w:rPr>
        <w:t>, Chairman of the Board of Directors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Park became our Chairman of the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w:t>
      </w:r>
    </w:p>
    <w:p>
      <w:pPr>
        <w:spacing w:after="0" w:line="136" w:lineRule="exact"/>
        <w:rPr>
          <w:sz w:val="20"/>
          <w:szCs w:val="20"/>
          <w:color w:val="auto"/>
        </w:rPr>
      </w:pPr>
    </w:p>
    <w:p>
      <w:pPr>
        <w:ind w:right="140" w:firstLine="571"/>
        <w:spacing w:after="0" w:line="274" w:lineRule="auto"/>
        <w:rPr>
          <w:sz w:val="20"/>
          <w:szCs w:val="20"/>
          <w:color w:val="auto"/>
        </w:rPr>
      </w:pPr>
      <w:r>
        <w:rPr>
          <w:rFonts w:ascii="Arial" w:cs="Arial" w:eastAsia="Arial" w:hAnsi="Arial"/>
          <w:sz w:val="16"/>
          <w:szCs w:val="16"/>
          <w:b w:val="1"/>
          <w:bCs w:val="1"/>
          <w:i w:val="1"/>
          <w:iCs w:val="1"/>
          <w:color w:val="auto"/>
        </w:rPr>
        <w:t>Robert J. Krakauer</w:t>
      </w:r>
      <w:r>
        <w:rPr>
          <w:rFonts w:ascii="Arial" w:cs="Arial" w:eastAsia="Arial" w:hAnsi="Arial"/>
          <w:sz w:val="16"/>
          <w:szCs w:val="16"/>
          <w:i w:val="1"/>
          <w:iCs w:val="1"/>
          <w:color w:val="auto"/>
        </w:rPr>
        <w:t>, President, Chief Financial Officer, General Manager, Imaging Solutions Division,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Krakauer became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President, Chief Financial Officer and director in January 2007. In addition, Mr. Krakauer took on duties as General Manager, Imaging Solutions Division, in March 2007. He previously served as our Executive Vice President of Strategic Operations, Chief Financial Officer and director since October 2004. From 2003 to 2004, Mr. Krakauer served as Executive Vice President of Corporate Operations and Chief Financial Officer for ChipPAC, Ltd. (now STATS ChipPAC, Ltd.), a supplier of semiconductor packing design, test and distribution solutions,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34" w:lineRule="exact"/>
        <w:rPr>
          <w:sz w:val="20"/>
          <w:szCs w:val="20"/>
          <w:color w:val="auto"/>
        </w:rPr>
      </w:pPr>
    </w:p>
    <w:p>
      <w:pPr>
        <w:ind w:right="100" w:firstLine="571"/>
        <w:spacing w:after="0"/>
        <w:rPr>
          <w:sz w:val="20"/>
          <w:szCs w:val="20"/>
          <w:color w:val="auto"/>
        </w:rPr>
      </w:pPr>
      <w:r>
        <w:rPr>
          <w:rFonts w:ascii="Arial" w:cs="Arial" w:eastAsia="Arial" w:hAnsi="Arial"/>
          <w:sz w:val="18"/>
          <w:szCs w:val="18"/>
          <w:b w:val="1"/>
          <w:bCs w:val="1"/>
          <w:i w:val="1"/>
          <w:iCs w:val="1"/>
          <w:color w:val="auto"/>
        </w:rPr>
        <w:t>Tae Young Hwang</w:t>
      </w:r>
      <w:r>
        <w:rPr>
          <w:rFonts w:ascii="Arial" w:cs="Arial" w:eastAsia="Arial" w:hAnsi="Arial"/>
          <w:sz w:val="18"/>
          <w:szCs w:val="18"/>
          <w:i w:val="1"/>
          <w:iCs w:val="1"/>
          <w:color w:val="auto"/>
        </w:rPr>
        <w:t>, Executive Vice President, Manufacturing Division and General Manager, Large Display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Hwang became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Executive Vice President, Manufacturing Division, and General Manager, Large Display Solutions in January 2007. He previously served as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36"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b w:val="1"/>
          <w:bCs w:val="1"/>
          <w:i w:val="1"/>
          <w:iCs w:val="1"/>
          <w:color w:val="auto"/>
        </w:rPr>
        <w:t>Chan Hee Lee</w:t>
      </w:r>
      <w:r>
        <w:rPr>
          <w:rFonts w:ascii="Arial" w:cs="Arial" w:eastAsia="Arial" w:hAnsi="Arial"/>
          <w:sz w:val="18"/>
          <w:szCs w:val="18"/>
          <w:i w:val="1"/>
          <w:iCs w:val="1"/>
          <w:color w:val="auto"/>
        </w:rPr>
        <w:t>, Executive Vice President and General Manager, Semiconductor Manufacturing Services</w:t>
      </w:r>
      <w:r>
        <w:rPr>
          <w:rFonts w:ascii="Arial" w:cs="Arial" w:eastAsia="Arial" w:hAnsi="Arial"/>
          <w:sz w:val="18"/>
          <w:szCs w:val="18"/>
          <w:color w:val="auto"/>
        </w:rPr>
        <w:t>. Mr. Lee became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General Manager, Semiconductor Manufacturing Services, in September 2005, after serving as Executive Vice President of Product Lines, since October 2004. Previously, Mr. Lee served as Hynix’s Vice President and General Manager of Semiconductor Manufacturing Services and Digital Driver IC, Business Division from 1999 until September 2004. Mr. Lee holds a bachelor of science degree in electronics from Kyungbuk National University.</w:t>
      </w:r>
    </w:p>
    <w:p>
      <w:pPr>
        <w:spacing w:after="0" w:line="136"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John McFarland</w:t>
      </w:r>
      <w:r>
        <w:rPr>
          <w:rFonts w:ascii="Arial" w:cs="Arial" w:eastAsia="Arial" w:hAnsi="Arial"/>
          <w:sz w:val="18"/>
          <w:szCs w:val="18"/>
          <w:i w:val="1"/>
          <w:iCs w:val="1"/>
          <w:color w:val="auto"/>
        </w:rPr>
        <w:t>, Senior Vice President, General Counsel and Secretary</w:t>
      </w:r>
      <w:r>
        <w:rPr>
          <w:rFonts w:ascii="Arial" w:cs="Arial" w:eastAsia="Arial" w:hAnsi="Arial"/>
          <w:sz w:val="18"/>
          <w:szCs w:val="18"/>
          <w:color w:val="auto"/>
        </w:rPr>
        <w:t>. Mr. McFarland became our Senior Vice President,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Counsel and Secretary 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36"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b w:val="1"/>
          <w:bCs w:val="1"/>
          <w:i w:val="1"/>
          <w:iCs w:val="1"/>
          <w:color w:val="auto"/>
        </w:rPr>
        <w:t>Victoria Miller Nam</w:t>
      </w:r>
      <w:r>
        <w:rPr>
          <w:rFonts w:ascii="Arial" w:cs="Arial" w:eastAsia="Arial" w:hAnsi="Arial"/>
          <w:sz w:val="18"/>
          <w:szCs w:val="18"/>
          <w:i w:val="1"/>
          <w:iCs w:val="1"/>
          <w:color w:val="auto"/>
        </w:rPr>
        <w:t>, Senior Vice President, Strategic Operations</w:t>
      </w:r>
      <w:r>
        <w:rPr>
          <w:rFonts w:ascii="Arial" w:cs="Arial" w:eastAsia="Arial" w:hAnsi="Arial"/>
          <w:sz w:val="18"/>
          <w:szCs w:val="18"/>
          <w:color w:val="auto"/>
        </w:rPr>
        <w:t>. Ms. Miller Nam became our Senior Vice President, Strategic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 January 2007, after serving as Senior Vice President, Strategic Planning since October 2004. Prior to joining our company, Ms. Miller Nam worked in consulting with McKinsey &amp; Company in the Los Angeles and Seoul offices from 1994 until 2003, when she left as a Partner to found and run a management consulting business from 2003 until 2004. Earlier in her career, Ms. Miller Nam worked for Kidder, Peabody &amp; Co. Incorporated, in the corporate finance department, in New York. Ms. Miller Nam holds a bachelor of arts degree, </w:t>
      </w:r>
      <w:r>
        <w:rPr>
          <w:rFonts w:ascii="Arial" w:cs="Arial" w:eastAsia="Arial" w:hAnsi="Arial"/>
          <w:sz w:val="18"/>
          <w:szCs w:val="18"/>
          <w:i w:val="1"/>
          <w:iCs w:val="1"/>
          <w:color w:val="auto"/>
        </w:rPr>
        <w:t>magna cum laude</w:t>
      </w:r>
      <w:r>
        <w:rPr>
          <w:rFonts w:ascii="Arial" w:cs="Arial" w:eastAsia="Arial" w:hAnsi="Arial"/>
          <w:sz w:val="18"/>
          <w:szCs w:val="18"/>
          <w:color w:val="auto"/>
        </w:rPr>
        <w:t>, in international relations from Brown University, where she was elected to Phi Beta Kappa, and a masters in business administration from Harvard Business School.</w:t>
      </w:r>
    </w:p>
    <w:p>
      <w:pPr>
        <w:spacing w:after="0" w:line="13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b w:val="1"/>
          <w:bCs w:val="1"/>
          <w:i w:val="1"/>
          <w:iCs w:val="1"/>
          <w:color w:val="auto"/>
        </w:rPr>
        <w:t>Brent Rowe</w:t>
      </w:r>
      <w:r>
        <w:rPr>
          <w:rFonts w:ascii="Arial" w:cs="Arial" w:eastAsia="Arial" w:hAnsi="Arial"/>
          <w:sz w:val="18"/>
          <w:szCs w:val="18"/>
          <w:i w:val="1"/>
          <w:iCs w:val="1"/>
          <w:color w:val="auto"/>
        </w:rPr>
        <w:t>, Senior Vice President, Worldwide Sales</w:t>
      </w:r>
      <w:r>
        <w:rPr>
          <w:rFonts w:ascii="Arial" w:cs="Arial" w:eastAsia="Arial" w:hAnsi="Arial"/>
          <w:sz w:val="18"/>
          <w:szCs w:val="18"/>
          <w:color w:val="auto"/>
        </w:rPr>
        <w:t>. Mr. Rowe became our Senior Vice President, Worldwide Sales in April 2006.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bachelor of arts degree in chemical engineering from the University of Illinois.</w:t>
      </w:r>
    </w:p>
    <w:p>
      <w:pPr>
        <w:spacing w:after="0" w:line="136" w:lineRule="exact"/>
        <w:rPr>
          <w:sz w:val="20"/>
          <w:szCs w:val="20"/>
          <w:color w:val="auto"/>
        </w:rPr>
      </w:pPr>
    </w:p>
    <w:p>
      <w:pPr>
        <w:ind w:right="160" w:firstLine="571"/>
        <w:spacing w:after="0" w:line="248" w:lineRule="auto"/>
        <w:rPr>
          <w:sz w:val="20"/>
          <w:szCs w:val="20"/>
          <w:color w:val="auto"/>
        </w:rPr>
      </w:pPr>
      <w:r>
        <w:rPr>
          <w:rFonts w:ascii="Arial" w:cs="Arial" w:eastAsia="Arial" w:hAnsi="Arial"/>
          <w:sz w:val="18"/>
          <w:szCs w:val="18"/>
          <w:b w:val="1"/>
          <w:bCs w:val="1"/>
          <w:i w:val="1"/>
          <w:iCs w:val="1"/>
          <w:color w:val="auto"/>
        </w:rPr>
        <w:t>Margaret Sakai</w:t>
      </w:r>
      <w:r>
        <w:rPr>
          <w:rFonts w:ascii="Arial" w:cs="Arial" w:eastAsia="Arial" w:hAnsi="Arial"/>
          <w:sz w:val="18"/>
          <w:szCs w:val="18"/>
          <w:i w:val="1"/>
          <w:iCs w:val="1"/>
          <w:color w:val="auto"/>
        </w:rPr>
        <w:t>, Senior Vice President,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Sakai became our Senior Vice President, Finance, on November 1, 2006.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she had served as Chief Financial Officer of Asia Finance and Vice President, of Photronics, Inc., a manufacturer of reticles and photomasks for semiconductor and microelectronic applications, since November 2003. From June 1999 to October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bachelor’s degree in accounting from Babson College.</w:t>
      </w:r>
    </w:p>
    <w:p>
      <w:pPr>
        <w:spacing w:after="0" w:line="137" w:lineRule="exact"/>
        <w:rPr>
          <w:sz w:val="20"/>
          <w:szCs w:val="20"/>
          <w:color w:val="auto"/>
        </w:rPr>
      </w:pPr>
    </w:p>
    <w:p>
      <w:pPr>
        <w:ind w:right="160" w:firstLine="571"/>
        <w:spacing w:after="0"/>
        <w:rPr>
          <w:sz w:val="20"/>
          <w:szCs w:val="20"/>
          <w:color w:val="auto"/>
        </w:rPr>
      </w:pPr>
      <w:r>
        <w:rPr>
          <w:rFonts w:ascii="Arial" w:cs="Arial" w:eastAsia="Arial" w:hAnsi="Arial"/>
          <w:sz w:val="18"/>
          <w:szCs w:val="18"/>
          <w:b w:val="1"/>
          <w:bCs w:val="1"/>
          <w:i w:val="1"/>
          <w:iCs w:val="1"/>
          <w:color w:val="auto"/>
        </w:rPr>
        <w:t>Jerry M. Baker</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Baker has been a director since October 2004. He served as Chairman of the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2004 to December 2006. Mr. Baker was retired from 2001 until October 2004. From 2000 until 2001, Mr. Baker served as Executive Vice President, Global Operations for Fairchild Semiconductor International, Inc. From December 1996 to 2000, Mr. Baker was the Executive Vice President and General Manager, Discrete Power and Signal Technologies Group of Fairchild Semiconductor International, Inc. Prior to that position, he spent more than 24 years in a variety of engineering and management positions within National Semiconductor, the most recent of which was Executive Vice President and General Manager, Global Operations.</w:t>
      </w:r>
    </w:p>
    <w:p>
      <w:pPr>
        <w:spacing w:after="0" w:line="136" w:lineRule="exact"/>
        <w:rPr>
          <w:sz w:val="20"/>
          <w:szCs w:val="20"/>
          <w:color w:val="auto"/>
        </w:rPr>
      </w:pPr>
    </w:p>
    <w:p>
      <w:pPr>
        <w:ind w:right="60" w:firstLine="571"/>
        <w:spacing w:after="0" w:line="276" w:lineRule="auto"/>
        <w:rPr>
          <w:sz w:val="20"/>
          <w:szCs w:val="20"/>
          <w:color w:val="auto"/>
        </w:rPr>
      </w:pPr>
      <w:r>
        <w:rPr>
          <w:rFonts w:ascii="Arial" w:cs="Arial" w:eastAsia="Arial" w:hAnsi="Arial"/>
          <w:sz w:val="16"/>
          <w:szCs w:val="16"/>
          <w:b w:val="1"/>
          <w:bCs w:val="1"/>
          <w:i w:val="1"/>
          <w:iCs w:val="1"/>
          <w:color w:val="auto"/>
        </w:rPr>
        <w:t>Dipanjan Deb</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Deb has been a director since September 2004. He is a founder and Managing Partner of Francisco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been a 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CBA Group LLC.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0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b w:val="1"/>
          <w:bCs w:val="1"/>
          <w:i w:val="1"/>
          <w:iCs w:val="1"/>
          <w:color w:val="auto"/>
        </w:rPr>
        <w:t>Armando Geday</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Geday has been a director since January 2006. He served as Chief Executive Officer of Telesen,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 of consumer electronics products for the wellness industry, from January 2005 until September 2006. Prior to joining Telesen, Mr. Geday was Chief Executive Officer of Conexant Systems, a provider of semiconductor system solutions for broadband communications, from February 2004 to November 2004. From December 2001 to February 2004, Mr. Geday served as the Chief Executive Officer of GlobespanVirata. From April 1997 to December 2001, Mr. Geday was President and Chief Executive Officer of GlobeSpan. Earlier in his career, Mr. Geday was Vice President and General Manager of the Multimedia Communications Division of Rockwell Semiconductor Systems, and held various technical marketing and engineering positions at Harris Semiconductor and MERET Inc. Mr. Geday is a director of Commonvault, Inc. Mr. Geday holds a bachelor of science degree in electrical engineering from the Florida Institute of Technology.</w:t>
      </w:r>
    </w:p>
    <w:p>
      <w:pPr>
        <w:spacing w:after="0" w:line="141" w:lineRule="exact"/>
        <w:rPr>
          <w:sz w:val="20"/>
          <w:szCs w:val="20"/>
          <w:color w:val="auto"/>
        </w:rPr>
      </w:pPr>
    </w:p>
    <w:p>
      <w:pPr>
        <w:jc w:val="both"/>
        <w:ind w:right="80" w:firstLine="571"/>
        <w:spacing w:after="0" w:line="248" w:lineRule="auto"/>
        <w:rPr>
          <w:sz w:val="20"/>
          <w:szCs w:val="20"/>
          <w:color w:val="auto"/>
        </w:rPr>
      </w:pPr>
      <w:r>
        <w:rPr>
          <w:rFonts w:ascii="Arial" w:cs="Arial" w:eastAsia="Arial" w:hAnsi="Arial"/>
          <w:sz w:val="18"/>
          <w:szCs w:val="18"/>
          <w:b w:val="1"/>
          <w:bCs w:val="1"/>
          <w:i w:val="1"/>
          <w:iCs w:val="1"/>
          <w:color w:val="auto"/>
        </w:rPr>
        <w:t>Roy Kuan</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Kuan has been a director since September 2004. He serves as Partner of CVC Asia Pacific Limited, where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worked since 1999. Mr. Kuan holds a bachelor of arts degree in economics from Georgetown University and a masters in business administration with a finance concentration from the Wharton School at the University of Pennsylvania.</w:t>
      </w:r>
    </w:p>
    <w:p>
      <w:pPr>
        <w:spacing w:after="0" w:line="12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b w:val="1"/>
          <w:bCs w:val="1"/>
          <w:i w:val="1"/>
          <w:iCs w:val="1"/>
          <w:color w:val="auto"/>
        </w:rPr>
        <w:t>R. Douglas Norby</w:t>
      </w:r>
      <w:r>
        <w:rPr>
          <w:rFonts w:ascii="Arial" w:cs="Arial" w:eastAsia="Arial" w:hAnsi="Arial"/>
          <w:sz w:val="18"/>
          <w:szCs w:val="18"/>
          <w:i w:val="1"/>
          <w:iCs w:val="1"/>
          <w:color w:val="auto"/>
        </w:rPr>
        <w:t>, Director and Chairman of the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Norby has been a director and the Chairman of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our company since May 2006. Mr. Norby served as Senior Vice President and Chief Financial Officer of Tessera Technologies, Inc., a semiconductor intellectual property company, from July 2003 to January 2006. He worked as a management consultant with Tessera from May 2003 until July 2003. He served as Senior Vice President and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to December 2000. Mr. Norby is a director of Alexion Pharmaceuticals, Inc. and STATS ChipPAC Ltd. He received his bachelor of arts degree in Economics from Harvard University and a masters in business administration from Harvard Business School.</w:t>
      </w:r>
    </w:p>
    <w:p>
      <w:pPr>
        <w:spacing w:after="0" w:line="135" w:lineRule="exact"/>
        <w:rPr>
          <w:sz w:val="20"/>
          <w:szCs w:val="20"/>
          <w:color w:val="auto"/>
        </w:rPr>
      </w:pPr>
    </w:p>
    <w:p>
      <w:pPr>
        <w:ind w:right="60" w:firstLine="571"/>
        <w:spacing w:after="0" w:line="269" w:lineRule="auto"/>
        <w:rPr>
          <w:sz w:val="20"/>
          <w:szCs w:val="20"/>
          <w:color w:val="auto"/>
        </w:rPr>
      </w:pPr>
      <w:r>
        <w:rPr>
          <w:rFonts w:ascii="Arial" w:cs="Arial" w:eastAsia="Arial" w:hAnsi="Arial"/>
          <w:sz w:val="16"/>
          <w:szCs w:val="16"/>
          <w:b w:val="1"/>
          <w:bCs w:val="1"/>
          <w:i w:val="1"/>
          <w:iCs w:val="1"/>
          <w:color w:val="auto"/>
        </w:rPr>
        <w:t>Phokion Potamianos</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Potamianos has been a director since March 2005. He has been a Partner of Francisco Partners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2007, and was a Principal with Francisco Partners from March 2005 to January 2007. Prior to joining Francisco Partners, Mr. Potamianos was the head of the UBS Global Semiconductor Investment Banking Group from 2004 until 2005 and a member of the UBS Global Semiconductor Investment Banking Group from 2000 to 2004. From 1999 to 2000, Mr. Potamianos was a member of Donaldson Lufkin &amp; Jenrette’s investment banking group. Earlier in his career, Mr. Potamianos was an Institutional Investor ranked research analyst at Donaldson, Lufkin &amp; Jenrette.</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Mr. Potamianos holds a Bachelor of Arts from American University and received his Masters of Science (Economics) from the London School of Economics and Political Science.</w:t>
      </w:r>
    </w:p>
    <w:p>
      <w:pPr>
        <w:spacing w:after="0" w:line="135"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b w:val="1"/>
          <w:bCs w:val="1"/>
          <w:i w:val="1"/>
          <w:iCs w:val="1"/>
          <w:color w:val="auto"/>
        </w:rPr>
        <w:t>Paul C. Schorr IV</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Schorr has been a director since September 2004. He has been a Senior Managing Director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Blackstone Group since September 2005. Prior to that, he was a Managing Partner of Citigroup Venture Capital Equity Partners, L.P., or CVC, from December 2001. Mr. Schorr joined CVC in 1996, after working as an Engagement Manager with McKinsey &amp; Company, Inc. He is a director of AMI Semiconductor Inc. and Orbitz Worldwide,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w:t>
      </w:r>
    </w:p>
    <w:p>
      <w:pPr>
        <w:spacing w:after="0" w:line="136" w:lineRule="exact"/>
        <w:rPr>
          <w:sz w:val="20"/>
          <w:szCs w:val="20"/>
          <w:color w:val="auto"/>
        </w:rPr>
      </w:pPr>
    </w:p>
    <w:p>
      <w:pPr>
        <w:ind w:right="100" w:firstLine="571"/>
        <w:spacing w:after="0"/>
        <w:rPr>
          <w:sz w:val="20"/>
          <w:szCs w:val="20"/>
          <w:color w:val="auto"/>
        </w:rPr>
      </w:pPr>
      <w:r>
        <w:rPr>
          <w:rFonts w:ascii="Arial" w:cs="Arial" w:eastAsia="Arial" w:hAnsi="Arial"/>
          <w:sz w:val="18"/>
          <w:szCs w:val="18"/>
          <w:b w:val="1"/>
          <w:bCs w:val="1"/>
          <w:i w:val="1"/>
          <w:iCs w:val="1"/>
          <w:color w:val="auto"/>
        </w:rPr>
        <w:t>David F. Thomas</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Thomas has been a director since October 2004. Mr. Thomas has been a Managing Partner with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Capital Partners, or CSC, a private equity fund management company, since August 1, 2006. Mr. Thomas had been with the predecessor to CSC, Citigroup Venture Capital Ltd., since 1980, most recently as Managing Partner and President. Previously, he held various positions with Citibank’s Transportation Finance and Acquisition Finance Groups. Prior to Citibank, Mr. Thomas worked for Arthur Anderson &amp; Co. and received degrees in finance and accounting from the University of Akron. His directorships include Network Communications, Inc., Newmarket International and Auto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9"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Our amended and restated bylaws and securityholders’ agreement will provide that our board of directors will consist of ten members, including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Additional independent directors may be added by Court Square, Francisco Partners and our chief executive officer. The rights of nomination with respect to each of Court Square and Francisco Partners will be reduced to one director when its beneficial ownership falls below 10% of the beneficial ownership of all stockholders and will expire when its beneficial ownership falls below 5% of the beneficial ownership of all stockholders. CVC Asia Pacific’s rights of nomination will expire when its beneficial ownership falls below 5% of the beneficial ownership of all stockholders. A quorum of our board of directors requires a majority of the designees of each of Court Square and Francisco Partners. In addition, Court Square and Francisco Partners together have the right to place their designees on each committee created by our board of directors such that, together, these designees constitute at least a majority of such committee, and CVC Asia Pacific is entitled to minority representation on each committee, in each case until such time as their designated committee members are required to be removed as a result of us no longer qualifying for the “controlled company” exception under New York Stock Exchange rules.</w:t>
      </w:r>
    </w:p>
    <w:p>
      <w:pPr>
        <w:spacing w:after="0" w:line="161"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Mr. Park, our Chief Executive Officer, is the chairman of our board of directors, and Mr. Krakauer, our President and Chief Financial Officer, is a director. Messrs. Schorr, Thomas and Baker have been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designated to serve on our board by Court Square. Messrs. Deb, Potamianos and Geday have been designated to serve on our board by Francisco Partners. Mr. Kuan has been designated to serve on our board by CVC Asia Pacific. Mr. Norby serves as the independent director unanimously approved by Court Square, Francisco Partners and our chief executive officer.</w:t>
      </w:r>
    </w:p>
    <w:p>
      <w:pPr>
        <w:spacing w:after="0" w:line="15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Court Square, Francisco Partners, CVC Asia Pacific, Peninsula Investments Pte. Ltd., and their affiliates, have advised us that they intend to file a Schedule 13D/G with the SEC following the closing of this offering to report their MagnaChip holdings as a group, and such entities collectively own more than 50% of our outstanding voting securities. Because these stockholders are parties to a securityholders’ agreement, they are considered a “group,” and we are therefore considered a “controlled company” within the meaning of New York Stock Exchange rules. As a result, we rely on exemptions from the requirements of having a majority of independent directors, a fully independent nominating and governance committee, a fully independent compensation committee, nominating and governance and compensation committee charters and other requirements prescribed for such committees by the NYSE. Following the closing of this offering, we expect to remain a “controlled company” and to continue to rely on these exceptions. The “controlled company” exception does not modify the independence requirements for the audit committee, and we intend to comply with the applicable independence rules for audit committees. In view of our status as a controlled company under the NYSE rules, our board has not made a determination of independence with respect to any of our directors not serving on our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audit committee includes Chairman R. Douglas Norby, Mr. Schorr and, upon the closing of this offering, will also include at least one other director. Our board of directors has determined that Mr. Norby is an audit committee financial expert as defined in Item 407(d)(5) of Regulation S-K promulgated under the Securities Act. Each of the members of our audit committee is “independent” as that term is defined in both Rule 303A of the NYSE rules and Rule 10A-3 promulgated under the Securities Exchange Act of 1934, as amended, and, upon the closing of this offering, will be an “independent director” as that term is defined in Rule 303A of the NYSE rules.</w:t>
      </w:r>
    </w:p>
    <w:p>
      <w:pPr>
        <w:spacing w:after="0" w:line="15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considering the independence of Mr. Schorr, our board of directors took into consideration that he served as a Managing Partner of CVC from December 2001 to September 2005, and also holds a limited amount of our outstanding debt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The compensation committee of the board consists of Messrs. Deb, Schorr and Thomas. The compensation committee has overall responsibility for evaluating and approving our executive officer and director compensation plans, policies and programs, as well as all equity-based compensation plans and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nominating and governance committee consists of Messrs. Norby, Potamianos and Thomas. The nominating and governance committee mandate is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Objectives</w:t>
      </w:r>
      <w:r>
        <w:rPr>
          <w:rFonts w:ascii="Arial" w:cs="Arial" w:eastAsia="Arial" w:hAnsi="Arial"/>
          <w:sz w:val="18"/>
          <w:szCs w:val="18"/>
          <w:color w:val="auto"/>
        </w:rPr>
        <w:t>. The compensation committee (for purposes of this section, the “Committee”) of our board has overall responsibility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approving and monitoring our executive officer and director compensation plans, policies and programs, as well as all equity-based compensation plans and policies. The Committee ensures that the total compensation paid to executive officers is fair, reasonable and competitive. Throughout this prospectus, Sang Park, Robert J. Krakauer, Victoria Miller Nam, Tae Young Hwang, Chan Hee Lee, Jason Hartlove and Youm Huh are referred to as the “named executive officers.”</w:t>
      </w:r>
    </w:p>
    <w:p>
      <w:pPr>
        <w:spacing w:after="0" w:line="15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Committee evaluates our compensation packages to ensure that (1) we maintain our ability to attract and retain superior executives in critical positions and (2) compensation provided to critical executives remains competitive relative to the compensation paid to similarly situated executives of our peer companies. The Committee believes that the most effective executive compensation packages align executives’ interests with those of our stockholders by rewarding performance above specific annual, long-term and strategic goals that are intended to improve stockholder value. These objectives include the achievement of financial performance goals and progress in projects that our board of directors anticipates will lead to future growth as discussed more fully below.</w:t>
      </w:r>
    </w:p>
    <w:p>
      <w:pPr>
        <w:spacing w:after="0" w:line="138" w:lineRule="exact"/>
        <w:rPr>
          <w:sz w:val="20"/>
          <w:szCs w:val="20"/>
          <w:color w:val="auto"/>
        </w:rPr>
      </w:pPr>
    </w:p>
    <w:p>
      <w:pPr>
        <w:ind w:right="20" w:firstLine="571"/>
        <w:spacing w:after="0" w:line="278" w:lineRule="auto"/>
        <w:rPr>
          <w:sz w:val="20"/>
          <w:szCs w:val="20"/>
          <w:color w:val="auto"/>
        </w:rPr>
      </w:pPr>
      <w:r>
        <w:rPr>
          <w:rFonts w:ascii="Arial" w:cs="Arial" w:eastAsia="Arial" w:hAnsi="Arial"/>
          <w:sz w:val="16"/>
          <w:szCs w:val="16"/>
          <w:i w:val="1"/>
          <w:iCs w:val="1"/>
          <w:color w:val="auto"/>
        </w:rPr>
        <w:t xml:space="preserve">Determination of Compensation and Role of Executive Officers. </w:t>
      </w:r>
      <w:r>
        <w:rPr>
          <w:rFonts w:ascii="Arial" w:cs="Arial" w:eastAsia="Arial" w:hAnsi="Arial"/>
          <w:sz w:val="16"/>
          <w:szCs w:val="16"/>
          <w:color w:val="auto"/>
        </w:rPr>
        <w:t>We offer compensation to our named executive officers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salary, cash incentives, equity incentives and perquisites. In making decisions regarding the pay of the named executive officers, the Committee looks to set a total compensation package for each officer that will retain high quality talent and motivate executives to achieve the goals set by our board of directors. As a general matter, we benchmark salaries for our named executive officers to median levels for companies in the semiconductor industry and provide incentive compensation to raise those salaries above such levels if incentive targets are achieved.</w:t>
      </w:r>
    </w:p>
    <w:p>
      <w:pPr>
        <w:spacing w:after="0" w:line="127"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The Committee annually reviews the performance of the chief executive officer. Based upon this review, the Committee sets the salary of, and incentive awards, if any, to be paid to, our chief executive officer. The Committee has the exclusive authority to set the chief executive officer’s compensation. The chief executive officer annually reviews the performance of our other named executive officers. The chief executive officer subsequently presents conclusions and recommendations regarding such officers, including proposed salary adjustments and incentive amounts, to the Committee. The Committee then makes the final decision regarding any adjustments or awards. The review of performance by the Committee and the chief executive officer of other executive officers is a subjective assessment of each executive’s contribution to company or division performance, leadership qualities, strengths and weaknesses and the individual’s achievement of performance objectives set by the Committee or the chief executive officer, as applicable. The Committee and the chief executive officer do not systematically assign a weight to the factors, and may in their discretion consider any one factor to be more important for a particular executive. The Committee’s annual determinations regarding executive compensation are subject to the terms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respective service agreements between us and the named executive officers. In addition to the annual reviews, the Committee also typically considers compensation changes upon a named executive officer’s promotion or other change in job responsibility.</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Committee approves annual guidance regarding the cash compensation of all other officers, but has empowered the chief executive officer to make final compensation decisions with the Committee’s guidance. The Committee develops its annual guidance based on our annual operating plan, including the expected conduct of our business in the coming fiscal year, and then modifies the guidance on an as-needed basis to adjust for changes in our business during the year. The Committee makes all equity compensation decisions for our officers based on existing compensation arrangements for other executives at the same level of responsibility in our company and our market. The Committee may make additional equity compensation grants from time to time in its discretion.</w:t>
      </w:r>
    </w:p>
    <w:p>
      <w:pPr>
        <w:spacing w:after="0" w:line="156"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In determining a compensation award, the Committee compares each element of total compensation against compensation offered by a group of peer companies in the semiconductor industry (as described below, collectively, the “Benchmark Group”). The composition of the Benchmark Group is determined annually by the Committee in consultation with the chief executive officer and our human resources department. For Korean executives, the Benchmark Group includes Samsung Electronics, LG.Philips LCD and Hynix, as well as the Korean divisions of certain technology companies based outside of Korea such as Sony Korea, Toshiba Electronics Korea and National Semiconductor Korea, for which we obtain salary data from commercial salary surveys. For U.S. and expatriate executives, the Committee relies on market data obtained through an Internet-based salary data search tool that provides information on compensation paid to executives holding comparable positions in the United States based on aggregated data from a broad range of U.S. companies, including those in the technology sector.</w:t>
      </w:r>
    </w:p>
    <w:p>
      <w:pPr>
        <w:spacing w:after="0" w:line="13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Committee seeks to establish the total cash compensation packages of our named executive officers slightly above the median total cash compensation of the Benchmark Group, subject to variations based on an executive officer’s experience and performance. The Committee then sets equity awards in accordance with peer companies in a similar growth stage. Equity awards are not tied to base salary or cash incentive amounts and will constitute lesser or greater proportions of total compensation depending on the fair value of the awards. The Committee does not apply a formula or assign these performance measures relative weights. Instead, it makes a subjective determination after considering such measures collectively. The Committee often has evaluated these metrics on a cumulative, rather than annual, basis as we have pursued our goals of becoming a public company.</w:t>
      </w:r>
    </w:p>
    <w:p>
      <w:pPr>
        <w:spacing w:after="0" w:line="13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Base salary is the guaranteed element of an employee’s annual cash compensation. Increases in base salary reflect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long-term performance, skill set and the value of that skill set as well as changes to the compensation arrangements provided by the companies within our Benchmark Group. The Committee evaluates the performance of each named executive officer on an annual basis based on the accomplishment of performance objectives that were established at the beginning of the prior fiscal year as well as its own subjective evaluation of his or her performance. In making its evaluation, the Committee determines changes in the base salary of each named executive officer based on a subjective qualitative assessment of his or her contribution to the performance of the Company during the preceding year, including assessing leadership, success in attaining particular goals of a division for which that officer has responsibility, overall financial performance of MagnaChip and such other criteria as the Committee may deem relevant. The Committee does not systematically assign weights to any of the factors it considers, and may in its discretion deem any one factor to have greater importance for a particular executive officer.</w:t>
      </w:r>
    </w:p>
    <w:p>
      <w:pPr>
        <w:spacing w:after="0" w:line="116" w:lineRule="exact"/>
        <w:rPr>
          <w:sz w:val="20"/>
          <w:szCs w:val="20"/>
          <w:color w:val="auto"/>
        </w:rPr>
      </w:pPr>
    </w:p>
    <w:p>
      <w:pPr>
        <w:ind w:right="840" w:firstLine="571"/>
        <w:spacing w:after="0" w:line="260" w:lineRule="auto"/>
        <w:rPr>
          <w:sz w:val="20"/>
          <w:szCs w:val="20"/>
          <w:color w:val="auto"/>
        </w:rPr>
      </w:pPr>
      <w:r>
        <w:rPr>
          <w:rFonts w:ascii="Arial" w:cs="Arial" w:eastAsia="Arial" w:hAnsi="Arial"/>
          <w:sz w:val="18"/>
          <w:szCs w:val="18"/>
          <w:i w:val="1"/>
          <w:iCs w:val="1"/>
          <w:color w:val="auto"/>
        </w:rPr>
        <w:t>Cash Incentives</w:t>
      </w:r>
      <w:r>
        <w:rPr>
          <w:rFonts w:ascii="Arial" w:cs="Arial" w:eastAsia="Arial" w:hAnsi="Arial"/>
          <w:sz w:val="18"/>
          <w:szCs w:val="18"/>
          <w:color w:val="auto"/>
        </w:rPr>
        <w:t>. Cash incentives comprise a significant portion of the total compensation package and are designed to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their contributions to meeting and exceeding our</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goals and to recognize and reward our executives in achieving these goals. Incentives are designed as a percentage of base salary and are awarded based on individual performance and our achievement of the annual, long-term and strategic quantitative goals set by our Committee. In our fiscal year 2007, the Committee began to base its quantitative goals on quarterly EBITDA and revenue goals for the overall company and quarterly margin and revenue goals for our Semiconductor Manufacturing Services, Display Solutions and Imaging Solutions divisions. The Committee calculates EBITDA by adding depreciation and amortization of intangible assets, interest expense and provision for income taxes to net income or loss. The Committee uses EBITDA as a basis for determining the amount of cash incentives to be awarded to its executives because, in the opinion of the Committee, EBITDA is a measure of operating performance that is particularly useful with respect to companies that have a significant amount of indebtedness. By excluding those expenses, such as depreciation and amortization, taxes and interest expense, which the Committee does not view to be indicative of operating performance, the Committee can award cash incentives to executives based upon the operating performance of the company. The total yearly incentive is calculated and distributed on a quarterly basis, with 10% of the eligible incentive paid in the first fiscal quarter, 20% paid in the second fiscal quarter, 25% paid in the third fiscal quarter and 45% paid in the fourth fiscal quarter (each, an “Eligible Quarterly Incentive”). These incentives are awarded in three achievement levels, beginning with the achievement of</w:t>
      </w:r>
    </w:p>
    <w:p>
      <w:pPr>
        <w:spacing w:after="0" w:line="188"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80% of targeted EBITDA (or, as applicable, margin) goals, and revenue goals and rising to 150% of target EBITDA (or margin) and revenue goals. For each named executive officer, at the lowest achievement level, 70% of the Eligible Quarterly Incentive is awarded, at the middle achievement level, 100% of the Eligible Quarterly Incentive is awarded and at the highest achievement level, 150% of Eligible Quarterly Incentive is awarded.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three achievement levels are determined by the Committee based on forecasts prepared by us. The Committee sets the achievement levels at a high level of difficulty. No named executive officer attained the highest achievement level in any of the three fiscal quarters ended September 30, 2007, and our named executive officers attained the middle achievement level in only one of the three quarters. The eligible incentive for named executives is set forth in each individual’s service agreement. See “—Service Agreements and Named Executive Officer Compensation.” The Committee has modified and may in the future modify the eligible incentive for our named executive officers. The incentive for the General Managers of our Imaging Solutions, Display Solutions and Semiconductor Manufacturing Services divisions are based on a combination of general corporate and divisional goals, while incentive payments for the chief executive officer and other named executive officers are based exclusively on general corporate goals. Officers who have responsibility for more than one division are awarded the greater available incentive. In 2006, the Committee awarded discretionary bonuses to recognize outstanding individual performance, and the Committee may again award discretionary bonuses in 2007. In 2006, each of the named executive officers other than Dr. Huh were awarded discretionary bonuses.</w:t>
      </w:r>
    </w:p>
    <w:p>
      <w:pPr>
        <w:spacing w:after="0" w:line="11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In addition to cash incentives, we offer equity incentives as a way to enhance the link between the creation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 and executive incentive compensation and to give executives appropriate motivation and rewards for achieving increases in enterprise value. The Committee may grant participants restricted stock, stock options and stock appreciation rights. Although the Committee granted restricted unit awards at the time of the Original Acquisition (which will be converted into restricted stock awards upon our corporate reorganization), the Committee has determined that it will only grant restricted shares of common stock in the future in exceptional cases. In granting equity awards, the Committee may establish any conditions or restrictions it deems appropriate. Grants of restricted stock or stock options typically vest four years after the date of the grant, and all grants of our stock options are made at or above the fair market value of the stock at the time of the grant. Vesting and exercise rights generally cease upon termination of employment. Prior to the exercise of a stock option, the holder has no rights as a stockholder with respect to the stock subject to such option, including voting rights and the right to receive dividends or dividend equivalents.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6"/>
          <w:szCs w:val="16"/>
          <w:color w:val="auto"/>
        </w:rPr>
        <w:t>Our stockholders and board of directors have delegated to the Committee the authority to grant stock option awards within a total pool of our common stock available upon exercise of the stock options. The size of the option pool is based on market surveys of peer companies in a similar growth stage and on our stockholders’ determination of an appropriately-sized pool to ensure recruitment and retention of key executives and employees. At this time, the Committee does not grant additional equity compensation to executives as part of the normal annual review process. However, the Committee will consider additional equity compensation in the event of new employment, or a promotion or change in job responsibility, such as when Mr. Park was appointed our chief executive officer. The stock option award levels vary among participants based on their job grade and position. The Committee makes a subjective determination regarding award amounts in light of the available pool, and will provide higher awards to those executives in positions considered by the Committee to be more critical to us. The Committee will generally maintain equivalent award levels for executives at equivalent job grades in positions with no material difference in criticality. Messrs. Hwang and Lee, for example, have an equal number of stock options. Stock option awards are not tied to base salary or cash incentive amounts.</w:t>
      </w:r>
    </w:p>
    <w:p>
      <w:pPr>
        <w:spacing w:after="0" w:line="133"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Upon the recommendation of our board of directors or chief executive officer, the Committee will from time to time consider performance-based equity incentives. For example, the March 2006 option grants to Mr. Krakauer, Mr. Hartlove, Ms. Miller Nam, Mr. Hwang and Mr. Lee were performance-based incentives under the MagnaChip Semiconductor LLC Equity Incentive Plan and were intended by our board of directors to further encourage these executive officers to advance MagnaChip toward an initial public offering of our common equity or other return on investment for our equityholders. The relative size of the grants varied among the grantees depending upon the rank of the offices held by the grantees at the time of the grant. The board made these grants at an exercise price above the then-fair market value of our common units. An installment of 25% of the common units subject to the options become vested and exercisable upon the earlier of: (1) the date of the first closing of a firmly underwritten public offering for any of our equity securities, and (2) the date, as designated in the sole discretion of the Committee, on which our equityholders as of October 6, 2004 achieve a 250% return on their investment. The remaining 75% of the common units subject to the options become vested and exercisable as to 25% of such common units on each of the first three successive annual anniversaries of the first vesting event, subject to the grantee’s continuous employment from the grant date to each such vesting date. The options expire on the tenth anniversary of the grant date, and the amounts of each grant are described in greater detail under “Grants of Plan Based Awards for the Fiscal Year Ended December 31, 2006.” The Committee determined the number of options to be appropriate based on improvement to our operating cash flow, acceleration of profit development and our overall performance.</w:t>
      </w:r>
    </w:p>
    <w:p>
      <w:pPr>
        <w:spacing w:after="0" w:line="143"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We provide the named executive officers with perquisites and other personal benefits that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are reasonable and consistent with its overall compensation program to better enable us to attract and retain superior employees for key positions. The Committee determines the level and types of expatriate benefits for the officers based on local market surveys taken by our Human Resources department. Attributed costs of the personal benefits for the named executive officers are as set forth in the Summary Compensation Table below.</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Mr. Park, Mr. Krakauer and Ms. Miller Nam were expatriates during all or part of 2006 and received expatriate benefits commensurate with market practice in Korea. These perquisites, which were determined on a individual basis, included housing allowances, relocation allowances, insurance premiums, reimbursement for the use of a car, home leave flights, living expenses, tax equalization payments and tax advisory services, each as the Committee deemed appropriate. The base salary and incentives for these named executive officers therefore constituted a lower proportion of total compensation in comparison to Messrs. Hwang and Lee, both of whom reside in their home country.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571"/>
        <w:spacing w:after="0" w:line="270" w:lineRule="auto"/>
        <w:rPr>
          <w:sz w:val="20"/>
          <w:szCs w:val="20"/>
          <w:color w:val="auto"/>
        </w:rPr>
      </w:pPr>
      <w:r>
        <w:rPr>
          <w:rFonts w:ascii="Arial" w:cs="Arial" w:eastAsia="Arial" w:hAnsi="Arial"/>
          <w:sz w:val="16"/>
          <w:szCs w:val="16"/>
          <w:color w:val="auto"/>
        </w:rPr>
        <w:t>In addition, pursuant to the Labor Standards Act of Korea,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Ms. Miller Nam, Mr. Hwang and Mr. Lee all accrue statutory severance. Prior to the Original Acquisition, Hynix attached a multiplier to the statutory severance amounts for former Hynix executives Mr. Hwang and Mr. Lee. Although our board has determined that we will not offer a statutory severance multiplier to any executives, in the interest of fairness, our board permitted Mr. Hwang and Mr. Lee to accrue a statutory severance multiplier of 3x (i.e., triple their statutory severance) for their service from October 6, 2004 to September 20, 2006, after which only the base statutory severance is available.</w:t>
      </w:r>
    </w:p>
    <w:p>
      <w:pPr>
        <w:spacing w:after="0" w:line="113" w:lineRule="exact"/>
        <w:rPr>
          <w:sz w:val="20"/>
          <w:szCs w:val="20"/>
          <w:color w:val="auto"/>
        </w:rPr>
      </w:pPr>
    </w:p>
    <w:p>
      <w:pPr>
        <w:ind w:right="100" w:firstLine="571"/>
        <w:spacing w:after="0" w:line="260" w:lineRule="auto"/>
        <w:rPr>
          <w:sz w:val="20"/>
          <w:szCs w:val="20"/>
          <w:color w:val="auto"/>
        </w:rPr>
      </w:pPr>
      <w:r>
        <w:rPr>
          <w:rFonts w:ascii="Arial" w:cs="Arial" w:eastAsia="Arial" w:hAnsi="Arial"/>
          <w:sz w:val="18"/>
          <w:szCs w:val="18"/>
          <w:i w:val="1"/>
          <w:iCs w:val="1"/>
          <w:color w:val="auto"/>
        </w:rPr>
        <w:t xml:space="preserve">Tax and Accounting Implications. </w:t>
      </w:r>
      <w:r>
        <w:rPr>
          <w:rFonts w:ascii="Arial" w:cs="Arial" w:eastAsia="Arial" w:hAnsi="Arial"/>
          <w:sz w:val="18"/>
          <w:szCs w:val="18"/>
          <w:color w:val="auto"/>
        </w:rPr>
        <w:t>Beginning on January 1, 2006, we began accounting for unit-based payments, including our unit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 accordance with the requirements of FASB Statement No. 123(R).</w:t>
      </w:r>
    </w:p>
    <w:p>
      <w:pPr>
        <w:spacing w:after="0" w:line="119" w:lineRule="exact"/>
        <w:rPr>
          <w:sz w:val="20"/>
          <w:szCs w:val="20"/>
          <w:color w:val="auto"/>
        </w:rPr>
      </w:pPr>
    </w:p>
    <w:p>
      <w:pPr>
        <w:ind w:right="80" w:firstLine="571"/>
        <w:spacing w:after="0" w:line="270" w:lineRule="auto"/>
        <w:rPr>
          <w:sz w:val="20"/>
          <w:szCs w:val="20"/>
          <w:color w:val="auto"/>
        </w:rPr>
      </w:pPr>
      <w:r>
        <w:rPr>
          <w:rFonts w:ascii="Arial" w:cs="Arial" w:eastAsia="Arial" w:hAnsi="Arial"/>
          <w:sz w:val="16"/>
          <w:szCs w:val="16"/>
          <w:i w:val="1"/>
          <w:iCs w:val="1"/>
          <w:color w:val="auto"/>
        </w:rPr>
        <w:t>Compensation Developments Since 2006</w:t>
      </w:r>
      <w:r>
        <w:rPr>
          <w:rFonts w:ascii="Arial" w:cs="Arial" w:eastAsia="Arial" w:hAnsi="Arial"/>
          <w:sz w:val="16"/>
          <w:szCs w:val="16"/>
          <w:color w:val="auto"/>
        </w:rPr>
        <w:t>, In November 2007, our board of directors adopted our 2008 Equity Incentive Plan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2008 Employee Stock Purchase Plan to provide our directors, executives and other employees with additional incentives by allowing them to acquire an ownership interest in our business and, as a result, encouraging them to contribute to our success. These plans will be effective upon the approval of our stockholders, which is currently anticipated to occur in February 2008. The number of shares reserved under each of the plans</w:t>
      </w:r>
    </w:p>
    <w:p>
      <w:pPr>
        <w:ind w:right="40"/>
        <w:spacing w:after="0" w:line="239" w:lineRule="auto"/>
        <w:rPr>
          <w:sz w:val="20"/>
          <w:szCs w:val="20"/>
          <w:color w:val="auto"/>
        </w:rPr>
      </w:pPr>
      <w:r>
        <w:rPr>
          <w:rFonts w:ascii="Arial" w:cs="Arial" w:eastAsia="Arial" w:hAnsi="Arial"/>
          <w:sz w:val="18"/>
          <w:szCs w:val="18"/>
          <w:color w:val="auto"/>
        </w:rPr>
        <w:t>may not initially exceed and , respectively, subject to future automatic increases as more fully described on pages 93 through 95 of this prospectus.</w:t>
      </w:r>
    </w:p>
    <w:p>
      <w:pPr>
        <w:spacing w:after="0" w:line="137" w:lineRule="exact"/>
        <w:rPr>
          <w:sz w:val="20"/>
          <w:szCs w:val="20"/>
          <w:color w:val="auto"/>
        </w:rPr>
      </w:pPr>
    </w:p>
    <w:p>
      <w:pPr>
        <w:ind w:right="340" w:firstLine="571"/>
        <w:spacing w:after="0" w:line="247" w:lineRule="auto"/>
        <w:rPr>
          <w:sz w:val="20"/>
          <w:szCs w:val="20"/>
          <w:color w:val="auto"/>
        </w:rPr>
      </w:pPr>
      <w:r>
        <w:rPr>
          <w:rFonts w:ascii="Arial" w:cs="Arial" w:eastAsia="Arial" w:hAnsi="Arial"/>
          <w:sz w:val="18"/>
          <w:szCs w:val="18"/>
          <w:i w:val="1"/>
          <w:iCs w:val="1"/>
          <w:color w:val="auto"/>
        </w:rPr>
        <w:t xml:space="preserve">Service Agreements and Named Executive Officer Compensation. </w:t>
      </w:r>
      <w:r>
        <w:rPr>
          <w:rFonts w:ascii="Arial" w:cs="Arial" w:eastAsia="Arial" w:hAnsi="Arial"/>
          <w:sz w:val="18"/>
          <w:szCs w:val="18"/>
          <w:color w:val="auto"/>
        </w:rPr>
        <w:t>Other than Youm Huh and Jason Hartlove,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are all parties to service agreements. The material terms of these agreements, and the equity compensation granted pursuant to these agreements, are as follows:</w:t>
      </w:r>
    </w:p>
    <w:p>
      <w:pPr>
        <w:spacing w:after="0" w:line="50"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 xml:space="preserve">Sang Park. </w:t>
      </w:r>
      <w:r>
        <w:rPr>
          <w:rFonts w:ascii="Arial" w:cs="Arial" w:eastAsia="Arial" w:hAnsi="Arial"/>
          <w:sz w:val="18"/>
          <w:szCs w:val="18"/>
          <w:color w:val="auto"/>
        </w:rPr>
        <w:t>Sang Park serves as Chairman and Chief Executive Officer of MagnaChip with an initial base salary of $450,000 per year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target annual incentive bonus opportunity of 100% of his base salary. Mr. Park is entitled to customary employee benefits including the cost of housing accommodations and expenses, and relocation expenses. The term of the service agreement extends for two years from May 27, 2006, with such initial term automatically extending for additional two-year periods unless written notice is given by either party prior to the termination date. In accordance with the terms of his service agreement, Mr. Park received options to purchase 800,000 common units of MagnaChip Semiconductor LLC at a price of $1.02 per unit, the then-fair market value of a common unit. Twenty-five percent of Mr. Park’s options vest on the first anniversary of his service date and an additional 6.25% of the options vest at the end of each three month period thereafter on the same day of the month as the grant date or, if earlier, the last day of such month. The service agreement also contains customary non-competition and non-solicitation covenants lasting two and three years, respectively, from the date of termination of employment and confidentiality covenants of unlimited duration.</w:t>
      </w:r>
    </w:p>
    <w:p>
      <w:pPr>
        <w:spacing w:after="0" w:line="144" w:lineRule="exact"/>
        <w:rPr>
          <w:sz w:val="20"/>
          <w:szCs w:val="20"/>
          <w:color w:val="auto"/>
        </w:rPr>
      </w:pPr>
    </w:p>
    <w:p>
      <w:pPr>
        <w:ind w:right="460" w:firstLine="571"/>
        <w:spacing w:after="0" w:line="275"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Mr. Krakauer serves as President, Chief Financial Officer and General Manager, Image Solutions Division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MagnaChip with an initial base salary of $375,000 per year and with a target annual incentive bonus opportunity of 100%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service agreement, Mr. Krakauer was granted 682,247 immediately exercisable options for restricted common units of MagnaChip Semiconductor LLC at a price of $1.00 per unit. Mr. Krakauer exercised his options on November 30, 2004. Under his restricted unit subscription agreement, restrictions on the units lapse as to 25% of the units on September 30, 2005 and as to 6.25% of the units on the last day of each calendar quarter thereafter, subject to his continuous employment with MagnaChip. The restrictions lapse as to all restricted units held by Mr. Krakauer upon a change in control after which Mr. Krakauer no longer serves as the Chief Financial Officer of MagnaChip. The restricted unit subscription agreements provide that the units are nontransferable and shall be subject to forfeiture upon termination of his employment. Upon termination, MagnaChip may repurchase any units for which the restrictions have not lapsed for $1.00, if termination is for cause (as defined in the agreement), or for fair market value, if termination is for any other reason. Mr. Krakauer has the right to vote the restricted units and to receive cash dividends, provided that dividends payable in units or other securities shall have the same status as restricted units. In connection with the exercise,</w:t>
      </w:r>
    </w:p>
    <w:p>
      <w:pPr>
        <w:spacing w:after="0" w:line="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Mr. Krakauer was entitled to a bonus of $677,293 to pay the exercise price of a portion of the options and an additional payment of $380,977 to cover U.S. federal income tax withholding related to such bonus. The service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37" w:lineRule="exact"/>
        <w:rPr>
          <w:sz w:val="20"/>
          <w:szCs w:val="20"/>
          <w:color w:val="auto"/>
        </w:rPr>
      </w:pPr>
    </w:p>
    <w:p>
      <w:pPr>
        <w:ind w:left="580"/>
        <w:spacing w:after="0"/>
        <w:tabs>
          <w:tab w:leader="none" w:pos="2280" w:val="left"/>
        </w:tabs>
        <w:rPr>
          <w:sz w:val="20"/>
          <w:szCs w:val="20"/>
          <w:color w:val="auto"/>
        </w:rPr>
      </w:pPr>
      <w:r>
        <w:rPr>
          <w:rFonts w:ascii="Arial" w:cs="Arial" w:eastAsia="Arial" w:hAnsi="Arial"/>
          <w:sz w:val="18"/>
          <w:szCs w:val="18"/>
          <w:i w:val="1"/>
          <w:iCs w:val="1"/>
          <w:color w:val="auto"/>
        </w:rPr>
        <w:t>Victoria Miller Nam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Ms. Miller Nam serves as Senior Vice President, Strategic Operations of MagnaChip with an initial base salary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$300,000 per year and with a target annual incentive bonus opportunity of 75% of her base salary. Ms. Miller Nam is entitled to customary</w:t>
      </w:r>
    </w:p>
    <w:p>
      <w:pPr>
        <w:spacing w:after="0" w:line="234" w:lineRule="auto"/>
        <w:rPr>
          <w:sz w:val="20"/>
          <w:szCs w:val="20"/>
          <w:color w:val="auto"/>
        </w:rPr>
      </w:pPr>
      <w:r>
        <w:rPr>
          <w:rFonts w:ascii="Arial" w:cs="Arial" w:eastAsia="Arial" w:hAnsi="Arial"/>
          <w:sz w:val="18"/>
          <w:szCs w:val="18"/>
          <w:color w:val="auto"/>
        </w:rPr>
        <w:t>employee benefits. The term of the service agreement extends for three years from December 29, 2004, with such initial term automatically</w:t>
      </w:r>
    </w:p>
    <w:p>
      <w:pPr>
        <w:spacing w:after="0" w:line="235" w:lineRule="auto"/>
        <w:rPr>
          <w:sz w:val="20"/>
          <w:szCs w:val="20"/>
          <w:color w:val="auto"/>
        </w:rPr>
      </w:pPr>
      <w:r>
        <w:rPr>
          <w:rFonts w:ascii="Arial" w:cs="Arial" w:eastAsia="Arial" w:hAnsi="Arial"/>
          <w:sz w:val="18"/>
          <w:szCs w:val="18"/>
          <w:color w:val="auto"/>
        </w:rPr>
        <w:t>extending for additional one-year periods absent prior written notice given by either party. Ms. Miller Nam was granted 136,450 immediately</w:t>
      </w:r>
    </w:p>
    <w:p>
      <w:pPr>
        <w:spacing w:after="0" w:line="235" w:lineRule="auto"/>
        <w:rPr>
          <w:sz w:val="20"/>
          <w:szCs w:val="20"/>
          <w:color w:val="auto"/>
        </w:rPr>
      </w:pPr>
      <w:r>
        <w:rPr>
          <w:rFonts w:ascii="Arial" w:cs="Arial" w:eastAsia="Arial" w:hAnsi="Arial"/>
          <w:sz w:val="18"/>
          <w:szCs w:val="18"/>
          <w:color w:val="auto"/>
        </w:rPr>
        <w:t>exercisable options for restricted common units of MagnaChip Semiconductor LLC at a price of $1.00 per unit. Ms. Miller Nam exercised her</w:t>
      </w:r>
    </w:p>
    <w:p>
      <w:pPr>
        <w:spacing w:after="0" w:line="235" w:lineRule="auto"/>
        <w:rPr>
          <w:sz w:val="20"/>
          <w:szCs w:val="20"/>
          <w:color w:val="auto"/>
        </w:rPr>
      </w:pPr>
      <w:r>
        <w:rPr>
          <w:rFonts w:ascii="Arial" w:cs="Arial" w:eastAsia="Arial" w:hAnsi="Arial"/>
          <w:sz w:val="18"/>
          <w:szCs w:val="18"/>
          <w:color w:val="auto"/>
        </w:rPr>
        <w:t>options on November 30, 2004. Under her restricted unit subscription agreement, restrictions on the units lapse as to 25% of the units on</w:t>
      </w:r>
    </w:p>
    <w:p>
      <w:pPr>
        <w:spacing w:after="0"/>
        <w:rPr>
          <w:sz w:val="20"/>
          <w:szCs w:val="20"/>
          <w:color w:val="auto"/>
        </w:rPr>
      </w:pPr>
      <w:r>
        <w:rPr>
          <w:rFonts w:ascii="Arial" w:cs="Arial" w:eastAsia="Arial" w:hAnsi="Arial"/>
          <w:sz w:val="16"/>
          <w:szCs w:val="16"/>
          <w:color w:val="auto"/>
        </w:rPr>
        <w:t>September 30, 2005 and as to 6.25% of the units on the last day of each calendar quarter thereafter, subject to her continuous employment with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MagnaChip. The restricted unit subscription agreements provide that the units are nontransferable and shall be subject to forfeiture upon</w:t>
      </w:r>
    </w:p>
    <w:p>
      <w:pPr>
        <w:spacing w:after="0" w:line="234" w:lineRule="auto"/>
        <w:rPr>
          <w:sz w:val="20"/>
          <w:szCs w:val="20"/>
          <w:color w:val="auto"/>
        </w:rPr>
      </w:pPr>
      <w:r>
        <w:rPr>
          <w:rFonts w:ascii="Arial" w:cs="Arial" w:eastAsia="Arial" w:hAnsi="Arial"/>
          <w:sz w:val="18"/>
          <w:szCs w:val="18"/>
          <w:color w:val="auto"/>
        </w:rPr>
        <w:t>termination of the officer’s employment. Upon termination, MagnaChip may repurchase any units for which the restrictions have not lapsed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if termination is for cause (as defined in the agreement), or for fair market value, if termination is for any other reason. Ms. Miller Nam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right to vote the restricted units and to receive cash dividends, provided that dividends payable in units or other securities shall have the same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status as restricted units. The service agreement also contains customary non-competition covenants lasting until the earlier of the first anniversary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termination of employment or October 6, 2007, nonsolicitation covenants lasting two years from the date of termination of</w:t>
      </w:r>
    </w:p>
    <w:p>
      <w:pPr>
        <w:spacing w:after="0"/>
        <w:rPr>
          <w:sz w:val="20"/>
          <w:szCs w:val="20"/>
          <w:color w:val="auto"/>
        </w:rPr>
      </w:pPr>
      <w:r>
        <w:rPr>
          <w:rFonts w:ascii="Arial" w:cs="Arial" w:eastAsia="Arial" w:hAnsi="Arial"/>
          <w:sz w:val="18"/>
          <w:szCs w:val="18"/>
          <w:color w:val="auto"/>
        </w:rPr>
        <w:t>employment and confidentiality covenants of unlimited duration.</w:t>
      </w:r>
    </w:p>
    <w:p>
      <w:pPr>
        <w:spacing w:after="0" w:line="140"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i w:val="1"/>
          <w:iCs w:val="1"/>
          <w:color w:val="auto"/>
        </w:rPr>
        <w:t xml:space="preserve">Chan Hee Lee. </w:t>
      </w:r>
      <w:r>
        <w:rPr>
          <w:rFonts w:ascii="Arial" w:cs="Arial" w:eastAsia="Arial" w:hAnsi="Arial"/>
          <w:sz w:val="18"/>
          <w:szCs w:val="18"/>
          <w:color w:val="auto"/>
        </w:rPr>
        <w:t>Mr. Lee serves as Executive Vice President and General Manager, Semiconductor Manufacturing Services of MagnaChip</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initial base salary of 200,000,000 Korean won per year (approximately $209,577) and with a target annual incentive bonus opportunity of 80% of his base salary and rewards opportunities based on his performance. Mr. Lee is also entitled to customary employee benefits. The initial term of Mr. Lee’s service agreement was from October 1, 2004 to September 30, 2005. In October 2004, Mr. Lee received options to purchase 272,899 common units of MagnaChip Semiconductor LLC at a price of $1.00 per unit. Twenty-five percent of Mr. Lee’s options vested on September 30, 2005 and an additional 6.25% of the options vest on the last day of each calendar quarter thereafter. The service agreement contains customary service invention assignment provisions, customary non-competition covenants lasting a year from the date of termination of the agreement, and confidentiality covenants of unlimited duration.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Tae Young Hwang. </w:t>
      </w:r>
      <w:r>
        <w:rPr>
          <w:rFonts w:ascii="Arial" w:cs="Arial" w:eastAsia="Arial" w:hAnsi="Arial"/>
          <w:sz w:val="18"/>
          <w:szCs w:val="18"/>
          <w:color w:val="auto"/>
        </w:rPr>
        <w:t>Mr. Hwang serves as Executive Vice President, Manufacturing Division, and General Manager of Large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of MagnaChip with an initial base salary of 220,000,000 Korean won per year (approximately $230,539) and with a target annual incentive bonus opportunity of 80% of his base salary and rewards opportunities based on his performance. Mr. Hwang is also entitled to customary employee benefits. The initial term of Mr. Hwang’s service agreement was from October 1, 2004 to September 30, 2005. In October 2004, Mr. Hwang received options to purchase 272,899 common units of MagnaChip Semiconductor LLC at a price of $1.00 per unit. Twenty-five percent of Mr. Hwang’s options vested on September 30, 2005 and an additional 6.25% of the options vest on the last day of each calendar quarter thereafter. The service agreement contains customary service invention assignment provisions, customary non-competition covenants lasting a year from the date of termination of the agreement, and confidentiality covenants of unlimited duration.</w:t>
      </w:r>
    </w:p>
    <w:p>
      <w:pPr>
        <w:spacing w:after="0" w:line="159" w:lineRule="exact"/>
        <w:rPr>
          <w:sz w:val="20"/>
          <w:szCs w:val="20"/>
          <w:color w:val="auto"/>
        </w:rPr>
      </w:pPr>
    </w:p>
    <w:p>
      <w:pPr>
        <w:ind w:right="460" w:firstLine="571"/>
        <w:spacing w:after="0" w:line="273" w:lineRule="auto"/>
        <w:rPr>
          <w:sz w:val="20"/>
          <w:szCs w:val="20"/>
          <w:color w:val="auto"/>
        </w:rPr>
      </w:pPr>
      <w:r>
        <w:rPr>
          <w:rFonts w:ascii="Arial" w:cs="Arial" w:eastAsia="Arial" w:hAnsi="Arial"/>
          <w:sz w:val="16"/>
          <w:szCs w:val="16"/>
          <w:color w:val="auto"/>
        </w:rPr>
        <w:t>Prior to their respective resignations, Youm Huh and Jason Hartlove were parties to service agreements. Both received compensation packages similar to our current executive officers in comparable positions, including similar base salaries, target incentives, and expatriate benefits. As our first Chief Executive Officer, Dr. Huh additionally received a grant of immediately exercisable options to purchase restricted common units of MagnaChip Semiconductor LLC, while Mr. Hartlove received two grants of options to purchase common units of MagnaChip Semiconductor LLC. See “—Option Exercises and Stock Vested for the Fiscal Year Ended December 31, 2006.”</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 ended December 31, 2006, of our named executive officers.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4"/>
                <w:szCs w:val="14"/>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8"/>
        </w:trPr>
        <w:tc>
          <w:tcPr>
            <w:tcW w:w="34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Salary</w:t>
            </w:r>
          </w:p>
        </w:tc>
        <w:tc>
          <w:tcPr>
            <w:tcW w:w="320" w:type="dxa"/>
            <w:vAlign w:val="bottom"/>
          </w:tcPr>
          <w:p>
            <w:pPr>
              <w:spacing w:after="0"/>
              <w:rPr>
                <w:sz w:val="12"/>
                <w:szCs w:val="12"/>
                <w:color w:val="auto"/>
              </w:rPr>
            </w:pPr>
          </w:p>
        </w:tc>
        <w:tc>
          <w:tcPr>
            <w:tcW w:w="5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320" w:type="dxa"/>
            <w:vAlign w:val="bottom"/>
          </w:tcPr>
          <w:p>
            <w:pPr>
              <w:spacing w:after="0"/>
              <w:rPr>
                <w:sz w:val="12"/>
                <w:szCs w:val="12"/>
                <w:color w:val="auto"/>
              </w:rPr>
            </w:pPr>
          </w:p>
        </w:tc>
        <w:tc>
          <w:tcPr>
            <w:tcW w:w="52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82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9"/>
              </w:rPr>
              <w:t>($) (1)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4"/>
                <w:szCs w:val="14"/>
                <w:color w:val="auto"/>
              </w:rPr>
              <w:t>Sang Park</w:t>
            </w:r>
          </w:p>
        </w:tc>
        <w:tc>
          <w:tcPr>
            <w:tcW w:w="320" w:type="dxa"/>
            <w:vAlign w:val="bottom"/>
          </w:tcPr>
          <w:p>
            <w:pPr>
              <w:spacing w:after="0"/>
              <w:rPr>
                <w:sz w:val="11"/>
                <w:szCs w:val="11"/>
                <w:color w:val="auto"/>
              </w:rPr>
            </w:pPr>
          </w:p>
        </w:tc>
        <w:tc>
          <w:tcPr>
            <w:tcW w:w="30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color w:val="auto"/>
                <w:w w:val="89"/>
              </w:rPr>
              <w:t>2006</w:t>
            </w:r>
          </w:p>
        </w:tc>
        <w:tc>
          <w:tcPr>
            <w:tcW w:w="340" w:type="dxa"/>
            <w:vAlign w:val="bottom"/>
          </w:tcPr>
          <w:p>
            <w:pPr>
              <w:spacing w:after="0"/>
              <w:rPr>
                <w:sz w:val="11"/>
                <w:szCs w:val="11"/>
                <w:color w:val="auto"/>
              </w:rPr>
            </w:pPr>
          </w:p>
        </w:tc>
        <w:tc>
          <w:tcPr>
            <w:tcW w:w="5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262,500</w:t>
            </w:r>
          </w:p>
        </w:tc>
        <w:tc>
          <w:tcPr>
            <w:tcW w:w="320" w:type="dxa"/>
            <w:vAlign w:val="bottom"/>
          </w:tcPr>
          <w:p>
            <w:pPr>
              <w:spacing w:after="0"/>
              <w:rPr>
                <w:sz w:val="11"/>
                <w:szCs w:val="11"/>
                <w:color w:val="auto"/>
              </w:rPr>
            </w:pPr>
          </w:p>
        </w:tc>
        <w:tc>
          <w:tcPr>
            <w:tcW w:w="5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130,000</w:t>
            </w: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62,473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Chairman and Chief Executive 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Robert J. Krakauer</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375,000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President and Chief Financial Officer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Victoria Miller Nam</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300,000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Senior Vice President, Strategic Operations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Tae Young Hwang</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230,539</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21,462</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Executive Vice President, Manufacturing Division,</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and General Manager of Large Display Solutions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Chan Hee Lee</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209,577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21,462</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Executive Vice President and General Manager,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Semiconductor Manufacturing Services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Jason Hartlove</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309,201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33,273</w:t>
            </w: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w w:val="98"/>
              </w:rPr>
              <w:t>Former Senior Vice President and General Manager,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Imaging Solutions Division (8)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4"/>
                <w:szCs w:val="14"/>
                <w:color w:val="auto"/>
              </w:rPr>
              <w:t>Youm Huh</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w w:val="89"/>
              </w:rPr>
              <w:t>2006</w:t>
            </w:r>
          </w:p>
        </w:tc>
        <w:tc>
          <w:tcPr>
            <w:tcW w:w="840" w:type="dxa"/>
            <w:vAlign w:val="bottom"/>
            <w:gridSpan w:val="2"/>
          </w:tcPr>
          <w:p>
            <w:pPr>
              <w:jc w:val="center"/>
              <w:ind w:left="272"/>
              <w:spacing w:after="0"/>
              <w:rPr>
                <w:sz w:val="20"/>
                <w:szCs w:val="20"/>
                <w:color w:val="auto"/>
              </w:rPr>
            </w:pPr>
            <w:r>
              <w:rPr>
                <w:rFonts w:ascii="Arial" w:cs="Arial" w:eastAsia="Arial" w:hAnsi="Arial"/>
                <w:sz w:val="14"/>
                <w:szCs w:val="14"/>
                <w:color w:val="auto"/>
                <w:w w:val="98"/>
              </w:rPr>
              <w:t>400,000</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4"/>
                <w:szCs w:val="14"/>
                <w:color w:val="auto"/>
              </w:rPr>
              <w:t>Senior Advisor and former Chief Executive Officer</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220"/>
              <w:spacing w:after="0"/>
              <w:rPr>
                <w:sz w:val="20"/>
                <w:szCs w:val="20"/>
                <w:color w:val="auto"/>
              </w:rPr>
            </w:pPr>
            <w:r>
              <w:rPr>
                <w:rFonts w:ascii="Arial" w:cs="Arial" w:eastAsia="Arial" w:hAnsi="Arial"/>
                <w:sz w:val="14"/>
                <w:szCs w:val="14"/>
                <w:color w:val="auto"/>
              </w:rPr>
              <w:t>and President (10)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-2014220</wp:posOffset>
            </wp:positionV>
            <wp:extent cx="7246620" cy="1974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97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24662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46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Change in</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Pension</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Value</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and Non-</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qualified</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Deferred</w:t>
            </w: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Compen-</w:t>
            </w: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3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sation</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Compen-</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6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sation</w:t>
            </w:r>
          </w:p>
        </w:tc>
        <w:tc>
          <w:tcPr>
            <w:tcW w:w="320" w:type="dxa"/>
            <w:vAlign w:val="bottom"/>
          </w:tcPr>
          <w:p>
            <w:pPr>
              <w:spacing w:after="0"/>
              <w:rPr>
                <w:sz w:val="13"/>
                <w:szCs w:val="13"/>
                <w:color w:val="auto"/>
              </w:rPr>
            </w:pPr>
          </w:p>
        </w:tc>
        <w:tc>
          <w:tcPr>
            <w:tcW w:w="1160" w:type="dxa"/>
            <w:vAlign w:val="bottom"/>
            <w:gridSpan w:val="2"/>
          </w:tcPr>
          <w:p>
            <w:pPr>
              <w:jc w:val="center"/>
              <w:ind w:right="500"/>
              <w:spacing w:after="0" w:line="152" w:lineRule="exact"/>
              <w:rPr>
                <w:sz w:val="20"/>
                <w:szCs w:val="20"/>
                <w:color w:val="auto"/>
              </w:rPr>
            </w:pPr>
            <w:r>
              <w:rPr>
                <w:rFonts w:ascii="Arial" w:cs="Arial" w:eastAsia="Arial" w:hAnsi="Arial"/>
                <w:sz w:val="14"/>
                <w:szCs w:val="14"/>
                <w:b w:val="1"/>
                <w:bCs w:val="1"/>
                <w:color w:val="auto"/>
                <w:w w:val="96"/>
              </w:rPr>
              <w:t>Earnings</w:t>
            </w:r>
          </w:p>
        </w:tc>
        <w:tc>
          <w:tcPr>
            <w:tcW w:w="1160" w:type="dxa"/>
            <w:vAlign w:val="bottom"/>
            <w:gridSpan w:val="2"/>
          </w:tcPr>
          <w:p>
            <w:pPr>
              <w:jc w:val="center"/>
              <w:ind w:right="560"/>
              <w:spacing w:after="0" w:line="152" w:lineRule="exact"/>
              <w:rPr>
                <w:sz w:val="20"/>
                <w:szCs w:val="20"/>
                <w:color w:val="auto"/>
              </w:rPr>
            </w:pPr>
            <w:r>
              <w:rPr>
                <w:rFonts w:ascii="Arial" w:cs="Arial" w:eastAsia="Arial" w:hAnsi="Arial"/>
                <w:sz w:val="14"/>
                <w:szCs w:val="14"/>
                <w:b w:val="1"/>
                <w:bCs w:val="1"/>
                <w:color w:val="auto"/>
                <w:w w:val="96"/>
              </w:rPr>
              <w:t>sation</w:t>
            </w:r>
          </w:p>
        </w:tc>
        <w:tc>
          <w:tcPr>
            <w:tcW w:w="520" w:type="dxa"/>
            <w:vAlign w:val="bottom"/>
            <w:gridSpan w:val="2"/>
          </w:tcPr>
          <w:p>
            <w:pPr>
              <w:jc w:val="center"/>
              <w:ind w:right="20"/>
              <w:spacing w:after="0" w:line="152" w:lineRule="exact"/>
              <w:rPr>
                <w:sz w:val="20"/>
                <w:szCs w:val="20"/>
                <w:color w:val="auto"/>
              </w:rPr>
            </w:pPr>
            <w:r>
              <w:rPr>
                <w:rFonts w:ascii="Arial" w:cs="Arial" w:eastAsia="Arial" w:hAnsi="Arial"/>
                <w:sz w:val="14"/>
                <w:szCs w:val="14"/>
                <w:b w:val="1"/>
                <w:bCs w:val="1"/>
                <w:color w:val="auto"/>
                <w:w w:val="89"/>
              </w:rPr>
              <w:t>Total</w:t>
            </w:r>
          </w:p>
        </w:tc>
      </w:tr>
      <w:tr>
        <w:trPr>
          <w:trHeight w:val="176"/>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r>
      <w:tr>
        <w:trPr>
          <w:trHeight w:val="156"/>
        </w:trPr>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321,129(2)</w:t>
            </w:r>
          </w:p>
        </w:tc>
        <w:tc>
          <w:tcPr>
            <w:tcW w:w="500" w:type="dxa"/>
            <w:vAlign w:val="bottom"/>
          </w:tcPr>
          <w:p>
            <w:pPr>
              <w:jc w:val="center"/>
              <w:spacing w:after="0" w:line="156" w:lineRule="exact"/>
              <w:rPr>
                <w:sz w:val="20"/>
                <w:szCs w:val="20"/>
                <w:color w:val="auto"/>
              </w:rPr>
            </w:pPr>
            <w:r>
              <w:rPr>
                <w:rFonts w:ascii="Arial" w:cs="Arial" w:eastAsia="Arial" w:hAnsi="Arial"/>
                <w:sz w:val="14"/>
                <w:szCs w:val="14"/>
                <w:color w:val="auto"/>
                <w:w w:val="94"/>
              </w:rPr>
              <w:t>776,102</w:t>
            </w:r>
          </w:p>
        </w:tc>
        <w:tc>
          <w:tcPr>
            <w:tcW w:w="20" w:type="dxa"/>
            <w:vAlign w:val="bottom"/>
          </w:tcPr>
          <w:p>
            <w:pPr>
              <w:spacing w:after="0"/>
              <w:rPr>
                <w:sz w:val="13"/>
                <w:szCs w:val="13"/>
                <w:color w:val="auto"/>
              </w:rPr>
            </w:pPr>
          </w:p>
        </w:tc>
      </w:tr>
      <w:tr>
        <w:trPr>
          <w:trHeight w:val="37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387,090(3)</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842,090</w:t>
            </w:r>
          </w:p>
        </w:tc>
      </w:tr>
      <w:tr>
        <w:trPr>
          <w:trHeight w:val="378"/>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25,246(4)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96,515(5)</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451,761</w:t>
            </w:r>
          </w:p>
        </w:tc>
      </w:tr>
      <w:tr>
        <w:trPr>
          <w:trHeight w:val="378"/>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49,283(4)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11,617(6)</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361,526</w:t>
            </w:r>
          </w:p>
        </w:tc>
      </w:tr>
      <w:tr>
        <w:trPr>
          <w:trHeight w:val="527"/>
        </w:trPr>
        <w:tc>
          <w:tcPr>
            <w:tcW w:w="60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Arial" w:cs="Arial" w:eastAsia="Arial" w:hAnsi="Arial"/>
                <w:sz w:val="14"/>
                <w:szCs w:val="14"/>
                <w:color w:val="auto"/>
              </w:rPr>
              <w:t>44,803(4)</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20,272(7)</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344,739</w:t>
            </w:r>
          </w:p>
        </w:tc>
      </w:tr>
      <w:tr>
        <w:trPr>
          <w:trHeight w:val="52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35,481(9)</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426,580</w:t>
            </w:r>
          </w:p>
        </w:tc>
      </w:tr>
      <w:tr>
        <w:trPr>
          <w:trHeight w:val="527"/>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275,964(11)</w:t>
            </w:r>
          </w:p>
        </w:tc>
        <w:tc>
          <w:tcPr>
            <w:tcW w:w="520" w:type="dxa"/>
            <w:vAlign w:val="bottom"/>
            <w:gridSpan w:val="2"/>
          </w:tcPr>
          <w:p>
            <w:pPr>
              <w:jc w:val="center"/>
              <w:spacing w:after="0"/>
              <w:rPr>
                <w:sz w:val="20"/>
                <w:szCs w:val="20"/>
                <w:color w:val="auto"/>
              </w:rPr>
            </w:pPr>
            <w:r>
              <w:rPr>
                <w:rFonts w:ascii="Arial" w:cs="Arial" w:eastAsia="Arial" w:hAnsi="Arial"/>
                <w:sz w:val="14"/>
                <w:szCs w:val="14"/>
                <w:color w:val="auto"/>
                <w:w w:val="94"/>
              </w:rPr>
              <w:t>675,964</w:t>
            </w:r>
          </w:p>
        </w:tc>
      </w:tr>
    </w:tbl>
    <w:p>
      <w:pPr>
        <w:spacing w:after="0" w:line="497" w:lineRule="exact"/>
        <w:rPr>
          <w:sz w:val="20"/>
          <w:szCs w:val="20"/>
          <w:color w:val="auto"/>
        </w:rPr>
      </w:pPr>
    </w:p>
    <w:p>
      <w:pPr>
        <w:sectPr>
          <w:pgSz w:w="11900" w:h="16838" w:orient="portrait"/>
          <w:cols w:equalWidth="0" w:num="2">
            <w:col w:w="7360" w:space="320"/>
            <w:col w:w="3740"/>
          </w:cols>
          <w:pgMar w:left="240" w:top="459" w:right="239" w:bottom="1440" w:gutter="0" w:footer="0" w:header="0"/>
          <w:type w:val="continuous"/>
        </w:sectPr>
      </w:pPr>
    </w:p>
    <w:p>
      <w:pPr>
        <w:spacing w:after="0" w:line="29"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Note: Amounts set forth in the above table that were originally paid in Korean won have been converted into U.S. dollars at the exchange rate as of each payment date during our fiscal year ended December 31, 2006. Pension value represents severance benefits.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30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is calculated using the dollar amount recognized for financial statement reporting purposes with respect to the fiscal year in accordance with FAS 123(R). See “Note 13. Equity Incentive Plan” to the MagnaChip Semiconductor LLC audited consolidated financial statements for the years ended December 31, 2006, 2005 and 2004.</w:t>
      </w:r>
    </w:p>
    <w:p>
      <w:pPr>
        <w:ind w:left="340" w:hanging="332"/>
        <w:spacing w:after="0" w:line="258"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Park: (a) $62,872 for prepayment of Mr. Park’s housing expenses for two years; (b) $200,000 for Mr. Park’s relocation allowance when he joined us; (c) $20,610 for insurance premiums paid during the fiscal year 2006 for the benefit of Mr. Park; and (d) $37,647 for other personal benefits (including monthly rent for</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Mr. Park’s housing lease for three months, and reimbursement of the use of a car, home leave flights and living expenses).</w:t>
      </w:r>
    </w:p>
    <w:p>
      <w:pPr>
        <w:ind w:left="340" w:right="280" w:hanging="332"/>
        <w:spacing w:after="0" w:line="23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Krakauer: (a) $176,042 for prepayment of Mr. Krakauer’s housing expenses for two years; (b) $40,848 for reimbursement of living expenses; (c) $69,485 for reimbursement of tuition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expenses for Mr. Krakauer’s children; (d) $32,405 for the amount settled between Mr. Krakauer’s receivables from us and his tax equalization payment to us for the fiscal year 2004;</w:t>
      </w:r>
    </w:p>
    <w:p>
      <w:pPr>
        <w:ind w:left="540" w:hanging="194"/>
        <w:spacing w:after="0" w:line="221" w:lineRule="auto"/>
        <w:tabs>
          <w:tab w:leader="none" w:pos="540" w:val="left"/>
        </w:tabs>
        <w:numPr>
          <w:ilvl w:val="1"/>
          <w:numId w:val="50"/>
        </w:numPr>
        <w:rPr>
          <w:rFonts w:ascii="Arial" w:cs="Arial" w:eastAsia="Arial" w:hAnsi="Arial"/>
          <w:sz w:val="14"/>
          <w:szCs w:val="14"/>
          <w:color w:val="auto"/>
        </w:rPr>
      </w:pPr>
      <w:r>
        <w:rPr>
          <w:rFonts w:ascii="Arial" w:cs="Arial" w:eastAsia="Arial" w:hAnsi="Arial"/>
          <w:sz w:val="14"/>
          <w:szCs w:val="14"/>
          <w:color w:val="auto"/>
        </w:rPr>
        <w:t>$23,547 for insurance premiums paid during the fiscal year 2006 for the benefit of Mr. Krakauer; (f) $2,399 for tax equalization settlement from us for the fiscal year 2005; and</w:t>
      </w:r>
    </w:p>
    <w:p>
      <w:pPr>
        <w:ind w:left="540" w:hanging="194"/>
        <w:spacing w:after="0"/>
        <w:tabs>
          <w:tab w:leader="none" w:pos="5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$42,364 for other personal benefits (including reimbursement of the use of a car and personal tax advisory expenses).</w:t>
      </w:r>
    </w:p>
    <w:p>
      <w:pPr>
        <w:spacing w:after="0" w:line="1" w:lineRule="exact"/>
        <w:rPr>
          <w:rFonts w:ascii="Arial" w:cs="Arial" w:eastAsia="Arial" w:hAnsi="Arial"/>
          <w:sz w:val="14"/>
          <w:szCs w:val="14"/>
          <w:color w:val="auto"/>
        </w:rPr>
      </w:pPr>
    </w:p>
    <w:p>
      <w:pPr>
        <w:ind w:left="340" w:righ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Consists of statutory severance accrued during the fiscal year ended December 31, 2006. See the section subtitled “Compensation Discussion and Analysis” for a description of the statutory severance benefit.</w:t>
      </w:r>
    </w:p>
    <w:p>
      <w:pPr>
        <w:ind w:left="340" w:right="30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$22,924 for insurance premiums paid during the fiscal year 2006 for the benefit of Ms. Miller Nam; (b) $68,376 for reimbursement of tuition expenses for Ms. Miller Nam’s children; and (c) $5,215 for reimbursement of the use of a car.</w:t>
      </w: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Reimbursement of the use of a car.</w:t>
      </w:r>
    </w:p>
    <w:p>
      <w:pPr>
        <w:ind w:left="340" w:hanging="332"/>
        <w:spacing w:after="0"/>
        <w:tabs>
          <w:tab w:leader="none" w:pos="3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Lee: (a) $12,812 for reimbursement of the use of a car; and (b) $7,460 for reimbursement of tuition expenses for Mr. Lee’s children.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w:t>
      </w:r>
    </w:p>
    <w:p>
      <w:pPr>
        <w:ind w:left="340" w:right="460" w:hanging="332"/>
        <w:spacing w:after="0" w:line="258" w:lineRule="auto"/>
        <w:tabs>
          <w:tab w:leader="none" w:pos="3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Hartlove: (a) $18,935 for insurance premiums paid during the fiscal year 2006 for the benefit of Mr. Hartlove; (b) $7,802 for reimbursement of personal tax advisory expenses; and (c) $8,744 for other personal benefits (including reimbursement of the use of a car, and personal legal advisory expenses).</w:t>
      </w: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Dr. Huh resigned as Chief Executive Officer, President, and Director effective May 27, 2006.</w:t>
      </w:r>
    </w:p>
    <w:p>
      <w:pPr>
        <w:ind w:left="340" w:right="100" w:hanging="332"/>
        <w:spacing w:after="0" w:line="22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Dr. Huh: (a) $54,220 for insurance premiums paid during the fiscal year 2006 for the benefit of Dr. Huh; (b) $31,792 for payment for unused annual holidays of Dr. Huh during the fiscal year 2006; (c) $174,569 for the amount settled between Dr. Huh’s receivables from us and his tax equalization payment to us for the fiscal year 2004; and (d) $15,383 for other personal benefits (including reimbursement of the use of a car and tuition expenses for Dr. Huh’s children).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Payouts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Under</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56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Exercise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56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or Base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56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Board</w:t>
            </w:r>
          </w:p>
        </w:tc>
        <w:tc>
          <w:tcPr>
            <w:tcW w:w="4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Grant</w:t>
            </w:r>
          </w:p>
        </w:tc>
        <w:tc>
          <w:tcPr>
            <w:tcW w:w="580" w:type="dxa"/>
            <w:vAlign w:val="bottom"/>
          </w:tcPr>
          <w:p>
            <w:pPr>
              <w:spacing w:after="0"/>
              <w:rPr>
                <w:sz w:val="10"/>
                <w:szCs w:val="10"/>
                <w:color w:val="auto"/>
              </w:rPr>
            </w:pPr>
          </w:p>
        </w:tc>
        <w:tc>
          <w:tcPr>
            <w:tcW w:w="620" w:type="dxa"/>
            <w:vAlign w:val="bottom"/>
          </w:tcPr>
          <w:p>
            <w:pPr>
              <w:ind w:left="20"/>
              <w:spacing w:after="0" w:line="125" w:lineRule="exact"/>
              <w:rPr>
                <w:sz w:val="20"/>
                <w:szCs w:val="20"/>
                <w:color w:val="auto"/>
              </w:rPr>
            </w:pPr>
            <w:r>
              <w:rPr>
                <w:rFonts w:ascii="Arial" w:cs="Arial" w:eastAsia="Arial" w:hAnsi="Arial"/>
                <w:sz w:val="14"/>
                <w:szCs w:val="14"/>
                <w:b w:val="1"/>
                <w:bCs w:val="1"/>
                <w:color w:val="auto"/>
                <w:w w:val="95"/>
              </w:rPr>
              <w:t>Approval</w:t>
            </w:r>
          </w:p>
        </w:tc>
        <w:tc>
          <w:tcPr>
            <w:tcW w:w="44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Target</w:t>
            </w:r>
          </w:p>
        </w:tc>
        <w:tc>
          <w:tcPr>
            <w:tcW w:w="560" w:type="dxa"/>
            <w:vAlign w:val="bottom"/>
          </w:tcPr>
          <w:p>
            <w:pPr>
              <w:spacing w:after="0"/>
              <w:rPr>
                <w:sz w:val="10"/>
                <w:szCs w:val="10"/>
                <w:color w:val="auto"/>
              </w:rPr>
            </w:pPr>
          </w:p>
        </w:tc>
        <w:tc>
          <w:tcPr>
            <w:tcW w:w="1140" w:type="dxa"/>
            <w:vAlign w:val="bottom"/>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65"/>
        </w:trPr>
        <w:tc>
          <w:tcPr>
            <w:tcW w:w="62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($/Sh)</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May 27</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w w:val="95"/>
              </w:rPr>
              <w:t>May 17(2)</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Robert J. Krakauer</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Tae Young Hwang</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Chan Hee Lee</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tcPr>
          <w:p>
            <w:pPr>
              <w:spacing w:after="0" w:line="149" w:lineRule="exact"/>
              <w:rPr>
                <w:sz w:val="20"/>
                <w:szCs w:val="20"/>
                <w:color w:val="auto"/>
              </w:rPr>
            </w:pPr>
            <w:r>
              <w:rPr>
                <w:rFonts w:ascii="Arial" w:cs="Arial" w:eastAsia="Arial" w:hAnsi="Arial"/>
                <w:sz w:val="14"/>
                <w:szCs w:val="14"/>
                <w:color w:val="auto"/>
              </w:rPr>
              <w:t>Jason Hartlove (3)</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98"/>
              </w:rPr>
              <w:t>March 9</w:t>
            </w:r>
          </w:p>
        </w:tc>
        <w:tc>
          <w:tcPr>
            <w:tcW w:w="12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March 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w:t>
            </w:r>
          </w:p>
        </w:tc>
        <w:tc>
          <w:tcPr>
            <w:tcW w:w="17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30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to SFAS No. 123(R) in “Note 13. Equity Incentive Plan” to the MagnaChip Semiconductor LLC audited consolidated financial statements for the years ended December 31, 2006, 2005 and 2004.</w:t>
      </w:r>
    </w:p>
    <w:p>
      <w:pPr>
        <w:ind w:left="340" w:hanging="332"/>
        <w:spacing w:after="0"/>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Although our Board of Directors approved the option grant to Mr. Park on May 17, 2006, the option grant was not effective until the start date of Mr. Park’s employment on May 27, 2006.</w:t>
      </w:r>
    </w:p>
    <w:p>
      <w:pPr>
        <w:spacing w:after="0" w:line="10" w:lineRule="exact"/>
        <w:rPr>
          <w:rFonts w:ascii="Arial" w:cs="Arial" w:eastAsia="Arial" w:hAnsi="Arial"/>
          <w:sz w:val="12"/>
          <w:szCs w:val="12"/>
          <w:color w:val="auto"/>
        </w:rPr>
      </w:pPr>
    </w:p>
    <w:p>
      <w:pPr>
        <w:ind w:left="340" w:right="340" w:hanging="332"/>
        <w:spacing w:after="0" w:line="23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 The reported equity award terminated unvested upon his resignation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8"/>
              </w:rPr>
              <w:t>Option Awards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3"/>
              </w:rPr>
              <w:t>Equity</w:t>
            </w: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580"/>
              <w:spacing w:after="0" w:line="152" w:lineRule="exact"/>
              <w:rPr>
                <w:sz w:val="20"/>
                <w:szCs w:val="20"/>
                <w:color w:val="auto"/>
              </w:rPr>
            </w:pPr>
            <w:r>
              <w:rPr>
                <w:rFonts w:ascii="Arial" w:cs="Arial" w:eastAsia="Arial" w:hAnsi="Arial"/>
                <w:sz w:val="14"/>
                <w:szCs w:val="14"/>
                <w:b w:val="1"/>
                <w:bCs w:val="1"/>
                <w:color w:val="auto"/>
                <w:w w:val="98"/>
              </w:rPr>
              <w:t>Incentive</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Plan</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Shares or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Units That</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Options (#)</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34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Unearned</w:t>
            </w: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Exercise</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Have Not</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Unexercisable</w:t>
            </w:r>
          </w:p>
        </w:tc>
        <w:tc>
          <w:tcPr>
            <w:tcW w:w="34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Options (#)</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Price</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20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Vested</w:t>
            </w:r>
          </w:p>
        </w:tc>
        <w:tc>
          <w:tcPr>
            <w:tcW w:w="0" w:type="dxa"/>
            <w:vAlign w:val="bottom"/>
          </w:tcPr>
          <w:p>
            <w:pPr>
              <w:spacing w:after="0"/>
              <w:rPr>
                <w:sz w:val="1"/>
                <w:szCs w:val="1"/>
                <w:color w:val="auto"/>
              </w:rPr>
            </w:pP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(column b)</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(column c)</w:t>
            </w:r>
          </w:p>
        </w:tc>
        <w:tc>
          <w:tcPr>
            <w:tcW w:w="3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(column d)</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88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800,000(1)</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05/27/16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4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185,000(2)</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9"/>
                <w:szCs w:val="19"/>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color w:val="auto"/>
              </w:rPr>
              <w:t>298,483(3)</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304,453(4)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40,000(2)</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03/09/16</w:t>
            </w:r>
          </w:p>
        </w:tc>
        <w:tc>
          <w:tcPr>
            <w:tcW w:w="20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59,696(3)</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60,891(4)</w:t>
            </w:r>
          </w:p>
        </w:tc>
        <w:tc>
          <w:tcPr>
            <w:tcW w:w="0" w:type="dxa"/>
            <w:vAlign w:val="bottom"/>
          </w:tcPr>
          <w:p>
            <w:pPr>
              <w:spacing w:after="0"/>
              <w:rPr>
                <w:sz w:val="1"/>
                <w:szCs w:val="1"/>
                <w:color w:val="auto"/>
              </w:rPr>
            </w:pPr>
          </w:p>
        </w:tc>
      </w:tr>
      <w:tr>
        <w:trPr>
          <w:trHeight w:val="215"/>
        </w:trPr>
        <w:tc>
          <w:tcPr>
            <w:tcW w:w="3340" w:type="dxa"/>
            <w:vAlign w:val="bottom"/>
            <w:gridSpan w:val="3"/>
          </w:tcPr>
          <w:p>
            <w:pPr>
              <w:spacing w:after="0"/>
              <w:rPr>
                <w:sz w:val="20"/>
                <w:szCs w:val="20"/>
                <w:color w:val="auto"/>
              </w:rPr>
            </w:pPr>
            <w:r>
              <w:rPr>
                <w:rFonts w:ascii="Arial" w:cs="Arial" w:eastAsia="Arial" w:hAnsi="Arial"/>
                <w:sz w:val="14"/>
                <w:szCs w:val="14"/>
                <w:color w:val="auto"/>
              </w:rPr>
              <w:t>Tae Young Hwang</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153,505</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119,393(5)</w:t>
            </w: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25,000(2)</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cols. b, c:</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cols. b, 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5"/>
              </w:rPr>
              <w:t>10/06/14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Chan Hee Lee</w:t>
            </w:r>
          </w:p>
        </w:tc>
        <w:tc>
          <w:tcPr>
            <w:tcW w:w="11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4"/>
                <w:szCs w:val="14"/>
                <w:color w:val="auto"/>
              </w:rPr>
              <w:t>153,505</w:t>
            </w:r>
          </w:p>
        </w:tc>
        <w:tc>
          <w:tcPr>
            <w:tcW w:w="11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119,393(5)</w:t>
            </w:r>
          </w:p>
        </w:tc>
        <w:tc>
          <w:tcPr>
            <w:tcW w:w="17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4"/>
                <w:szCs w:val="14"/>
                <w:color w:val="auto"/>
              </w:rPr>
              <w:t>25,000(2)</w:t>
            </w:r>
          </w:p>
        </w:tc>
        <w:tc>
          <w:tcPr>
            <w:tcW w:w="9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w w:val="94"/>
              </w:rPr>
              <w:t>cols. b, c:</w:t>
            </w:r>
          </w:p>
        </w:tc>
        <w:tc>
          <w:tcPr>
            <w:tcW w:w="860" w:type="dxa"/>
            <w:vAlign w:val="bottom"/>
            <w:gridSpan w:val="2"/>
            <w:shd w:val="clear" w:color="auto" w:fill="CCEEFF"/>
          </w:tcPr>
          <w:p>
            <w:pPr>
              <w:jc w:val="center"/>
              <w:ind w:right="100"/>
              <w:spacing w:after="0" w:line="148" w:lineRule="exact"/>
              <w:rPr>
                <w:sz w:val="20"/>
                <w:szCs w:val="20"/>
                <w:color w:val="auto"/>
              </w:rPr>
            </w:pPr>
            <w:r>
              <w:rPr>
                <w:rFonts w:ascii="Arial" w:cs="Arial" w:eastAsia="Arial" w:hAnsi="Arial"/>
                <w:sz w:val="14"/>
                <w:szCs w:val="14"/>
                <w:color w:val="auto"/>
                <w:w w:val="94"/>
              </w:rPr>
              <w:t>cols. b, c:</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10/06/14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w:t>
            </w:r>
          </w:p>
        </w:tc>
        <w:tc>
          <w:tcPr>
            <w:tcW w:w="66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5"/>
              </w:rPr>
              <w:t>03/09/16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spacing w:after="0"/>
              <w:rPr>
                <w:sz w:val="20"/>
                <w:szCs w:val="20"/>
                <w:color w:val="auto"/>
              </w:rPr>
            </w:pPr>
            <w:r>
              <w:rPr>
                <w:rFonts w:ascii="Arial" w:cs="Arial" w:eastAsia="Arial" w:hAnsi="Arial"/>
                <w:sz w:val="14"/>
                <w:szCs w:val="14"/>
                <w:color w:val="auto"/>
              </w:rPr>
              <w:t>Jason Hartlove</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112,500</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187,500(6)</w:t>
            </w:r>
          </w:p>
        </w:tc>
        <w:tc>
          <w:tcPr>
            <w:tcW w:w="1720" w:type="dxa"/>
            <w:vAlign w:val="bottom"/>
            <w:gridSpan w:val="3"/>
          </w:tcPr>
          <w:p>
            <w:pPr>
              <w:jc w:val="right"/>
              <w:ind w:right="400"/>
              <w:spacing w:after="0"/>
              <w:rPr>
                <w:sz w:val="20"/>
                <w:szCs w:val="20"/>
                <w:color w:val="auto"/>
              </w:rPr>
            </w:pPr>
            <w:r>
              <w:rPr>
                <w:rFonts w:ascii="Arial" w:cs="Arial" w:eastAsia="Arial" w:hAnsi="Arial"/>
                <w:sz w:val="14"/>
                <w:szCs w:val="14"/>
                <w:color w:val="auto"/>
              </w:rPr>
              <w:t>25,000(6)</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cols. b, c:</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cols. b, c:</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w:t>
            </w:r>
          </w:p>
        </w:tc>
        <w:tc>
          <w:tcPr>
            <w:tcW w:w="66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5"/>
              </w:rPr>
              <w:t>05/16/15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col. d:</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col. 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1.50</w:t>
            </w:r>
          </w:p>
        </w:tc>
        <w:tc>
          <w:tcPr>
            <w:tcW w:w="660" w:type="dxa"/>
            <w:vAlign w:val="bottom"/>
          </w:tcPr>
          <w:p>
            <w:pPr>
              <w:jc w:val="center"/>
              <w:ind w:left="72"/>
              <w:spacing w:after="0"/>
              <w:rPr>
                <w:sz w:val="20"/>
                <w:szCs w:val="20"/>
                <w:color w:val="auto"/>
              </w:rPr>
            </w:pPr>
            <w:r>
              <w:rPr>
                <w:rFonts w:ascii="Arial" w:cs="Arial" w:eastAsia="Arial" w:hAnsi="Arial"/>
                <w:sz w:val="14"/>
                <w:szCs w:val="14"/>
                <w:color w:val="auto"/>
                <w:w w:val="95"/>
              </w:rPr>
              <w:t>03/09/16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10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May 27, 2007, and an additional 6.25% of the options vest at the end of each three month period thereafter on the same day of the month as the grant date or, if earlier, the last day of such month.</w:t>
      </w:r>
    </w:p>
    <w:p>
      <w:pPr>
        <w:ind w:left="340" w:right="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equityholders as of October 6, 2004, have achieved a 250% return on their investment. The remaining 75% of the common units subject to the options become vested and exercisable in three equal installments on each of the first three successive annual anniversaries of the first vesting event, subject to the grantee’s continuous employment from the grant date to each such vesting date.</w:t>
      </w:r>
    </w:p>
    <w:p>
      <w:pPr>
        <w:spacing w:after="0" w:line="1" w:lineRule="exact"/>
        <w:rPr>
          <w:rFonts w:ascii="Arial" w:cs="Arial" w:eastAsia="Arial" w:hAnsi="Arial"/>
          <w:sz w:val="14"/>
          <w:szCs w:val="14"/>
          <w:color w:val="auto"/>
        </w:rPr>
      </w:pPr>
    </w:p>
    <w:p>
      <w:pPr>
        <w:ind w:left="340" w:right="1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 on the last day of each calendar quarter as to 6.25% of the total amount of restricted common units originally awarded.</w:t>
      </w:r>
    </w:p>
    <w:p>
      <w:pPr>
        <w:ind w:left="340" w:right="18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During fiscal year 2006, there was no established public trading market for our outstanding common equity. The reported value is based upon our estimate of the value of our common units as of December 31, 2006.</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Installments of 6.25% of the total common units subject to the options become vested and exercisable on the last day of each calendar quarter.</w:t>
      </w:r>
    </w:p>
    <w:p>
      <w:pPr>
        <w:jc w:val="both"/>
        <w:ind w:left="340" w:right="260" w:hanging="332"/>
        <w:spacing w:after="0" w:line="228"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Hartlove resigned as Senior Vice President and General Manager, Imaging Solutions Division, effective March 9, 2007. The reported unvested option awards terminated upon his resignation date. On May 4, 2007, Mr. Hartlove exercised options for 80,000 of the common units of MagnaChip Semiconductor LLC. Thereafter, the remainder of the options expired unexercised in accordance with their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MagnaChip Semiconductor LLC California Equity Incentive Plan and the MagnaChip Semiconductor LLC Equity Incentive Plan</w:t>
      </w:r>
    </w:p>
    <w:p>
      <w:pPr>
        <w:spacing w:after="0" w:line="97"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In October 2004 and March 2005, respectively, the board of directors of MagnaChip Semiconductor LLC adopted the MagnaChip Semiconductor LLC Equity Incentive Plan and the MagnaChip Semiconductor LLC California Equity Incentive Plan, which we refer to as the Prior Plans. The equityholders of MagnaChip Semiconductor LLC approved the MagnaChip Semiconductor LLC California Equity Incentive Plan in March 2005. The Prior Plans each provide for the award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nonstatutory options, unit appreciation rights, or SARs, and restricted unit awards to employees, consultants or non-employee directors of MagnaChip and its subsidiaries. However, only options and restricted unit awards have been granted under the Prior Plans. Subject to adjustment in the event of certain corporate transactions or events, the maximum aggregate number of MagnaChip units that are available for grant under both plans is 7,890,864, all of which may be granted under either plan. Units subject to awards that expire, are forfeited or otherwise terminate will again be available for grant under the plans.</w:t>
      </w:r>
    </w:p>
    <w:p>
      <w:pPr>
        <w:spacing w:after="0" w:line="157" w:lineRule="exact"/>
        <w:rPr>
          <w:sz w:val="20"/>
          <w:szCs w:val="20"/>
          <w:color w:val="auto"/>
        </w:rPr>
      </w:pPr>
    </w:p>
    <w:p>
      <w:pPr>
        <w:ind w:right="120" w:firstLine="571"/>
        <w:spacing w:after="0" w:line="264" w:lineRule="auto"/>
        <w:rPr>
          <w:sz w:val="20"/>
          <w:szCs w:val="20"/>
          <w:color w:val="auto"/>
        </w:rPr>
      </w:pPr>
      <w:r>
        <w:rPr>
          <w:rFonts w:ascii="Arial" w:cs="Arial" w:eastAsia="Arial" w:hAnsi="Arial"/>
          <w:sz w:val="16"/>
          <w:szCs w:val="16"/>
          <w:color w:val="auto"/>
        </w:rPr>
        <w:t>The Prior Plans are substantially identical, except that the California Equity Incentive Plan contains certain provisions required for compliance with then applicable California law. In connection with our corporate reorganization, we will assume the rights and obligations of MagnaChip Semiconductor LLC under the Prior Plans and convert MagnaChip Semiconductor LLC unit options outstanding under the Prior Plans</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into options to acquire a number of shares of our common stock at a ratio of on substantially equivalent terms and conditions. Following the corporate reorganization, a combined total of shares of common stock will be reserved for issuance under the Prior Plans. As of</w:t>
      </w:r>
    </w:p>
    <w:p>
      <w:pPr>
        <w:spacing w:after="0" w:line="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September 30, 2007, based upon the common units of MagnaChip Semiconductor LLC outstanding as of September 30, 2007 and after giving pro forma effect to the corporate reorganization pursuant to which each common unit will be exchanged for shares of our common stock at a ratio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firstLine="586"/>
        <w:spacing w:after="0" w:line="234" w:lineRule="auto"/>
        <w:rPr>
          <w:sz w:val="20"/>
          <w:szCs w:val="20"/>
          <w:color w:val="auto"/>
        </w:rPr>
      </w:pPr>
      <w:r>
        <w:rPr>
          <w:rFonts w:ascii="Arial" w:cs="Arial" w:eastAsia="Arial" w:hAnsi="Arial"/>
          <w:sz w:val="18"/>
          <w:szCs w:val="18"/>
          <w:color w:val="auto"/>
        </w:rPr>
        <w:t>, there would have been outstanding under the Prior Plans options to purchase shares of common stock, at a weighted average exercise price of $ per share. Our board of directors will terminate the Prior Plans effective upon the closing of this offering, and no</w:t>
      </w:r>
    </w:p>
    <w:p>
      <w:pPr>
        <w:spacing w:after="0" w:line="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additional options or other equity awards may be granted under the Prior Plans following their termination. However, options granted under the Prior Plans prior to their termination will remain outstanding until they are either exercised or expire.</w:t>
      </w:r>
    </w:p>
    <w:p>
      <w:pPr>
        <w:spacing w:after="0" w:line="155" w:lineRule="exact"/>
        <w:rPr>
          <w:sz w:val="20"/>
          <w:szCs w:val="20"/>
          <w:color w:val="auto"/>
        </w:rPr>
      </w:pPr>
    </w:p>
    <w:p>
      <w:pPr>
        <w:jc w:val="both"/>
        <w:ind w:right="80" w:firstLine="571"/>
        <w:spacing w:after="0" w:line="237" w:lineRule="auto"/>
        <w:rPr>
          <w:sz w:val="20"/>
          <w:szCs w:val="20"/>
          <w:color w:val="auto"/>
        </w:rPr>
      </w:pPr>
      <w:r>
        <w:rPr>
          <w:rFonts w:ascii="Arial" w:cs="Arial" w:eastAsia="Arial" w:hAnsi="Arial"/>
          <w:sz w:val="18"/>
          <w:szCs w:val="18"/>
          <w:color w:val="auto"/>
        </w:rPr>
        <w:t>The Prior Plans are administered by the compensation committee of our board of directors. Subject to the provisions of the Prior Plans, the committee determined in its discretion the persons to whom and the times at which awards were granted, the sizes of such awards, and all of their terms and conditions. All awards are evidenced by a written agreement between us and the holder of the award. The committee has the authority to construe and interpret the terms of the Prior Plans and awards granted under them.</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the event of a merger, consolidation, change in control or liquidation of our company, the committee has the authority to take any of the following actions with respect to one or more outstanding options: accelerate the vesting of outstanding options or SARs; require that awards be assumed or replaced with awards of equivalent value by the successor corporation; terminate any award immediately prior to any such transaction, provided that at least seven days written notice is provided to the option or SAR holders affording them an opportunity to exercise the options or SARs; cancel the outstanding awards in exchange for a payment in cash of the fair market value of restricted units or the excess, if any, of the fair market value of the shares subject to an option or SAR less the exercise price per share of such option or base price of such SAR; or any other action that the committee considers to be reasonable under the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9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Our 2008 Equity Incentive Plan, or the 2008 Plan, was approved by our board of directors in November 2007 and will be effective upon its approval by our stockholders, currently anticipated in February 2008.</w:t>
      </w:r>
    </w:p>
    <w:p>
      <w:pPr>
        <w:spacing w:after="0" w:line="155"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A total of shares of our common stock will be initially authorized and reserved for issuance under the 2008 Plan. This reserve will automatically increase on January 1, 2009 and each subsequent anniversary through 2017, by an amount equal to the smaller of (a) 2.5% of the number of shares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common stock issued and outstanding on the immediately preceding December 31, or (b) a lesser amount determined by the board. Appropriate adjustments will be made in the number of authorized shares and other numerical limits in the 2008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2008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2008 Plan.</w:t>
      </w:r>
    </w:p>
    <w:p>
      <w:pPr>
        <w:spacing w:after="0" w:line="155" w:lineRule="exact"/>
        <w:rPr>
          <w:sz w:val="20"/>
          <w:szCs w:val="20"/>
          <w:color w:val="auto"/>
        </w:rPr>
      </w:pPr>
    </w:p>
    <w:p>
      <w:pPr>
        <w:jc w:val="both"/>
        <w:ind w:right="20" w:firstLine="571"/>
        <w:spacing w:after="0" w:line="237" w:lineRule="auto"/>
        <w:rPr>
          <w:sz w:val="20"/>
          <w:szCs w:val="20"/>
          <w:color w:val="auto"/>
        </w:rPr>
      </w:pPr>
      <w:r>
        <w:rPr>
          <w:rFonts w:ascii="Arial" w:cs="Arial" w:eastAsia="Arial" w:hAnsi="Arial"/>
          <w:sz w:val="18"/>
          <w:szCs w:val="18"/>
          <w:color w:val="auto"/>
        </w:rPr>
        <w:t>Awards may be granted under the 2008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5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Only members of the board of directors who are not employees at the time of grant are eligible to participate in the nonemployee director awards component of the 2008 Plan. The board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55"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the event of a change in control as described in the 2008 Plan, the acquiring or successor entity may assume or continue all or any awards outstanding under the 2008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2008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Stock Purchase Plan</w:t>
      </w:r>
    </w:p>
    <w:p>
      <w:pPr>
        <w:spacing w:after="0" w:line="97"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Our 2008 Employee Stock Purchase Plan, or the Purchase Plan, was adopted by our board of directors in November 2007 and will be effective upon its approval by our stockholders, currently anticipated in February 2008.</w:t>
      </w:r>
    </w:p>
    <w:p>
      <w:pPr>
        <w:spacing w:after="0" w:line="155" w:lineRule="exact"/>
        <w:rPr>
          <w:sz w:val="20"/>
          <w:szCs w:val="20"/>
          <w:color w:val="auto"/>
        </w:rPr>
      </w:pPr>
    </w:p>
    <w:p>
      <w:pPr>
        <w:ind w:right="60" w:firstLine="571"/>
        <w:spacing w:after="0" w:line="234" w:lineRule="auto"/>
        <w:rPr>
          <w:sz w:val="20"/>
          <w:szCs w:val="20"/>
          <w:color w:val="auto"/>
        </w:rPr>
      </w:pPr>
      <w:r>
        <w:rPr>
          <w:rFonts w:ascii="Arial" w:cs="Arial" w:eastAsia="Arial" w:hAnsi="Arial"/>
          <w:sz w:val="18"/>
          <w:szCs w:val="18"/>
          <w:color w:val="auto"/>
        </w:rPr>
        <w:t>A total of shares of our common stock are initially authorized and reserved for sale under the Purchase Plan. In addition, the Purchase Plan provides for an automatic annual increase in the number of shares available for issuance under the plan on January 1 of each year</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beginning in 2009 and continuing through and including January 1, 2017 equal to the lesser of (1) one percent of our then issued and outstanding shares of common stock on the immediately preceding December 31, (2) shares or (3) a number of shares as our board may</w:t>
      </w:r>
    </w:p>
    <w:p>
      <w:pPr>
        <w:spacing w:after="0" w:line="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determine. Appropriate adjustments will be made in the number of authorized shares and in outstanding purchase rights to prevent dilution or enlargement of participants’ rights in the event of a stock split or other change in our capital structure.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Shares subject to purchase rights which expire or are canceled will again become available for issuance under the Purchase Plan.</w:t>
      </w:r>
    </w:p>
    <w:p>
      <w:pPr>
        <w:spacing w:after="0" w:line="158"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employees and employees of any parent or subsidiary corporation designated by the administrator are eligible to participate in the Purchase Plan if they are customarily employed by us for more than 20 hours per week and more than five months in any calendar year. However, an employee may not be granted a right to purchase stock under the Purchase Plan if: (1) the employee immediately after such grant would own stock possessing 5% or more of the total combined voting power or value of all classes of our capital stock or of any parent or subsidiary corporation, or (2) the employee’s rights to purchase stock under all of our employee stock purchase plans would accrue at a rate that exceeds $25,000 in value for each calendar year of participation in such plans.</w:t>
      </w:r>
    </w:p>
    <w:p>
      <w:pPr>
        <w:spacing w:after="0" w:line="156"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January, April, July, and October each year. However, the administrator may establish an offering period to commence on the effective date of the Purchase Plan that will end on June 30, 2008.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15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administrator is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maximum number of shares a participant may purchase in any three-month offering period is the lesser of (i) that number of shares</w:t>
      </w:r>
    </w:p>
    <w:p>
      <w:pPr>
        <w:spacing w:after="0" w:line="269" w:lineRule="auto"/>
        <w:rPr>
          <w:sz w:val="20"/>
          <w:szCs w:val="20"/>
          <w:color w:val="auto"/>
        </w:rPr>
      </w:pPr>
      <w:r>
        <w:rPr>
          <w:rFonts w:ascii="Arial" w:cs="Arial" w:eastAsia="Arial" w:hAnsi="Arial"/>
          <w:sz w:val="16"/>
          <w:szCs w:val="16"/>
          <w:color w:val="auto"/>
        </w:rPr>
        <w:t>determined by multiplying (x) shares by (y) the number of months (rounded to the nearest whole month) in the offering period and rounding to the nearest whole share or (ii) that number of whole shares determined by dividing (x) the product of $2,083.33 and the number of months (rounded to the nearest whole month) in the offering period and rounding to the nearest whole dollar by (y)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spacing w:after="0" w:line="133"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the Fiscal Year Ended December 31, 2006</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5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tcBorders>
              <w:top w:val="single" w:sz="8" w:color="auto"/>
            </w:tcBorders>
            <w:gridSpan w:val="2"/>
          </w:tcPr>
          <w:p>
            <w:pPr>
              <w:jc w:val="center"/>
              <w:ind w:right="780"/>
              <w:spacing w:after="0" w:line="125" w:lineRule="exact"/>
              <w:rPr>
                <w:sz w:val="20"/>
                <w:szCs w:val="20"/>
                <w:color w:val="auto"/>
              </w:rPr>
            </w:pPr>
            <w:r>
              <w:rPr>
                <w:rFonts w:ascii="Arial" w:cs="Arial" w:eastAsia="Arial" w:hAnsi="Arial"/>
                <w:sz w:val="14"/>
                <w:szCs w:val="14"/>
                <w:b w:val="1"/>
                <w:bCs w:val="1"/>
                <w:color w:val="auto"/>
                <w:w w:val="98"/>
              </w:rPr>
              <w:t>Number</w:t>
            </w: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of Shares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Realized on</w:t>
            </w:r>
          </w:p>
        </w:tc>
        <w:tc>
          <w:tcPr>
            <w:tcW w:w="0" w:type="dxa"/>
            <w:vAlign w:val="bottom"/>
          </w:tcPr>
          <w:p>
            <w:pPr>
              <w:spacing w:after="0"/>
              <w:rPr>
                <w:sz w:val="1"/>
                <w:szCs w:val="1"/>
                <w:color w:val="auto"/>
              </w:rPr>
            </w:pPr>
          </w:p>
        </w:tc>
      </w:tr>
      <w:tr>
        <w:trPr>
          <w:trHeight w:val="159"/>
        </w:trPr>
        <w:tc>
          <w:tcPr>
            <w:tcW w:w="5420" w:type="dxa"/>
            <w:vAlign w:val="bottom"/>
            <w:tcBorders>
              <w:bottom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Vesting (#)</w:t>
            </w:r>
          </w:p>
        </w:tc>
        <w:tc>
          <w:tcPr>
            <w:tcW w:w="7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 xml:space="preserve">Vesting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Robert J. Krakauer</w:t>
            </w:r>
          </w:p>
        </w:tc>
        <w:tc>
          <w:tcPr>
            <w:tcW w:w="220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170,561.75(1)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173,973(2)</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220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34,112.50(1)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34,795(2)</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Tae Young Hwang</w:t>
            </w:r>
          </w:p>
        </w:tc>
        <w:tc>
          <w:tcPr>
            <w:tcW w:w="62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 Hee Lee</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tcPr>
          <w:p>
            <w:pPr>
              <w:spacing w:after="0" w:line="149" w:lineRule="exact"/>
              <w:rPr>
                <w:sz w:val="20"/>
                <w:szCs w:val="20"/>
                <w:color w:val="auto"/>
              </w:rPr>
            </w:pPr>
            <w:r>
              <w:rPr>
                <w:rFonts w:ascii="Arial" w:cs="Arial" w:eastAsia="Arial" w:hAnsi="Arial"/>
                <w:sz w:val="14"/>
                <w:szCs w:val="14"/>
                <w:color w:val="auto"/>
              </w:rPr>
              <w:t>Jason Hartlove</w:t>
            </w:r>
          </w:p>
        </w:tc>
        <w:tc>
          <w:tcPr>
            <w:tcW w:w="62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6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46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ind w:left="580" w:right="200" w:hanging="572"/>
        <w:spacing w:after="0" w:line="221"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lapsed as to 6.25% of the initial grant on the last day of each calendar quarter of 2006.</w:t>
      </w:r>
    </w:p>
    <w:p>
      <w:pPr>
        <w:ind w:left="580" w:right="520" w:hanging="572"/>
        <w:spacing w:after="0" w:line="231"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fiscal year 2006, there was no established public trading market for our outstanding common equity. The reported value is based upon our estimate of the value of our common units as of December 31,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Number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Present</w:t>
            </w:r>
          </w:p>
        </w:tc>
        <w:tc>
          <w:tcPr>
            <w:tcW w:w="66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Years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66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of Credited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Accumulated</w:t>
            </w:r>
          </w:p>
        </w:tc>
        <w:tc>
          <w:tcPr>
            <w:tcW w:w="6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the Last</w:t>
            </w:r>
          </w:p>
        </w:tc>
        <w:tc>
          <w:tcPr>
            <w:tcW w:w="0" w:type="dxa"/>
            <w:vAlign w:val="bottom"/>
          </w:tcPr>
          <w:p>
            <w:pPr>
              <w:spacing w:after="0"/>
              <w:rPr>
                <w:sz w:val="1"/>
                <w:szCs w:val="1"/>
                <w:color w:val="auto"/>
              </w:rPr>
            </w:pPr>
          </w:p>
        </w:tc>
      </w:tr>
      <w:tr>
        <w:trPr>
          <w:trHeight w:val="159"/>
        </w:trPr>
        <w:tc>
          <w:tcPr>
            <w:tcW w:w="36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5"/>
              </w:rPr>
              <w:t>Service (#)</w:t>
            </w:r>
          </w:p>
        </w:tc>
        <w:tc>
          <w:tcPr>
            <w:tcW w:w="8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 xml:space="preserve">Benefit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 (1)</w:t>
            </w:r>
          </w:p>
        </w:tc>
        <w:tc>
          <w:tcPr>
            <w:tcW w:w="660" w:type="dxa"/>
            <w:vAlign w:val="bottom"/>
          </w:tcPr>
          <w:p>
            <w:pPr>
              <w:spacing w:after="0"/>
              <w:rPr>
                <w:sz w:val="13"/>
                <w:szCs w:val="13"/>
                <w:color w:val="auto"/>
              </w:rPr>
            </w:pPr>
          </w:p>
        </w:tc>
        <w:tc>
          <w:tcPr>
            <w:tcW w:w="740" w:type="dxa"/>
            <w:vAlign w:val="bottom"/>
            <w:gridSpan w:val="2"/>
          </w:tcPr>
          <w:p>
            <w:pPr>
              <w:jc w:val="right"/>
              <w:ind w:right="20"/>
              <w:spacing w:after="0" w:line="152" w:lineRule="exact"/>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Sang Park</w:t>
            </w:r>
          </w:p>
        </w:tc>
        <w:tc>
          <w:tcPr>
            <w:tcW w:w="660" w:type="dxa"/>
            <w:vAlign w:val="bottom"/>
            <w:shd w:val="clear" w:color="auto" w:fill="CCEEFF"/>
          </w:tcPr>
          <w:p>
            <w:pPr>
              <w:spacing w:after="0"/>
              <w:rPr>
                <w:sz w:val="12"/>
                <w:szCs w:val="12"/>
                <w:color w:val="auto"/>
              </w:rPr>
            </w:pPr>
          </w:p>
        </w:tc>
        <w:tc>
          <w:tcPr>
            <w:tcW w:w="280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6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Statutory Severance</w:t>
            </w:r>
          </w:p>
        </w:tc>
        <w:tc>
          <w:tcPr>
            <w:tcW w:w="20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56,802</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4"/>
                <w:szCs w:val="14"/>
                <w:color w:val="auto"/>
              </w:rPr>
              <w:t>Tae Young Hwang</w:t>
            </w:r>
          </w:p>
        </w:tc>
        <w:tc>
          <w:tcPr>
            <w:tcW w:w="6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5"/>
              </w:rPr>
              <w:t>Statutory Severance with Multiplier for Partial</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98"/>
              </w:rPr>
              <w:t>Period</w:t>
            </w:r>
          </w:p>
        </w:tc>
        <w:tc>
          <w:tcPr>
            <w:tcW w:w="2040" w:type="dxa"/>
            <w:vAlign w:val="bottom"/>
            <w:gridSpan w:val="3"/>
          </w:tcPr>
          <w:p>
            <w:pPr>
              <w:jc w:val="right"/>
              <w:ind w:right="660"/>
              <w:spacing w:after="0"/>
              <w:rPr>
                <w:sz w:val="20"/>
                <w:szCs w:val="20"/>
                <w:color w:val="auto"/>
              </w:rPr>
            </w:pPr>
            <w:r>
              <w:rPr>
                <w:rFonts w:ascii="Arial" w:cs="Arial" w:eastAsia="Arial" w:hAnsi="Arial"/>
                <w:sz w:val="14"/>
                <w:szCs w:val="14"/>
                <w:color w:val="auto"/>
              </w:rPr>
              <w:t>11</w:t>
            </w:r>
          </w:p>
        </w:tc>
        <w:tc>
          <w:tcPr>
            <w:tcW w:w="860" w:type="dxa"/>
            <w:vAlign w:val="bottom"/>
          </w:tcPr>
          <w:p>
            <w:pPr>
              <w:jc w:val="right"/>
              <w:spacing w:after="0"/>
              <w:rPr>
                <w:sz w:val="20"/>
                <w:szCs w:val="20"/>
                <w:color w:val="auto"/>
              </w:rPr>
            </w:pPr>
            <w:r>
              <w:rPr>
                <w:rFonts w:ascii="Arial" w:cs="Arial" w:eastAsia="Arial" w:hAnsi="Arial"/>
                <w:sz w:val="14"/>
                <w:szCs w:val="14"/>
                <w:color w:val="auto"/>
              </w:rPr>
              <w:t>372,573</w:t>
            </w:r>
          </w:p>
        </w:tc>
        <w:tc>
          <w:tcPr>
            <w:tcW w:w="6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Chan Hee Lee</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Statutory Severance with Multiplier for Partial</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Period</w:t>
            </w:r>
          </w:p>
        </w:tc>
        <w:tc>
          <w:tcPr>
            <w:tcW w:w="20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218,006</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gridSpan w:val="3"/>
          </w:tcPr>
          <w:p>
            <w:pPr>
              <w:spacing w:after="0"/>
              <w:rPr>
                <w:sz w:val="20"/>
                <w:szCs w:val="20"/>
                <w:color w:val="auto"/>
              </w:rPr>
            </w:pPr>
            <w:r>
              <w:rPr>
                <w:rFonts w:ascii="Arial" w:cs="Arial" w:eastAsia="Arial" w:hAnsi="Arial"/>
                <w:sz w:val="14"/>
                <w:szCs w:val="14"/>
                <w:color w:val="auto"/>
              </w:rPr>
              <w:t>Jason Hartlove</w:t>
            </w:r>
          </w:p>
        </w:tc>
        <w:tc>
          <w:tcPr>
            <w:tcW w:w="66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Youm Huh</w:t>
            </w:r>
          </w:p>
        </w:tc>
        <w:tc>
          <w:tcPr>
            <w:tcW w:w="660" w:type="dxa"/>
            <w:vAlign w:val="bottom"/>
            <w:shd w:val="clear" w:color="auto" w:fill="CCEEFF"/>
          </w:tcPr>
          <w:p>
            <w:pPr>
              <w:spacing w:after="0"/>
              <w:rPr>
                <w:sz w:val="12"/>
                <w:szCs w:val="12"/>
                <w:color w:val="auto"/>
              </w:rPr>
            </w:pPr>
          </w:p>
        </w:tc>
        <w:tc>
          <w:tcPr>
            <w:tcW w:w="2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Footnote:</w:t>
      </w:r>
    </w:p>
    <w:p>
      <w:pPr>
        <w:ind w:left="580" w:right="320" w:hanging="572"/>
        <w:spacing w:after="0" w:line="231"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Actual present value of the accumulated benefit, as if the employment of the named executive officer had been terminated on the last day of our fiscal year ended December 31,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 of Us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obligated to make certain payments to our named executive officers upon termination or a change of control as further described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4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i w:val="1"/>
          <w:iCs w:val="1"/>
          <w:color w:val="auto"/>
        </w:rPr>
        <w:t xml:space="preserve">Sang Park. </w:t>
      </w:r>
      <w:r>
        <w:rPr>
          <w:rFonts w:ascii="Arial" w:cs="Arial" w:eastAsia="Arial" w:hAnsi="Arial"/>
          <w:sz w:val="18"/>
          <w:szCs w:val="18"/>
          <w:color w:val="auto"/>
        </w:rPr>
        <w:t>Pursuant to his service agreement, if Mr. Park’s employment is terminated without cause or if he resigns for 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Mr. Park is entitled to receive payment of all salary and 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 Mr. Park (or his beneficiaries) will be entitled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receive payment of all salary and benefits accrued up to the date of termination and a prorated portion of the 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w:t>
      </w:r>
    </w:p>
    <w:p>
      <w:pPr>
        <w:spacing w:after="0" w:line="13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Robert Krakauer. </w:t>
      </w:r>
      <w:r>
        <w:rPr>
          <w:rFonts w:ascii="Arial" w:cs="Arial" w:eastAsia="Arial" w:hAnsi="Arial"/>
          <w:sz w:val="18"/>
          <w:szCs w:val="18"/>
          <w:color w:val="auto"/>
        </w:rPr>
        <w:t>If Mr. Krakauer’s employment is terminated without cause or if he resigns for good reason, Mr. Krakauer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his base salary for twelve months, payment of a prorated portion of the annual incentive bonus for the year in which the termination occurs, continued participation in our benefit plans for twelve months and, to the extent Mr. Krakauer’s place of employment is located outside the United States on the termination date, costs of repatriation.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 Mr. Krakauer’s employment is terminated for cause or if he resigns without good reason, he will be entitled to receive payment of all salary and benefits accrued up to the date of termination and will not be entitled to any other compensation.</w:t>
      </w:r>
    </w:p>
    <w:p>
      <w:pPr>
        <w:spacing w:after="0" w:line="141"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Victoria Miller Nam</w:t>
      </w:r>
      <w:r>
        <w:rPr>
          <w:rFonts w:ascii="Arial" w:cs="Arial" w:eastAsia="Arial" w:hAnsi="Arial"/>
          <w:sz w:val="18"/>
          <w:szCs w:val="18"/>
          <w:color w:val="auto"/>
        </w:rPr>
        <w:t>. If Ms. Miller Nam’s service is terminated without cause or if she resigns for good reason, Ms. Miller Nam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her base salary for six months, payment of the annual incentive bonus in a prorated amount based on the number of days she was actually employed by us, continued participation in our benefit plans for six months, each of the foregoing net of any statutory severance accrued and payable,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All severance payable pursuant to Ms. Miller Nam’s service agreement will be offset by any accrued statutory severance.</w:t>
      </w:r>
    </w:p>
    <w:p>
      <w:pPr>
        <w:spacing w:after="0" w:line="144" w:lineRule="exact"/>
        <w:rPr>
          <w:sz w:val="20"/>
          <w:szCs w:val="20"/>
          <w:color w:val="auto"/>
        </w:rPr>
      </w:pPr>
    </w:p>
    <w:p>
      <w:pPr>
        <w:ind w:right="40" w:firstLine="571"/>
        <w:spacing w:after="0" w:line="293" w:lineRule="auto"/>
        <w:rPr>
          <w:sz w:val="20"/>
          <w:szCs w:val="20"/>
          <w:color w:val="auto"/>
        </w:rPr>
      </w:pPr>
      <w:r>
        <w:rPr>
          <w:rFonts w:ascii="Arial" w:cs="Arial" w:eastAsia="Arial" w:hAnsi="Arial"/>
          <w:sz w:val="16"/>
          <w:szCs w:val="16"/>
          <w:i w:val="1"/>
          <w:iCs w:val="1"/>
          <w:color w:val="auto"/>
        </w:rPr>
        <w:t xml:space="preserve">Chan Hee Lee. </w:t>
      </w:r>
      <w:r>
        <w:rPr>
          <w:rFonts w:ascii="Arial" w:cs="Arial" w:eastAsia="Arial" w:hAnsi="Arial"/>
          <w:sz w:val="16"/>
          <w:szCs w:val="16"/>
          <w:color w:val="auto"/>
        </w:rPr>
        <w:t>Upon termination of Mr. Lee’s employment for any reason, Mr. Lee is entitled to receive payment of all salary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up to the date of termination and a severance payment calculated as follows: statutory severance multiplied by three for service from the Original Acquisition date to September 20, 2006, plus statutory severance with no multiplier for service after September 20, 2006.</w:t>
      </w:r>
    </w:p>
    <w:p>
      <w:pPr>
        <w:spacing w:after="0" w:line="96" w:lineRule="exact"/>
        <w:rPr>
          <w:sz w:val="20"/>
          <w:szCs w:val="20"/>
          <w:color w:val="auto"/>
        </w:rPr>
      </w:pPr>
    </w:p>
    <w:p>
      <w:pPr>
        <w:ind w:right="60" w:firstLine="571"/>
        <w:spacing w:after="0" w:line="293" w:lineRule="auto"/>
        <w:rPr>
          <w:sz w:val="20"/>
          <w:szCs w:val="20"/>
          <w:color w:val="auto"/>
        </w:rPr>
      </w:pPr>
      <w:r>
        <w:rPr>
          <w:rFonts w:ascii="Arial" w:cs="Arial" w:eastAsia="Arial" w:hAnsi="Arial"/>
          <w:sz w:val="16"/>
          <w:szCs w:val="16"/>
          <w:i w:val="1"/>
          <w:iCs w:val="1"/>
          <w:color w:val="auto"/>
        </w:rPr>
        <w:t xml:space="preserve">Tae Young Hwang. </w:t>
      </w:r>
      <w:r>
        <w:rPr>
          <w:rFonts w:ascii="Arial" w:cs="Arial" w:eastAsia="Arial" w:hAnsi="Arial"/>
          <w:sz w:val="16"/>
          <w:szCs w:val="16"/>
          <w:color w:val="auto"/>
        </w:rPr>
        <w:t>Upon termination of Mr. Hwang’s employment for any reason, Mr. Hwang is entitled to receive payment of all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benefits accrued up to the date of termination and a severance payment calculated as follows: statutory severance multiplied by three for service from the Original Acquisition date to September 20, 2006, plus statutory severance with no multiplier for service after September 20, 2006.</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the Fiscal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Fees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Earned</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or Paid</w:t>
            </w: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Option</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All Other</w:t>
            </w: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8"/>
              </w:rPr>
              <w:t>in Cash</w:t>
            </w:r>
          </w:p>
        </w:tc>
        <w:tc>
          <w:tcPr>
            <w:tcW w:w="116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4"/>
              </w:rPr>
              <w:t>Awards</w:t>
            </w:r>
          </w:p>
        </w:tc>
        <w:tc>
          <w:tcPr>
            <w:tcW w:w="1620" w:type="dxa"/>
            <w:vAlign w:val="bottom"/>
            <w:gridSpan w:val="2"/>
          </w:tcPr>
          <w:p>
            <w:pPr>
              <w:jc w:val="center"/>
              <w:ind w:right="6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left="45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 (1)</w:t>
            </w: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Jerry M. Baker</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4"/>
              </w:rPr>
              <w:t>110,000(2)</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20,956(3)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130,956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Dipanjan Deb</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Armando Geday</w:t>
            </w:r>
          </w:p>
        </w:tc>
        <w:tc>
          <w:tcPr>
            <w:tcW w:w="16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50,000</w:t>
            </w: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18,373(4)</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Roy Kuan</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 Douglas Norby</w:t>
            </w:r>
          </w:p>
        </w:tc>
        <w:tc>
          <w:tcPr>
            <w:tcW w:w="16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32,849</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Phokion Potamianos</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Paul C. Schorr IV</w:t>
            </w: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Arial" w:cs="Arial" w:eastAsia="Arial" w:hAnsi="Arial"/>
                <w:sz w:val="14"/>
                <w:szCs w:val="14"/>
                <w:color w:val="auto"/>
              </w:rPr>
              <w:t>David F. Thomas</w:t>
            </w:r>
          </w:p>
        </w:tc>
        <w:tc>
          <w:tcPr>
            <w:tcW w:w="5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4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describe the option award calculation method under SFAS No. 123(R) in “Note 13. Equity Incentive Plan” to the MagnaChip Semiconductor LLC audited consolidated financial statements for the years ended December 31, 2006, 2005 and 2004.</w:t>
      </w:r>
    </w:p>
    <w:p>
      <w:pPr>
        <w:ind w:left="3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$60,000 for consulting fees pursuant to a consulting arrangement effective January 1, 2006.</w:t>
      </w:r>
    </w:p>
    <w:p>
      <w:pPr>
        <w:ind w:left="340" w:hanging="332"/>
        <w:spacing w:after="0" w:line="221"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$19,115 for medical and accident insurance premiums and $1,841 for life insurance premiums.</w:t>
      </w: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grant date fair value of Mr. Geday’s option award is $55,253.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 Regarding Director Compensation Table</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Effective January 2006, our board of directors began providing director fees to non-employee directors who do not have a current or past affiliation with Court Square, Francisco Partners, or CVC Asia Pacific. Jerry Baker and Armando Geday each receive $50,000 annually for service on our board of directors. R. Douglas Norby became our director on May 27, 2006. He receives board fees of $55,000 per year for his service as a director and Chairman of our Audit Committee. In addition to director fees, effective January 19, 2006, Armando Geday received options to acquire 175,000 of the common units of MagnaChip Semiconductor LLC at a purchase price of $1.04 per unit pursuant to the MagnaChip Semiconductor LLC Equity Incentive Plan. An installment of 25% of the options became exercisable on January 19, 2007, and additional installments of 6.25% of the total amount become exercisable on the last day of each calendar quarter thereafter. The options expire on the tenth anniversary of the grant date.</w:t>
      </w:r>
    </w:p>
    <w:p>
      <w:pPr>
        <w:spacing w:after="0" w:line="154" w:lineRule="exact"/>
        <w:rPr>
          <w:sz w:val="20"/>
          <w:szCs w:val="20"/>
          <w:color w:val="auto"/>
        </w:rPr>
      </w:pPr>
    </w:p>
    <w:p>
      <w:pPr>
        <w:ind w:right="440" w:firstLine="571"/>
        <w:spacing w:after="0" w:line="237" w:lineRule="auto"/>
        <w:rPr>
          <w:sz w:val="20"/>
          <w:szCs w:val="20"/>
          <w:color w:val="auto"/>
        </w:rPr>
      </w:pPr>
      <w:r>
        <w:rPr>
          <w:rFonts w:ascii="Arial" w:cs="Arial" w:eastAsia="Arial" w:hAnsi="Arial"/>
          <w:sz w:val="18"/>
          <w:szCs w:val="18"/>
          <w:color w:val="auto"/>
        </w:rPr>
        <w:t>Mr. Baker served as our consultant under a consulting agreement effective January 1, 2006, by and between MagnaChip Korea and Mr. Baker. Under our agreement with Mr. Baker, we paid him $60,000 per year as fees for advisory services regarding business development, marketing, executive recruiting and strategic direction for our products and technology, which services we viewed to be in addition to his responsibilities as a director. The consulting agreement was terminated by us effective as of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120" w:firstLine="571"/>
        <w:spacing w:after="0" w:line="275" w:lineRule="auto"/>
        <w:rPr>
          <w:sz w:val="20"/>
          <w:szCs w:val="20"/>
          <w:color w:val="auto"/>
        </w:rPr>
      </w:pPr>
      <w:r>
        <w:rPr>
          <w:rFonts w:ascii="Arial" w:cs="Arial" w:eastAsia="Arial" w:hAnsi="Arial"/>
          <w:sz w:val="16"/>
          <w:szCs w:val="16"/>
          <w:color w:val="auto"/>
        </w:rPr>
        <w:t>The Committee is comprised of directors Dipanjan Deb, Paul C. Schorr IV, and David Thomas, none of whom has been an officer or employee of our company during the last fiscal year. Prior to the Original Acquisition, both Mr. Deb and Mr. Schorr served as officers of our company. None of our executive officers currently serves, or in the past has served, on the Committee or as a member of the board of directors or compensation committee of any entity that has one or more executive officers serving on the board or compensation committee of MagnaChip.</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AND SELLING STOCKHOLDERS</w:t>
      </w:r>
    </w:p>
    <w:p>
      <w:pPr>
        <w:spacing w:after="0" w:line="18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each of the following persons based on the outstanding common units of MagnaChip Semiconductor LLC as of September 30, 2007 as adjusted to reflect the corporate reorganization and the repurchase of all of the shares of our Series B preferred stock:</w:t>
      </w:r>
    </w:p>
    <w:p>
      <w:pPr>
        <w:spacing w:after="0" w:line="73" w:lineRule="exact"/>
        <w:rPr>
          <w:sz w:val="20"/>
          <w:szCs w:val="20"/>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or entity known to us to beneficially own more than 5% of the common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member of our board of directors;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the members of our board of directors and executive officers, as a group;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ind w:right="240" w:firstLine="571"/>
        <w:spacing w:after="0" w:line="264" w:lineRule="auto"/>
        <w:rPr>
          <w:sz w:val="20"/>
          <w:szCs w:val="20"/>
          <w:color w:val="auto"/>
        </w:rPr>
      </w:pPr>
      <w:r>
        <w:rPr>
          <w:rFonts w:ascii="Arial" w:cs="Arial" w:eastAsia="Arial" w:hAnsi="Arial"/>
          <w:sz w:val="16"/>
          <w:szCs w:val="16"/>
          <w:color w:val="auto"/>
        </w:rPr>
        <w:t>As of September 30, 2007, MagnaChip Semiconductor LLC’s outstanding securities consisted of 52,831,722 common units and 93,997 Series B preferred units and, after giving pro forma effect to the corporate reorganization and the repurchase of all of the shares of our Series B</w:t>
      </w:r>
    </w:p>
    <w:p>
      <w:pPr>
        <w:spacing w:after="0"/>
        <w:tabs>
          <w:tab w:leader="none" w:pos="4600" w:val="left"/>
        </w:tabs>
        <w:rPr>
          <w:sz w:val="20"/>
          <w:szCs w:val="20"/>
          <w:color w:val="auto"/>
        </w:rPr>
      </w:pPr>
      <w:r>
        <w:rPr>
          <w:rFonts w:ascii="Arial" w:cs="Arial" w:eastAsia="Arial" w:hAnsi="Arial"/>
          <w:sz w:val="18"/>
          <w:szCs w:val="18"/>
          <w:color w:val="auto"/>
        </w:rPr>
        <w:t>preferred stock, we would have had outstanding</w:t>
      </w:r>
      <w:r>
        <w:rPr>
          <w:sz w:val="20"/>
          <w:szCs w:val="20"/>
          <w:color w:val="auto"/>
        </w:rPr>
        <w:tab/>
      </w:r>
      <w:r>
        <w:rPr>
          <w:rFonts w:ascii="Arial" w:cs="Arial" w:eastAsia="Arial" w:hAnsi="Arial"/>
          <w:sz w:val="16"/>
          <w:szCs w:val="16"/>
          <w:color w:val="auto"/>
        </w:rPr>
        <w:t>shares of common stock and no shares of preferred stock.</w:t>
      </w:r>
    </w:p>
    <w:p>
      <w:pPr>
        <w:spacing w:after="0" w:line="158"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0359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(2)(4)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(2)(5)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(2)(6)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(2)(7)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(2)(8)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(2)(9)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(2)(10)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(2)(11)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(2)(12)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(2)(13)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Jerry M. Baker</w:t>
      </w:r>
      <w:r>
        <w:rPr>
          <w:rFonts w:ascii="Arial" w:cs="Arial" w:eastAsia="Arial" w:hAnsi="Arial"/>
          <w:sz w:val="22"/>
          <w:szCs w:val="22"/>
          <w:color w:val="auto"/>
          <w:vertAlign w:val="superscript"/>
        </w:rPr>
        <w:t>(14)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Armando Geday</w:t>
      </w:r>
      <w:r>
        <w:rPr>
          <w:rFonts w:ascii="Arial" w:cs="Arial" w:eastAsia="Arial" w:hAnsi="Arial"/>
          <w:sz w:val="22"/>
          <w:szCs w:val="22"/>
          <w:color w:val="auto"/>
          <w:vertAlign w:val="superscript"/>
        </w:rPr>
        <w:t>(16)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Tae Young Hwang</w:t>
      </w:r>
      <w:r>
        <w:rPr>
          <w:rFonts w:ascii="Arial" w:cs="Arial" w:eastAsia="Arial" w:hAnsi="Arial"/>
          <w:sz w:val="22"/>
          <w:szCs w:val="22"/>
          <w:color w:val="auto"/>
          <w:vertAlign w:val="superscript"/>
        </w:rPr>
        <w:t>(17)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Robert J. Krakauer</w:t>
      </w:r>
      <w:r>
        <w:rPr>
          <w:rFonts w:ascii="Arial" w:cs="Arial" w:eastAsia="Arial" w:hAnsi="Arial"/>
          <w:sz w:val="22"/>
          <w:szCs w:val="22"/>
          <w:color w:val="auto"/>
          <w:vertAlign w:val="superscript"/>
        </w:rPr>
        <w:t>(18)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Roy Kuan</w:t>
      </w:r>
      <w:r>
        <w:rPr>
          <w:rFonts w:ascii="Arial" w:cs="Arial" w:eastAsia="Arial" w:hAnsi="Arial"/>
          <w:sz w:val="22"/>
          <w:szCs w:val="22"/>
          <w:color w:val="auto"/>
          <w:vertAlign w:val="superscript"/>
        </w:rPr>
        <w:t>(19)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Chan Hee Lee</w:t>
      </w:r>
      <w:r>
        <w:rPr>
          <w:rFonts w:ascii="Arial" w:cs="Arial" w:eastAsia="Arial" w:hAnsi="Arial"/>
          <w:sz w:val="22"/>
          <w:szCs w:val="22"/>
          <w:color w:val="auto"/>
          <w:vertAlign w:val="superscript"/>
        </w:rPr>
        <w:t>(20)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(21)</w:t>
      </w:r>
    </w:p>
    <w:p>
      <w:pPr>
        <w:spacing w:after="0"/>
        <w:rPr>
          <w:sz w:val="20"/>
          <w:szCs w:val="20"/>
          <w:color w:val="auto"/>
        </w:rPr>
      </w:pPr>
      <w:r>
        <w:rPr>
          <w:rFonts w:ascii="Arial" w:cs="Arial" w:eastAsia="Arial" w:hAnsi="Arial"/>
          <w:sz w:val="14"/>
          <w:szCs w:val="14"/>
          <w:color w:val="auto"/>
        </w:rPr>
        <w:t>R. Douglas Norby</w:t>
      </w:r>
      <w:r>
        <w:rPr>
          <w:rFonts w:ascii="Arial" w:cs="Arial" w:eastAsia="Arial" w:hAnsi="Arial"/>
          <w:sz w:val="22"/>
          <w:szCs w:val="22"/>
          <w:color w:val="auto"/>
          <w:vertAlign w:val="superscript"/>
        </w:rPr>
        <w:t>(22)</w:t>
      </w:r>
    </w:p>
    <w:p>
      <w:pPr>
        <w:spacing w:after="0"/>
        <w:rPr>
          <w:sz w:val="20"/>
          <w:szCs w:val="20"/>
          <w:color w:val="auto"/>
        </w:rPr>
      </w:pPr>
      <w:r>
        <w:rPr>
          <w:rFonts w:ascii="Arial" w:cs="Arial" w:eastAsia="Arial" w:hAnsi="Arial"/>
          <w:sz w:val="14"/>
          <w:szCs w:val="14"/>
          <w:color w:val="auto"/>
        </w:rPr>
        <w:t>Sang Park</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Phokion Potamianos</w:t>
      </w:r>
      <w:r>
        <w:rPr>
          <w:rFonts w:ascii="Arial" w:cs="Arial" w:eastAsia="Arial" w:hAnsi="Arial"/>
          <w:sz w:val="22"/>
          <w:szCs w:val="22"/>
          <w:color w:val="auto"/>
          <w:vertAlign w:val="superscript"/>
        </w:rPr>
        <w:t>(15)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Paul C. Schorr IV</w:t>
      </w:r>
      <w:r>
        <w:rPr>
          <w:rFonts w:ascii="Arial" w:cs="Arial" w:eastAsia="Arial" w:hAnsi="Arial"/>
          <w:sz w:val="22"/>
          <w:szCs w:val="22"/>
          <w:color w:val="auto"/>
          <w:vertAlign w:val="superscript"/>
        </w:rPr>
        <w:t>(23)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David F. Thomas</w:t>
      </w:r>
      <w:r>
        <w:rPr>
          <w:rFonts w:ascii="Arial" w:cs="Arial" w:eastAsia="Arial" w:hAnsi="Arial"/>
          <w:sz w:val="22"/>
          <w:szCs w:val="22"/>
          <w:color w:val="auto"/>
          <w:vertAlign w:val="superscript"/>
        </w:rPr>
        <w:t>(24)</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Baker Family Revocable Trust [c/o Jerry &amp; Paula Baker, Trustees]</w:t>
      </w:r>
      <w:r>
        <w:rPr>
          <w:rFonts w:ascii="Arial" w:cs="Arial" w:eastAsia="Arial" w:hAnsi="Arial"/>
          <w:sz w:val="21"/>
          <w:szCs w:val="21"/>
          <w:color w:val="auto"/>
          <w:vertAlign w:val="superscript"/>
        </w:rPr>
        <w:t>(25)</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Robert &amp; Theresa Krakauer JTWROS</w:t>
      </w:r>
      <w:r>
        <w:rPr>
          <w:rFonts w:ascii="Arial" w:cs="Arial" w:eastAsia="Arial" w:hAnsi="Arial"/>
          <w:sz w:val="22"/>
          <w:szCs w:val="22"/>
          <w:color w:val="auto"/>
          <w:vertAlign w:val="superscript"/>
        </w:rPr>
        <w:t>(26)</w:t>
      </w:r>
    </w:p>
    <w:p>
      <w:pPr>
        <w:spacing w:after="0"/>
        <w:rPr>
          <w:sz w:val="20"/>
          <w:szCs w:val="20"/>
          <w:color w:val="auto"/>
        </w:rPr>
      </w:pPr>
      <w:r>
        <w:rPr>
          <w:rFonts w:ascii="Arial" w:cs="Arial" w:eastAsia="Arial" w:hAnsi="Arial"/>
          <w:sz w:val="14"/>
          <w:szCs w:val="14"/>
          <w:color w:val="auto"/>
        </w:rPr>
        <w:t>Krakauer Family Partnership [c/o Robert &amp; Theresa Krakauer]</w:t>
      </w:r>
      <w:r>
        <w:rPr>
          <w:rFonts w:ascii="Arial" w:cs="Arial" w:eastAsia="Arial" w:hAnsi="Arial"/>
          <w:sz w:val="22"/>
          <w:szCs w:val="22"/>
          <w:color w:val="auto"/>
          <w:vertAlign w:val="superscript"/>
        </w:rPr>
        <w:t>(26)</w:t>
      </w:r>
    </w:p>
    <w:p>
      <w:pPr>
        <w:spacing w:after="0"/>
        <w:rPr>
          <w:sz w:val="20"/>
          <w:szCs w:val="20"/>
          <w:color w:val="auto"/>
        </w:rPr>
      </w:pPr>
      <w:r>
        <w:rPr>
          <w:rFonts w:ascii="Arial" w:cs="Arial" w:eastAsia="Arial" w:hAnsi="Arial"/>
          <w:sz w:val="14"/>
          <w:szCs w:val="14"/>
          <w:b w:val="1"/>
          <w:bCs w:val="1"/>
          <w:color w:val="auto"/>
        </w:rPr>
        <w:t>Directors and executive officers as a group (16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r>
      <w:tr>
        <w:trPr>
          <w:trHeight w:val="152"/>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3"/>
                <w:szCs w:val="13"/>
                <w:color w:val="auto"/>
              </w:rPr>
            </w:pPr>
          </w:p>
        </w:tc>
        <w:tc>
          <w:tcPr>
            <w:tcW w:w="160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7"/>
              </w:rPr>
              <w:t>Common Stock</w:t>
            </w:r>
          </w:p>
        </w:tc>
      </w:tr>
      <w:tr>
        <w:trPr>
          <w:trHeight w:val="149"/>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Following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Offering Assuming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to be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Offering Assuming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No Exercise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Sold upon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Exercise of</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Exercise of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r>
      <w:tr>
        <w:trPr>
          <w:trHeight w:val="162"/>
        </w:trPr>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42"/>
        </w:trPr>
        <w:tc>
          <w:tcPr>
            <w:tcW w:w="6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43180</wp:posOffset>
            </wp:positionV>
            <wp:extent cx="724662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368935</wp:posOffset>
            </wp:positionV>
            <wp:extent cx="72466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694690</wp:posOffset>
            </wp:positionV>
            <wp:extent cx="72466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1020445</wp:posOffset>
            </wp:positionV>
            <wp:extent cx="724662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1346200</wp:posOffset>
            </wp:positionV>
            <wp:extent cx="724662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1672590</wp:posOffset>
            </wp:positionV>
            <wp:extent cx="724662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1998345</wp:posOffset>
            </wp:positionV>
            <wp:extent cx="724662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2324100</wp:posOffset>
            </wp:positionV>
            <wp:extent cx="724662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2649855</wp:posOffset>
            </wp:positionV>
            <wp:extent cx="724662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2975610</wp:posOffset>
            </wp:positionV>
            <wp:extent cx="724662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3302000</wp:posOffset>
            </wp:positionV>
            <wp:extent cx="724662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3601720</wp:posOffset>
            </wp:positionV>
            <wp:extent cx="724662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3927475</wp:posOffset>
            </wp:positionV>
            <wp:extent cx="724662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4253865</wp:posOffset>
            </wp:positionV>
            <wp:extent cx="724662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4579620</wp:posOffset>
            </wp:positionV>
            <wp:extent cx="7246620" cy="94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101</w:t>
      </w:r>
    </w:p>
    <w:p>
      <w:pPr>
        <w:sectPr>
          <w:pgSz w:w="11900" w:h="16838" w:orient="portrait"/>
          <w:cols w:equalWidth="0" w:num="2">
            <w:col w:w="4280" w:space="720"/>
            <w:col w:w="6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80" w:right="80" w:hanging="572"/>
        <w:spacing w:after="0" w:line="281" w:lineRule="auto"/>
        <w:tabs>
          <w:tab w:leader="none" w:pos="5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Citigroup Venture Capital Equity Partners, L.P. purchased the securities in the ordinary course of business, and at the time of purchase, it had no agreements or understandings, directly or indirectly, with any</w:t>
      </w:r>
    </w:p>
    <w:p>
      <w:pPr>
        <w:spacing w:after="0" w:line="1" w:lineRule="exact"/>
        <w:rPr>
          <w:sz w:val="20"/>
          <w:szCs w:val="20"/>
          <w:color w:val="auto"/>
        </w:rPr>
      </w:pPr>
    </w:p>
    <w:p>
      <w:pPr>
        <w:jc w:val="right"/>
        <w:ind w:left="580" w:right="20"/>
        <w:spacing w:after="0" w:line="299" w:lineRule="auto"/>
        <w:rPr>
          <w:sz w:val="20"/>
          <w:szCs w:val="20"/>
          <w:color w:val="auto"/>
        </w:rPr>
      </w:pPr>
      <w:r>
        <w:rPr>
          <w:rFonts w:ascii="Arial" w:cs="Arial" w:eastAsia="Arial" w:hAnsi="Arial"/>
          <w:sz w:val="12"/>
          <w:szCs w:val="12"/>
          <w:color w:val="auto"/>
        </w:rPr>
        <w:t>person to distribute them. Citigroup Venture Capital Equity Partners, L.P. may be deemed to beneficially own        shares of common stock held by CVC Executive Fund LLC and shares of common stock held by CVC/SSB Employee Fund, L.P. The address of Citigroup Venture Capital Equity Partners, L.P. is c/o Court Square Capital Partners, 55 East</w:t>
      </w:r>
    </w:p>
    <w:p>
      <w:pPr>
        <w:ind w:left="580"/>
        <w:spacing w:after="0" w:line="186" w:lineRule="auto"/>
        <w:rPr>
          <w:sz w:val="20"/>
          <w:szCs w:val="20"/>
          <w:color w:val="auto"/>
        </w:rPr>
      </w:pPr>
      <w:r>
        <w:rPr>
          <w:rFonts w:ascii="Arial" w:cs="Arial" w:eastAsia="Arial" w:hAnsi="Arial"/>
          <w:sz w:val="14"/>
          <w:szCs w:val="14"/>
          <w:color w:val="auto"/>
        </w:rPr>
        <w:t>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ind w:left="580" w:hanging="572"/>
        <w:spacing w:after="0" w:line="258" w:lineRule="auto"/>
        <w:tabs>
          <w:tab w:leader="none" w:pos="5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As a result of the voting agreement among our sponsors and Peninsula Investments Pte. Ltd. set forth in our securityholders’ agreement, each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and</w:t>
      </w: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4600" w:type="dxa"/>
            <w:vAlign w:val="bottom"/>
          </w:tcPr>
          <w:p>
            <w:pPr>
              <w:ind w:left="200"/>
              <w:spacing w:after="0" w:line="149" w:lineRule="exact"/>
              <w:rPr>
                <w:sz w:val="20"/>
                <w:szCs w:val="20"/>
                <w:color w:val="auto"/>
              </w:rPr>
            </w:pPr>
            <w:r>
              <w:rPr>
                <w:rFonts w:ascii="Arial" w:cs="Arial" w:eastAsia="Arial" w:hAnsi="Arial"/>
                <w:sz w:val="14"/>
                <w:szCs w:val="14"/>
                <w:color w:val="auto"/>
              </w:rPr>
              <w:t>Peninsula Investment Pte. Ltd. may be deemed to beneficially own the</w:t>
            </w:r>
          </w:p>
        </w:tc>
        <w:tc>
          <w:tcPr>
            <w:tcW w:w="63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shares of common stock beneficially owned collectively by these persons but each such entity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disclaims such beneficial ownership resulting from such voting agreement. These shares represent</w:t>
            </w:r>
          </w:p>
        </w:tc>
        <w:tc>
          <w:tcPr>
            <w:tcW w:w="46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 of the total number of shares of common stock outstanding as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6"/>
              </w:rPr>
              <w:t>September 30, 2007. As a result of certain provisions of the securityholders’ agreement, including the ability of Court Square and Francisco Partners to cause each stockholder party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to our securityholders’ agreement to transfer their securities under certain circumstances, each of Citigroup Venture Capital Equity Partners, L.P., CVC Executive Fund LLC,</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7"/>
              </w:rPr>
              <w:t>CVC/SSB Employee Fund, L.P., Francisco Partners, L.P., Francisco Partners Fund A, L.P., FP-MagnaChip Co-Invest, LLC and FP Annual Fund Investors, LLC may be deemed to</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8"/>
              </w:rPr>
              <w:t>beneficially own all of our securities beneficially owned by all of the stockholders party to our securityholders’ agreement but each such entity disclaims such beneficial ownership</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(3)</w:t>
            </w:r>
          </w:p>
        </w:tc>
        <w:tc>
          <w:tcPr>
            <w:tcW w:w="4600" w:type="dxa"/>
            <w:vAlign w:val="bottom"/>
          </w:tcPr>
          <w:p>
            <w:pPr>
              <w:ind w:left="200"/>
              <w:spacing w:after="0" w:line="123" w:lineRule="exact"/>
              <w:rPr>
                <w:sz w:val="20"/>
                <w:szCs w:val="20"/>
                <w:color w:val="auto"/>
              </w:rPr>
            </w:pPr>
            <w:r>
              <w:rPr>
                <w:rFonts w:ascii="Arial" w:cs="Arial" w:eastAsia="Arial" w:hAnsi="Arial"/>
                <w:sz w:val="14"/>
                <w:szCs w:val="14"/>
                <w:color w:val="auto"/>
              </w:rPr>
              <w:t>resulting from such arrangement.</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980" w:type="dxa"/>
            <w:vAlign w:val="bottom"/>
            <w:gridSpan w:val="5"/>
          </w:tcPr>
          <w:p>
            <w:pPr>
              <w:ind w:left="200"/>
              <w:spacing w:after="0" w:line="148" w:lineRule="exact"/>
              <w:rPr>
                <w:sz w:val="20"/>
                <w:szCs w:val="20"/>
                <w:color w:val="auto"/>
              </w:rPr>
            </w:pPr>
            <w:r>
              <w:rPr>
                <w:rFonts w:ascii="Arial" w:cs="Arial" w:eastAsia="Arial" w:hAnsi="Arial"/>
                <w:sz w:val="14"/>
                <w:szCs w:val="14"/>
                <w:color w:val="auto"/>
                <w:w w:val="97"/>
              </w:rPr>
              <w:t>Voting and investment power belongs to an investment committee whose members include managing partners of Court Square (including Mr. Thomas). The voting and investment</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8"/>
              </w:rPr>
              <w:t>power belongs to the committee and not to any individual member. Each of the committee members disclaims beneficial ownership of these securities. CVC Executive Fund LLC</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purchased the securities in the ordinary course of business, and at the time of purchase, it had no agreements or understandings, directly or indirectly, with any person to distribute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600" w:type="dxa"/>
            <w:vAlign w:val="bottom"/>
          </w:tcPr>
          <w:p>
            <w:pPr>
              <w:ind w:left="200"/>
              <w:spacing w:after="0"/>
              <w:rPr>
                <w:sz w:val="20"/>
                <w:szCs w:val="20"/>
                <w:color w:val="auto"/>
              </w:rPr>
            </w:pPr>
            <w:r>
              <w:rPr>
                <w:rFonts w:ascii="Arial" w:cs="Arial" w:eastAsia="Arial" w:hAnsi="Arial"/>
                <w:sz w:val="14"/>
                <w:szCs w:val="14"/>
                <w:color w:val="auto"/>
              </w:rPr>
              <w:t>them. CVC Executive Fund LLC may be deemed to beneficially own</w:t>
            </w:r>
          </w:p>
        </w:tc>
        <w:tc>
          <w:tcPr>
            <w:tcW w:w="5440" w:type="dxa"/>
            <w:vAlign w:val="bottom"/>
            <w:gridSpan w:val="3"/>
          </w:tcPr>
          <w:p>
            <w:pPr>
              <w:ind w:left="180"/>
              <w:spacing w:after="0"/>
              <w:rPr>
                <w:sz w:val="20"/>
                <w:szCs w:val="20"/>
                <w:color w:val="auto"/>
              </w:rPr>
            </w:pPr>
            <w:r>
              <w:rPr>
                <w:rFonts w:ascii="Arial" w:cs="Arial" w:eastAsia="Arial" w:hAnsi="Arial"/>
                <w:sz w:val="14"/>
                <w:szCs w:val="14"/>
                <w:color w:val="auto"/>
              </w:rPr>
              <w:t>shares of common stock held by Citigroup Venture Capital Equity Partners, L.P. and</w:t>
            </w:r>
          </w:p>
        </w:tc>
        <w:tc>
          <w:tcPr>
            <w:tcW w:w="940" w:type="dxa"/>
            <w:vAlign w:val="bottom"/>
          </w:tcPr>
          <w:p>
            <w:pPr>
              <w:ind w:left="26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980" w:type="dxa"/>
            <w:vAlign w:val="bottom"/>
            <w:gridSpan w:val="5"/>
          </w:tcPr>
          <w:p>
            <w:pPr>
              <w:ind w:left="200"/>
              <w:spacing w:after="0" w:line="216" w:lineRule="exact"/>
              <w:rPr>
                <w:sz w:val="20"/>
                <w:szCs w:val="20"/>
                <w:color w:val="auto"/>
              </w:rPr>
            </w:pPr>
            <w:r>
              <w:rPr>
                <w:rFonts w:ascii="Arial" w:cs="Arial" w:eastAsia="Arial" w:hAnsi="Arial"/>
                <w:sz w:val="14"/>
                <w:szCs w:val="14"/>
                <w:color w:val="auto"/>
                <w:w w:val="95"/>
              </w:rPr>
              <w:t>common stock held by CVC/SSB Employee Fund, L.P. The address of CVC Executive Fund LLC is c/o Court Square Capital Partners, 55 East 52</w:t>
            </w:r>
            <w:r>
              <w:rPr>
                <w:rFonts w:ascii="Arial" w:cs="Arial" w:eastAsia="Arial" w:hAnsi="Arial"/>
                <w:sz w:val="22"/>
                <w:szCs w:val="22"/>
                <w:color w:val="auto"/>
                <w:w w:val="95"/>
                <w:vertAlign w:val="superscript"/>
              </w:rPr>
              <w:t>nd</w:t>
            </w:r>
            <w:r>
              <w:rPr>
                <w:rFonts w:ascii="Arial" w:cs="Arial" w:eastAsia="Arial" w:hAnsi="Arial"/>
                <w:sz w:val="14"/>
                <w:szCs w:val="14"/>
                <w:color w:val="auto"/>
                <w:w w:val="95"/>
              </w:rPr>
              <w:t xml:space="preserve"> Street, 34</w:t>
            </w:r>
            <w:r>
              <w:rPr>
                <w:rFonts w:ascii="Arial" w:cs="Arial" w:eastAsia="Arial" w:hAnsi="Arial"/>
                <w:sz w:val="22"/>
                <w:szCs w:val="22"/>
                <w:color w:val="auto"/>
                <w:w w:val="95"/>
                <w:vertAlign w:val="superscript"/>
              </w:rPr>
              <w:t>th</w:t>
            </w:r>
            <w:r>
              <w:rPr>
                <w:rFonts w:ascii="Arial" w:cs="Arial" w:eastAsia="Arial" w:hAnsi="Arial"/>
                <w:sz w:val="14"/>
                <w:szCs w:val="14"/>
                <w:color w:val="auto"/>
                <w:w w:val="95"/>
              </w:rPr>
              <w:t xml:space="preserve"> Floor, New York, NY</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(4)</w:t>
            </w:r>
          </w:p>
        </w:tc>
        <w:tc>
          <w:tcPr>
            <w:tcW w:w="4600" w:type="dxa"/>
            <w:vAlign w:val="bottom"/>
          </w:tcPr>
          <w:p>
            <w:pPr>
              <w:ind w:left="200"/>
              <w:spacing w:after="0" w:line="123" w:lineRule="exact"/>
              <w:rPr>
                <w:sz w:val="20"/>
                <w:szCs w:val="20"/>
                <w:color w:val="auto"/>
              </w:rPr>
            </w:pPr>
            <w:r>
              <w:rPr>
                <w:rFonts w:ascii="Arial" w:cs="Arial" w:eastAsia="Arial" w:hAnsi="Arial"/>
                <w:sz w:val="14"/>
                <w:szCs w:val="14"/>
                <w:color w:val="auto"/>
              </w:rPr>
              <w:t>10055.</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 w:type="dxa"/>
            <w:vAlign w:val="bottom"/>
            <w:vMerge w:val="continue"/>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Voting and investment power belongs to an investment committee whose members include managing partners of Court Square (including Mr. Thomas). The voting and investment</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power belongs to the committee and not to any individual member. Each of the committee members disclaims beneficial ownership of these securities. CVC/SSB Employee Fund,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rPr>
              <w:t>L.P. purchased the securities in the ordinary course of business, and at the time of purchase, it had no agreements or understandings, directly or indirectly, with any person to</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440" w:type="dxa"/>
            <w:vAlign w:val="bottom"/>
            <w:gridSpan w:val="2"/>
          </w:tcPr>
          <w:p>
            <w:pPr>
              <w:ind w:left="200"/>
              <w:spacing w:after="0"/>
              <w:rPr>
                <w:sz w:val="20"/>
                <w:szCs w:val="20"/>
                <w:color w:val="auto"/>
              </w:rPr>
            </w:pPr>
            <w:r>
              <w:rPr>
                <w:rFonts w:ascii="Arial" w:cs="Arial" w:eastAsia="Arial" w:hAnsi="Arial"/>
                <w:sz w:val="14"/>
                <w:szCs w:val="14"/>
                <w:color w:val="auto"/>
              </w:rPr>
              <w:t>distribute them. CVC/SSB Employee Fund, L.P. may be deemed to beneficially own</w:t>
            </w:r>
          </w:p>
        </w:tc>
        <w:tc>
          <w:tcPr>
            <w:tcW w:w="5540" w:type="dxa"/>
            <w:vAlign w:val="bottom"/>
            <w:gridSpan w:val="3"/>
          </w:tcPr>
          <w:p>
            <w:pPr>
              <w:ind w:left="260"/>
              <w:spacing w:after="0"/>
              <w:rPr>
                <w:sz w:val="20"/>
                <w:szCs w:val="20"/>
                <w:color w:val="auto"/>
              </w:rPr>
            </w:pPr>
            <w:r>
              <w:rPr>
                <w:rFonts w:ascii="Arial" w:cs="Arial" w:eastAsia="Arial" w:hAnsi="Arial"/>
                <w:sz w:val="14"/>
                <w:szCs w:val="14"/>
                <w:color w:val="auto"/>
              </w:rPr>
              <w:t>shares of common stock held by Citigroup Venture Capital Equity Partners, L.P. and</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80" w:right="180" w:firstLine="488"/>
        <w:spacing w:after="0" w:line="219" w:lineRule="auto"/>
        <w:rPr>
          <w:sz w:val="20"/>
          <w:szCs w:val="20"/>
          <w:color w:val="auto"/>
        </w:rPr>
      </w:pPr>
      <w:r>
        <w:rPr>
          <w:rFonts w:ascii="Arial" w:cs="Arial" w:eastAsia="Arial" w:hAnsi="Arial"/>
          <w:sz w:val="13"/>
          <w:szCs w:val="13"/>
          <w:color w:val="auto"/>
        </w:rPr>
        <w:t>shares of common stock held by CVC Executive Fund LLC. The address of CVC/SSB Employee Fund,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1" w:lineRule="exact"/>
        <w:rPr>
          <w:sz w:val="20"/>
          <w:szCs w:val="20"/>
          <w:color w:val="auto"/>
        </w:rPr>
      </w:pPr>
    </w:p>
    <w:p>
      <w:pPr>
        <w:ind w:left="580" w:right="100" w:hanging="572"/>
        <w:spacing w:after="0" w:line="258" w:lineRule="auto"/>
        <w:tabs>
          <w:tab w:leader="none" w:pos="5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sole general partner of Francisco Partners, L.P. is Francisco Partners GP, LLC. Voting and investment power over securities held by Francisco Partners,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L.P. Francisco Partners, L.P. may</w:t>
      </w:r>
    </w:p>
    <w:p>
      <w:pPr>
        <w:spacing w:after="0" w:line="1" w:lineRule="exact"/>
        <w:rPr>
          <w:sz w:val="20"/>
          <w:szCs w:val="20"/>
          <w:color w:val="auto"/>
        </w:rPr>
      </w:pPr>
    </w:p>
    <w:p>
      <w:pPr>
        <w:ind w:left="920" w:right="100" w:hanging="337"/>
        <w:spacing w:after="0" w:line="221" w:lineRule="auto"/>
        <w:rPr>
          <w:sz w:val="20"/>
          <w:szCs w:val="20"/>
          <w:color w:val="auto"/>
        </w:rPr>
      </w:pPr>
      <w:r>
        <w:rPr>
          <w:rFonts w:ascii="Arial" w:cs="Arial" w:eastAsia="Arial" w:hAnsi="Arial"/>
          <w:sz w:val="14"/>
          <w:szCs w:val="14"/>
          <w:color w:val="auto"/>
        </w:rPr>
        <w:t>be deemed to beneficially own</w:t>
      </w:r>
      <w:r>
        <w:rPr>
          <w:sz w:val="20"/>
          <w:szCs w:val="20"/>
          <w:color w:val="auto"/>
        </w:rPr>
        <w:t xml:space="preserve"> </w:t>
      </w:r>
      <w:r>
        <w:rPr>
          <w:rFonts w:ascii="Arial" w:cs="Arial" w:eastAsia="Arial" w:hAnsi="Arial"/>
          <w:sz w:val="14"/>
          <w:szCs w:val="14"/>
          <w:color w:val="auto"/>
        </w:rPr>
        <w:t>shares of common stock held by Francisco Partners Fund A, L.P., shares of common stock held by FP-MagnaChip Co-Invest, LLC and shares of common stock held by FP Annual Fund Investors, LLC. The address of Francisco Partners, L.P. is Letterman Digital Arts Center, One Letterman Drive, Building C,</w:t>
      </w:r>
    </w:p>
    <w:p>
      <w:pPr>
        <w:ind w:left="580"/>
        <w:spacing w:after="0" w:line="222" w:lineRule="auto"/>
        <w:rPr>
          <w:sz w:val="20"/>
          <w:szCs w:val="20"/>
          <w:color w:val="auto"/>
        </w:rPr>
      </w:pPr>
      <w:r>
        <w:rPr>
          <w:rFonts w:ascii="Arial" w:cs="Arial" w:eastAsia="Arial" w:hAnsi="Arial"/>
          <w:sz w:val="14"/>
          <w:szCs w:val="14"/>
          <w:color w:val="auto"/>
        </w:rPr>
        <w:t>Suite 410, San Francisco, CA 94129.</w:t>
      </w:r>
    </w:p>
    <w:p>
      <w:pPr>
        <w:ind w:left="580" w:hanging="572"/>
        <w:spacing w:after="0"/>
        <w:tabs>
          <w:tab w:leader="none" w:pos="5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sole general partner of Francisco Partners Fund A, L.P. is Francisco Partners GP, LLC. Voting and investment power over securities held by Francisco Partners Fund A, L.P.</w:t>
      </w:r>
    </w:p>
    <w:p>
      <w:pPr>
        <w:spacing w:after="0" w:line="11" w:lineRule="exact"/>
        <w:rPr>
          <w:sz w:val="20"/>
          <w:szCs w:val="20"/>
          <w:color w:val="auto"/>
        </w:rPr>
      </w:pPr>
    </w:p>
    <w:p>
      <w:pPr>
        <w:jc w:val="both"/>
        <w:ind w:left="580" w:right="360"/>
        <w:spacing w:after="0" w:line="904" w:lineRule="auto"/>
        <w:rPr>
          <w:sz w:val="20"/>
          <w:szCs w:val="20"/>
          <w:color w:val="auto"/>
        </w:rPr>
      </w:pPr>
      <w:r>
        <w:rPr>
          <w:rFonts w:ascii="Arial" w:cs="Arial" w:eastAsia="Arial" w:hAnsi="Arial"/>
          <w:sz w:val="12"/>
          <w:szCs w:val="12"/>
          <w:color w:val="auto"/>
        </w:rPr>
        <w:t>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Fund A,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right="320"/>
        <w:spacing w:after="0" w:line="221" w:lineRule="auto"/>
        <w:rPr>
          <w:sz w:val="20"/>
          <w:szCs w:val="20"/>
          <w:color w:val="auto"/>
        </w:rPr>
      </w:pPr>
      <w:r>
        <w:rPr>
          <w:rFonts w:ascii="Arial" w:cs="Arial" w:eastAsia="Arial" w:hAnsi="Arial"/>
          <w:sz w:val="14"/>
          <w:szCs w:val="14"/>
          <w:color w:val="auto"/>
        </w:rPr>
        <w:t>Francisco Partners Fund A, L.P. may be deemed to beneficially own shares of common stock held by Francisco Partners, L.P., shares of common stock held by FP-MagnaChip Co-Invest, LLC and shares of common stock held by FP Annual Fund Investors, LLC. The address of Francisco Partners Fund A, L.P. is Letterman Digital Arts Center, One Letterman Drive, Building C, Suite 410, San Francisco, CA 94129.</w:t>
      </w:r>
    </w:p>
    <w:p>
      <w:pPr>
        <w:spacing w:after="0" w:line="1" w:lineRule="exact"/>
        <w:rPr>
          <w:sz w:val="20"/>
          <w:szCs w:val="20"/>
          <w:color w:val="auto"/>
        </w:rPr>
      </w:pPr>
    </w:p>
    <w:p>
      <w:pPr>
        <w:ind w:left="580" w:hanging="572"/>
        <w:spacing w:after="0"/>
        <w:tabs>
          <w:tab w:leader="none" w:pos="5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sole manager of FP-MagnaChip Co-Invest, LLC is Francisco Partners GP, LLC. Voting and investment power over securities held by FP-MagnaChip Co-Invest, LLC belongs to</w:t>
      </w:r>
    </w:p>
    <w:p>
      <w:pPr>
        <w:spacing w:after="0" w:line="11" w:lineRule="exact"/>
        <w:rPr>
          <w:sz w:val="20"/>
          <w:szCs w:val="20"/>
          <w:color w:val="auto"/>
        </w:rPr>
      </w:pPr>
    </w:p>
    <w:p>
      <w:pPr>
        <w:ind w:left="580" w:right="20"/>
        <w:spacing w:after="0" w:line="1679" w:lineRule="auto"/>
        <w:rPr>
          <w:sz w:val="20"/>
          <w:szCs w:val="20"/>
          <w:color w:val="auto"/>
        </w:rPr>
      </w:pPr>
      <w:r>
        <w:rPr>
          <w:rFonts w:ascii="Arial" w:cs="Arial" w:eastAsia="Arial" w:hAnsi="Arial"/>
          <w:sz w:val="12"/>
          <w:szCs w:val="12"/>
          <w:color w:val="auto"/>
        </w:rPr>
        <w:t>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FP-MagnaChip Co-Invest, LLC. FP-MagnaChip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0"/>
        <w:spacing w:after="0" w:line="228" w:lineRule="auto"/>
        <w:rPr>
          <w:sz w:val="20"/>
          <w:szCs w:val="20"/>
          <w:color w:val="auto"/>
        </w:rPr>
      </w:pPr>
      <w:r>
        <w:rPr>
          <w:rFonts w:ascii="Arial" w:cs="Arial" w:eastAsia="Arial" w:hAnsi="Arial"/>
          <w:sz w:val="14"/>
          <w:szCs w:val="14"/>
          <w:color w:val="auto"/>
        </w:rPr>
        <w:t>Invest, LLC may be deemed to beneficially own shares of common stock held by Francisco Partners, L.P., shares of common stock held by FP Annual Fund Investors, LLC and shares of common stock held by Francisco Partners Fund A, L.P. The address of FP-MagnaChip Co-Invest LLC is Letterman Digital Arts Center, One Letterman Drive, Building C, Suite 410, San Francisco, CA 94129.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100" w:hanging="572"/>
        <w:spacing w:after="0" w:line="258" w:lineRule="auto"/>
        <w:tabs>
          <w:tab w:leader="none" w:pos="5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sole manager of FP Annual Fund Investors, LLC is Francisco Partners Management, LLC. Voting and investment power over securities held by FP Annual Fund Investors, LLC belongs to the managers of Francisco Partners Management, LLC. The managers of Francisco Partners Management, LLC are Benjamin H. Ball, Dipanjan Deb, Neil M. Garfinkel,</w:t>
      </w:r>
    </w:p>
    <w:p>
      <w:pPr>
        <w:ind w:left="580"/>
        <w:spacing w:after="0"/>
        <w:rPr>
          <w:sz w:val="20"/>
          <w:szCs w:val="20"/>
          <w:color w:val="auto"/>
        </w:rPr>
      </w:pPr>
      <w:r>
        <w:rPr>
          <w:rFonts w:ascii="Arial" w:cs="Arial" w:eastAsia="Arial" w:hAnsi="Arial"/>
          <w:sz w:val="12"/>
          <w:szCs w:val="12"/>
          <w:color w:val="auto"/>
        </w:rPr>
        <w:t>Keith B. Geeslin, David R. Golob, Sanford R. Robertson and David M. Stanton. Each of these managers disclaims beneficial ownership of the securities held by FP Annual Fund</w:t>
      </w:r>
    </w:p>
    <w:p>
      <w:pPr>
        <w:spacing w:after="0" w:line="287" w:lineRule="exact"/>
        <w:rPr>
          <w:sz w:val="20"/>
          <w:szCs w:val="20"/>
          <w:color w:val="auto"/>
        </w:rPr>
      </w:pPr>
    </w:p>
    <w:p>
      <w:pPr>
        <w:ind w:left="580" w:right="200"/>
        <w:spacing w:after="0" w:line="221" w:lineRule="auto"/>
        <w:rPr>
          <w:sz w:val="20"/>
          <w:szCs w:val="20"/>
          <w:color w:val="auto"/>
        </w:rPr>
      </w:pPr>
      <w:r>
        <w:rPr>
          <w:rFonts w:ascii="Arial" w:cs="Arial" w:eastAsia="Arial" w:hAnsi="Arial"/>
          <w:sz w:val="14"/>
          <w:szCs w:val="14"/>
          <w:color w:val="auto"/>
        </w:rPr>
        <w:t>Investors, LLC. FP Annual Fund Investors, LLC may be deemed to beneficially own shares of common stock held by Francisco Partners, L.P., shares of common stock held by FP-MagnaChip Co-Invest, LLC and shares of common stock held by Francisco Partners Fund A, L.P. The address of FP Annual Fund Investors, LLC is Letterman Digital Arts Center, One Letterman Drive, Building C, Suite 410, San Francisco, CA 94129.</w:t>
      </w:r>
    </w:p>
    <w:p>
      <w:pPr>
        <w:spacing w:after="0" w:line="1"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L.P. (collectively with CVC Capital Partners Asia Pacific II L.P. and CVC Capital</w:t>
      </w:r>
    </w:p>
    <w:p>
      <w:pPr>
        <w:spacing w:after="0" w:line="10" w:lineRule="exact"/>
        <w:rPr>
          <w:rFonts w:ascii="Arial" w:cs="Arial" w:eastAsia="Arial" w:hAnsi="Arial"/>
          <w:sz w:val="12"/>
          <w:szCs w:val="12"/>
          <w:color w:val="auto"/>
        </w:rPr>
      </w:pPr>
    </w:p>
    <w:p>
      <w:pPr>
        <w:ind w:left="580"/>
        <w:spacing w:after="0"/>
        <w:rPr>
          <w:rFonts w:ascii="Arial" w:cs="Arial" w:eastAsia="Arial" w:hAnsi="Arial"/>
          <w:sz w:val="12"/>
          <w:szCs w:val="12"/>
          <w:color w:val="auto"/>
        </w:rPr>
      </w:pPr>
      <w:r>
        <w:rPr>
          <w:rFonts w:ascii="Arial" w:cs="Arial" w:eastAsia="Arial" w:hAnsi="Arial"/>
          <w:sz w:val="12"/>
          <w:szCs w:val="12"/>
          <w:color w:val="auto"/>
        </w:rPr>
        <w:t>Partners Asia Pacific II Parallel Fund—A, L.P., “CVC Asia Pacific”) purchased the securities in the ordinary course of business, and at the time of purchase, it had no agreements or</w:t>
      </w:r>
    </w:p>
    <w:p>
      <w:pPr>
        <w:spacing w:after="0" w:line="159" w:lineRule="exact"/>
        <w:rPr>
          <w:sz w:val="20"/>
          <w:szCs w:val="20"/>
          <w:color w:val="auto"/>
        </w:rPr>
      </w:pPr>
    </w:p>
    <w:p>
      <w:pPr>
        <w:ind w:left="580" w:right="20"/>
        <w:spacing w:after="0" w:line="221" w:lineRule="auto"/>
        <w:rPr>
          <w:sz w:val="20"/>
          <w:szCs w:val="20"/>
          <w:color w:val="auto"/>
        </w:rPr>
      </w:pPr>
      <w:r>
        <w:rPr>
          <w:rFonts w:ascii="Arial" w:cs="Arial" w:eastAsia="Arial" w:hAnsi="Arial"/>
          <w:sz w:val="14"/>
          <w:szCs w:val="14"/>
          <w:color w:val="auto"/>
        </w:rPr>
        <w:t>understandings, directly or indirectly, with any person to distribute them. CVC Capital Partners Asia Pacific L.P. may be deemed to beneficially own shares of common stock held by CVC Capital Partners Asia Pacific II L.P., shares of common stock held by CVC Capital Partners Asia Pacific II Parallel Fund—A, L.P. and shares of common</w:t>
      </w:r>
    </w:p>
    <w:p>
      <w:pPr>
        <w:spacing w:after="0" w:line="1" w:lineRule="exact"/>
        <w:rPr>
          <w:sz w:val="20"/>
          <w:szCs w:val="20"/>
          <w:color w:val="auto"/>
        </w:rPr>
      </w:pPr>
    </w:p>
    <w:p>
      <w:pPr>
        <w:ind w:left="580"/>
        <w:spacing w:after="0" w:line="221" w:lineRule="auto"/>
        <w:rPr>
          <w:sz w:val="20"/>
          <w:szCs w:val="20"/>
          <w:color w:val="auto"/>
        </w:rPr>
      </w:pPr>
      <w:r>
        <w:rPr>
          <w:rFonts w:ascii="Arial" w:cs="Arial" w:eastAsia="Arial" w:hAnsi="Arial"/>
          <w:sz w:val="14"/>
          <w:szCs w:val="14"/>
          <w:color w:val="auto"/>
        </w:rPr>
        <w:t>stock of Asia Investors LLC. The address of CVC Capital Partners Asia Pacific L.P. is c/o CVC Capital Partners Asia Limited, 18 Grenville Street, St. Helier, Jersey JE4 8PX, Channel Islands.</w:t>
      </w:r>
    </w:p>
    <w:p>
      <w:pPr>
        <w:spacing w:after="0" w:line="1"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L.P. purchased the securities in the ordinary course of business, and at the time of</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purchase, it had no agreements or understandings, directly or indirectly, with any person to distribute them. CVC Capital Partners Asia Pacific II L.P. may be deemed to beneficially</w:t>
      </w:r>
    </w:p>
    <w:p>
      <w:pPr>
        <w:spacing w:after="0" w:line="287" w:lineRule="exact"/>
        <w:rPr>
          <w:sz w:val="20"/>
          <w:szCs w:val="20"/>
          <w:color w:val="auto"/>
        </w:rPr>
      </w:pPr>
    </w:p>
    <w:p>
      <w:pPr>
        <w:ind w:left="580" w:right="20"/>
        <w:spacing w:after="0" w:line="221" w:lineRule="auto"/>
        <w:rPr>
          <w:sz w:val="20"/>
          <w:szCs w:val="20"/>
          <w:color w:val="auto"/>
        </w:rPr>
      </w:pPr>
      <w:r>
        <w:rPr>
          <w:rFonts w:ascii="Arial" w:cs="Arial" w:eastAsia="Arial" w:hAnsi="Arial"/>
          <w:sz w:val="14"/>
          <w:szCs w:val="14"/>
          <w:color w:val="auto"/>
        </w:rPr>
        <w:t>own shares of common stock held by CVC Capital Partners Asia Pacific L.P., shares of common stock held by CVC Capital Partners Asia Pacific II Parallel Fund—A, L.P. and shares of common stock of Asia Investors LLC. The address of CVC Capital Partners Asia Pacific II L.P. is c/o CVC Capital Partners Asia II Limited, 22 Grenville Street, St. Helier, Jersey JE4 8PX, Channel Islands.</w:t>
      </w:r>
    </w:p>
    <w:p>
      <w:pPr>
        <w:spacing w:after="0" w:line="1" w:lineRule="exact"/>
        <w:rPr>
          <w:sz w:val="20"/>
          <w:szCs w:val="20"/>
          <w:color w:val="auto"/>
        </w:rPr>
      </w:pPr>
    </w:p>
    <w:p>
      <w:pPr>
        <w:jc w:val="both"/>
        <w:ind w:left="580" w:right="100" w:hanging="572"/>
        <w:spacing w:after="0" w:line="258" w:lineRule="auto"/>
        <w:tabs>
          <w:tab w:leader="none" w:pos="5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Parallel Fund--A, L.P. purchased the securities in the ordinary course of business, and at the time of purchase, it had no agreements or understandings, directly or indirectly, with any person to distribute them. CVC Capital Partners Asia Pacific II Parallel Fund—A,</w:t>
      </w: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25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L.P. may be deemed to beneficially own</w:t>
            </w:r>
          </w:p>
        </w:tc>
        <w:tc>
          <w:tcPr>
            <w:tcW w:w="494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98"/>
              </w:rPr>
              <w:t>shares of common stock held by CVC Capital Partners Asia Pacific L.P.,</w:t>
            </w:r>
          </w:p>
        </w:tc>
        <w:tc>
          <w:tcPr>
            <w:tcW w:w="3500" w:type="dxa"/>
            <w:vAlign w:val="bottom"/>
          </w:tcPr>
          <w:p>
            <w:pPr>
              <w:jc w:val="center"/>
              <w:spacing w:after="0" w:line="149" w:lineRule="exact"/>
              <w:rPr>
                <w:sz w:val="20"/>
                <w:szCs w:val="20"/>
                <w:color w:val="auto"/>
              </w:rPr>
            </w:pPr>
            <w:r>
              <w:rPr>
                <w:rFonts w:ascii="Arial" w:cs="Arial" w:eastAsia="Arial" w:hAnsi="Arial"/>
                <w:sz w:val="14"/>
                <w:szCs w:val="14"/>
                <w:color w:val="auto"/>
                <w:w w:val="96"/>
              </w:rPr>
              <w:t>shares of common stock held by CVC Capital</w:t>
            </w:r>
          </w:p>
        </w:tc>
      </w:tr>
      <w:tr>
        <w:trPr>
          <w:trHeight w:val="149"/>
        </w:trPr>
        <w:tc>
          <w:tcPr>
            <w:tcW w:w="420" w:type="dxa"/>
            <w:vAlign w:val="bottom"/>
          </w:tcPr>
          <w:p>
            <w:pPr>
              <w:spacing w:after="0"/>
              <w:rPr>
                <w:sz w:val="12"/>
                <w:szCs w:val="12"/>
                <w:color w:val="auto"/>
              </w:rPr>
            </w:pPr>
          </w:p>
        </w:tc>
        <w:tc>
          <w:tcPr>
            <w:tcW w:w="2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Partners Asia Pacific II L.P. and</w:t>
            </w:r>
          </w:p>
        </w:tc>
        <w:tc>
          <w:tcPr>
            <w:tcW w:w="8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shares of common stock of Asia Investors LLC. The address of CVC Capital Partners Asia Pacific II Parallel Fund—A, L.P. is c/o CVC Capital</w:t>
            </w:r>
          </w:p>
        </w:tc>
      </w:tr>
      <w:tr>
        <w:trPr>
          <w:trHeight w:val="149"/>
        </w:trPr>
        <w:tc>
          <w:tcPr>
            <w:tcW w:w="420" w:type="dxa"/>
            <w:vAlign w:val="bottom"/>
          </w:tcPr>
          <w:p>
            <w:pPr>
              <w:spacing w:after="0"/>
              <w:rPr>
                <w:sz w:val="12"/>
                <w:szCs w:val="12"/>
                <w:color w:val="auto"/>
              </w:rPr>
            </w:pPr>
          </w:p>
        </w:tc>
        <w:tc>
          <w:tcPr>
            <w:tcW w:w="65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Partners Asia II Limited, 22 Grenville Street, St. Helier, Jersey JE4 8PX, Channel Islands.</w:t>
            </w: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(12)</w:t>
            </w:r>
          </w:p>
        </w:tc>
        <w:tc>
          <w:tcPr>
            <w:tcW w:w="748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No individual has beneficial ownership over these securities. Asia Investors LLC may be deemed to beneficially own</w:t>
            </w:r>
          </w:p>
        </w:tc>
        <w:tc>
          <w:tcPr>
            <w:tcW w:w="3500" w:type="dxa"/>
            <w:vAlign w:val="bottom"/>
          </w:tcPr>
          <w:p>
            <w:pPr>
              <w:jc w:val="center"/>
              <w:spacing w:after="0" w:line="149" w:lineRule="exact"/>
              <w:rPr>
                <w:sz w:val="20"/>
                <w:szCs w:val="20"/>
                <w:color w:val="auto"/>
              </w:rPr>
            </w:pPr>
            <w:r>
              <w:rPr>
                <w:rFonts w:ascii="Arial" w:cs="Arial" w:eastAsia="Arial" w:hAnsi="Arial"/>
                <w:sz w:val="14"/>
                <w:szCs w:val="14"/>
                <w:color w:val="auto"/>
                <w:w w:val="96"/>
              </w:rPr>
              <w:t>shares of common stock held by CVC Capital Partners</w:t>
            </w:r>
          </w:p>
        </w:tc>
      </w:tr>
      <w:tr>
        <w:trPr>
          <w:trHeight w:val="149"/>
        </w:trPr>
        <w:tc>
          <w:tcPr>
            <w:tcW w:w="4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Asia Pacific L.P.,</w:t>
            </w:r>
          </w:p>
        </w:tc>
        <w:tc>
          <w:tcPr>
            <w:tcW w:w="51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shares of common stock held by CVC Capital Partners Asia Pacific II L.P. and</w:t>
            </w:r>
          </w:p>
        </w:tc>
        <w:tc>
          <w:tcPr>
            <w:tcW w:w="44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6"/>
              </w:rPr>
              <w:t>shares of common stock held by CVC Capital Partners Asia Pacific II</w:t>
            </w:r>
          </w:p>
        </w:tc>
      </w:tr>
    </w:tbl>
    <w:p>
      <w:pPr>
        <w:ind w:left="580" w:right="640"/>
        <w:spacing w:after="0" w:line="258" w:lineRule="auto"/>
        <w:rPr>
          <w:sz w:val="20"/>
          <w:szCs w:val="20"/>
          <w:color w:val="auto"/>
        </w:rPr>
      </w:pPr>
      <w:r>
        <w:rPr>
          <w:rFonts w:ascii="Arial" w:cs="Arial" w:eastAsia="Arial" w:hAnsi="Arial"/>
          <w:sz w:val="12"/>
          <w:szCs w:val="12"/>
          <w:color w:val="auto"/>
        </w:rPr>
        <w:t>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ind w:left="580" w:hanging="572"/>
        <w:spacing w:after="0" w:line="222" w:lineRule="auto"/>
        <w:tabs>
          <w:tab w:leader="none" w:pos="5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The address of Peninsula Investment Pte. Ltd. is 255 Shoreline Drive, Suite 600, Redwood City, CA 94065.</w:t>
      </w:r>
    </w:p>
    <w:tbl>
      <w:tblPr>
        <w:tblLayout w:type="fixed"/>
        <w:tblInd w:w="0" w:type="dxa"/>
        <w:tblCellMar>
          <w:top w:w="0" w:type="dxa"/>
          <w:left w:w="0" w:type="dxa"/>
          <w:bottom w:w="0" w:type="dxa"/>
          <w:right w:w="0" w:type="dxa"/>
        </w:tblCellMar>
      </w:tblP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(14)</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702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shares of common stock held by the Baker Family Revocable Trust [c/o Jerry &amp; Paula Baker, Trustees] and</w:t>
            </w:r>
          </w:p>
        </w:tc>
        <w:tc>
          <w:tcPr>
            <w:tcW w:w="2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shares of restricted common stock held by</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Mr. Baker. Restricted shares of common stock are subject to a right of repurchase by MagnaChip. The address of Mr. Baker is 3101 North First Street, San Jose, CA 95134.</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(15)</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40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4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shares of common stock held by Francisco Partners Fund A, L.P.,</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shares of</w:t>
            </w:r>
          </w:p>
        </w:tc>
      </w:tr>
      <w:tr>
        <w:trPr>
          <w:trHeight w:val="149"/>
        </w:trPr>
        <w:tc>
          <w:tcPr>
            <w:tcW w:w="420" w:type="dxa"/>
            <w:vAlign w:val="bottom"/>
          </w:tcPr>
          <w:p>
            <w:pPr>
              <w:spacing w:after="0"/>
              <w:rPr>
                <w:sz w:val="12"/>
                <w:szCs w:val="12"/>
                <w:color w:val="auto"/>
              </w:rPr>
            </w:pPr>
          </w:p>
        </w:tc>
        <w:tc>
          <w:tcPr>
            <w:tcW w:w="39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common stock held by FP-MagnaChip Co-Invest, LLC and</w:t>
            </w:r>
          </w:p>
        </w:tc>
        <w:tc>
          <w:tcPr>
            <w:tcW w:w="6940" w:type="dxa"/>
            <w:vAlign w:val="bottom"/>
            <w:gridSpan w:val="4"/>
          </w:tcPr>
          <w:p>
            <w:pPr>
              <w:jc w:val="right"/>
              <w:ind w:right="152"/>
              <w:spacing w:after="0" w:line="149" w:lineRule="exact"/>
              <w:rPr>
                <w:sz w:val="20"/>
                <w:szCs w:val="20"/>
                <w:color w:val="auto"/>
              </w:rPr>
            </w:pPr>
            <w:r>
              <w:rPr>
                <w:rFonts w:ascii="Arial" w:cs="Arial" w:eastAsia="Arial" w:hAnsi="Arial"/>
                <w:sz w:val="14"/>
                <w:szCs w:val="14"/>
                <w:color w:val="auto"/>
              </w:rPr>
              <w:t>shares of common stock held by FP Annual Fund Investors, LLC. Each of Mr. Deb and Mr. Potamianos is a</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6"/>
              </w:rPr>
              <w:t>member of management of Francisco Partners, L.P. and disclaims beneficial ownership of the shares of common stock held by Francisco Partners, L.P., Francisco Partners Fund A,</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L.P., FP-MagnaChip Co-Invest, LLC and FP Annual Fund Investors, LLC and the shares of common stock which such entities may be deemed to beneficially own as described in</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9"/>
              </w:rPr>
              <w:t>footnote 2. The address of each of Mr. Deb and Mr. Potamianos is c/o Francisco Partners, L.P., Letterman Digital Arts Center, One Letterman Drive, Building C, Suite 410, San</w:t>
            </w:r>
          </w:p>
        </w:tc>
      </w:tr>
      <w:tr>
        <w:trPr>
          <w:trHeight w:val="149"/>
        </w:trPr>
        <w:tc>
          <w:tcPr>
            <w:tcW w:w="4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Francisco, CA 94129.</w:t>
            </w:r>
          </w:p>
        </w:tc>
        <w:tc>
          <w:tcPr>
            <w:tcW w:w="1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(16)</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880" w:type="dxa"/>
            <w:vAlign w:val="bottom"/>
            <w:gridSpan w:val="6"/>
          </w:tcPr>
          <w:p>
            <w:pPr>
              <w:ind w:left="300"/>
              <w:spacing w:after="0" w:line="149" w:lineRule="exact"/>
              <w:rPr>
                <w:sz w:val="20"/>
                <w:szCs w:val="20"/>
                <w:color w:val="auto"/>
              </w:rPr>
            </w:pPr>
            <w:r>
              <w:rPr>
                <w:rFonts w:ascii="Arial" w:cs="Arial" w:eastAsia="Arial" w:hAnsi="Arial"/>
                <w:sz w:val="14"/>
                <w:szCs w:val="14"/>
                <w:color w:val="auto"/>
                <w:w w:val="98"/>
              </w:rPr>
              <w:t>shares of common stock that Mr. Geday may purchase pursuant to the exercise of options vesting on April 19, 2007. The address of Mr. Geday is 16 Rue de</w:t>
            </w:r>
          </w:p>
        </w:tc>
      </w:tr>
      <w:tr>
        <w:trPr>
          <w:trHeight w:val="149"/>
        </w:trPr>
        <w:tc>
          <w:tcPr>
            <w:tcW w:w="4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Belzunce, 75010, Paris, France.</w:t>
            </w:r>
          </w:p>
        </w:tc>
        <w:tc>
          <w:tcPr>
            <w:tcW w:w="1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(17)</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8860" w:type="dxa"/>
            <w:vAlign w:val="bottom"/>
            <w:gridSpan w:val="5"/>
          </w:tcPr>
          <w:p>
            <w:pPr>
              <w:ind w:left="300"/>
              <w:spacing w:after="0" w:line="149" w:lineRule="exact"/>
              <w:rPr>
                <w:sz w:val="20"/>
                <w:szCs w:val="20"/>
                <w:color w:val="auto"/>
              </w:rPr>
            </w:pPr>
            <w:r>
              <w:rPr>
                <w:rFonts w:ascii="Arial" w:cs="Arial" w:eastAsia="Arial" w:hAnsi="Arial"/>
                <w:sz w:val="14"/>
                <w:szCs w:val="14"/>
                <w:color w:val="auto"/>
              </w:rPr>
              <w:t>shares of common stock that Mr. Hwang may purchase pursuant to the exercise of options vesting on March 31, 2007.</w:t>
            </w:r>
          </w:p>
        </w:tc>
        <w:tc>
          <w:tcPr>
            <w:tcW w:w="10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(18)</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880" w:type="dxa"/>
            <w:vAlign w:val="bottom"/>
            <w:gridSpan w:val="6"/>
          </w:tcPr>
          <w:p>
            <w:pPr>
              <w:ind w:left="300"/>
              <w:spacing w:after="0" w:line="149" w:lineRule="exact"/>
              <w:rPr>
                <w:sz w:val="20"/>
                <w:szCs w:val="20"/>
                <w:color w:val="auto"/>
              </w:rPr>
            </w:pPr>
            <w:r>
              <w:rPr>
                <w:rFonts w:ascii="Arial" w:cs="Arial" w:eastAsia="Arial" w:hAnsi="Arial"/>
                <w:sz w:val="14"/>
                <w:szCs w:val="14"/>
                <w:color w:val="auto"/>
                <w:w w:val="98"/>
              </w:rPr>
              <w:t>shares of common stock held by Robert &amp; Theresa Krakauer JTWROS, for which Mr. Krakauer shares voting and investment power with his spouse, Theresa</w:t>
            </w:r>
          </w:p>
        </w:tc>
      </w:tr>
      <w:tr>
        <w:trPr>
          <w:trHeight w:val="149"/>
        </w:trPr>
        <w:tc>
          <w:tcPr>
            <w:tcW w:w="42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Krakauer,</w:t>
            </w:r>
          </w:p>
        </w:tc>
        <w:tc>
          <w:tcPr>
            <w:tcW w:w="9880" w:type="dxa"/>
            <w:vAlign w:val="bottom"/>
            <w:gridSpan w:val="6"/>
          </w:tcPr>
          <w:p>
            <w:pPr>
              <w:jc w:val="right"/>
              <w:spacing w:after="0" w:line="149" w:lineRule="exact"/>
              <w:rPr>
                <w:sz w:val="20"/>
                <w:szCs w:val="20"/>
                <w:color w:val="auto"/>
              </w:rPr>
            </w:pPr>
            <w:r>
              <w:rPr>
                <w:rFonts w:ascii="Arial" w:cs="Arial" w:eastAsia="Arial" w:hAnsi="Arial"/>
                <w:sz w:val="14"/>
                <w:szCs w:val="14"/>
                <w:color w:val="auto"/>
                <w:w w:val="99"/>
              </w:rPr>
              <w:t>shares of common stock held by the Krakauer Family Partnership [c/o Robert &amp; Theresa Krakauer], for which Mr. Krakauer shares voting and investment power</w:t>
            </w:r>
          </w:p>
        </w:tc>
      </w:tr>
      <w:tr>
        <w:trPr>
          <w:trHeight w:val="149"/>
        </w:trPr>
        <w:tc>
          <w:tcPr>
            <w:tcW w:w="4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with Theresa Krakauer and</w:t>
            </w:r>
          </w:p>
        </w:tc>
        <w:tc>
          <w:tcPr>
            <w:tcW w:w="7640" w:type="dxa"/>
            <w:vAlign w:val="bottom"/>
            <w:gridSpan w:val="4"/>
          </w:tcPr>
          <w:p>
            <w:pPr>
              <w:ind w:left="200"/>
              <w:spacing w:after="0" w:line="149" w:lineRule="exact"/>
              <w:rPr>
                <w:sz w:val="20"/>
                <w:szCs w:val="20"/>
                <w:color w:val="auto"/>
              </w:rPr>
            </w:pPr>
            <w:r>
              <w:rPr>
                <w:rFonts w:ascii="Arial" w:cs="Arial" w:eastAsia="Arial" w:hAnsi="Arial"/>
                <w:sz w:val="14"/>
                <w:szCs w:val="14"/>
                <w:color w:val="auto"/>
                <w:w w:val="97"/>
              </w:rPr>
              <w:t>restricted shares of common stock. Restricted shares of common stock are subject to a right of repurchase by MagnaChip.</w:t>
            </w:r>
          </w:p>
        </w:tc>
        <w:tc>
          <w:tcPr>
            <w:tcW w:w="1020" w:type="dxa"/>
            <w:vAlign w:val="bottom"/>
          </w:tcPr>
          <w:p>
            <w:pPr>
              <w:spacing w:after="0"/>
              <w:rPr>
                <w:sz w:val="12"/>
                <w:szCs w:val="12"/>
                <w:color w:val="auto"/>
              </w:rPr>
            </w:pPr>
          </w:p>
        </w:tc>
      </w:tr>
    </w:tbl>
    <w:p>
      <w:pPr>
        <w:ind w:left="580" w:right="60" w:hanging="572"/>
        <w:spacing w:after="0" w:line="300" w:lineRule="auto"/>
        <w:tabs>
          <w:tab w:leader="none" w:pos="5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Mr Kuan is a member of management of CVC Asia Pacific Limited, an investment advisor to the general partners of CVC Capital Partners Asia Pacific L.P., CVC Capital Partners Asia Pacific II L.P. and CVC Partners Asia Pacific II Parallel Fund - A, L.P., as well as to Asia Investors LLC. The address of Mr. Kuan is CVC Asia Pacific Limited, Suite 901-3, ICBC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80"/>
        <w:spacing w:after="0" w:line="228" w:lineRule="auto"/>
        <w:rPr>
          <w:sz w:val="20"/>
          <w:szCs w:val="20"/>
          <w:color w:val="auto"/>
        </w:rPr>
      </w:pPr>
      <w:r>
        <w:rPr>
          <w:rFonts w:ascii="Arial" w:cs="Arial" w:eastAsia="Arial" w:hAnsi="Arial"/>
          <w:sz w:val="14"/>
          <w:szCs w:val="14"/>
          <w:color w:val="auto"/>
        </w:rPr>
        <w:t>Tower, Citibank Plaza, 3 Garden Road, Central, Hong Kong. Because he has no direct or indirect voting or investment power over the shares of common stock held by such entities, Mr. Kuan disclaims beneficial ownership of all of the shares of common stock held by such entities. Asia Investors LLC has previously co-invested alongside of CVC Capital Partners Asia Pacific L.P. but is not a subsidiary of the CVC Capital Partners group of companies.</w:t>
      </w:r>
    </w:p>
    <w:tbl>
      <w:tblPr>
        <w:tblLayout w:type="fixed"/>
        <w:tblInd w:w="0" w:type="dxa"/>
        <w:tblCellMar>
          <w:top w:w="0" w:type="dxa"/>
          <w:left w:w="0" w:type="dxa"/>
          <w:bottom w:w="0" w:type="dxa"/>
          <w:right w:w="0" w:type="dxa"/>
        </w:tblCellMar>
      </w:tblP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(20)</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6400" w:type="dxa"/>
            <w:vAlign w:val="bottom"/>
          </w:tcPr>
          <w:p>
            <w:pPr>
              <w:ind w:left="340"/>
              <w:spacing w:after="0" w:line="149" w:lineRule="exact"/>
              <w:rPr>
                <w:sz w:val="20"/>
                <w:szCs w:val="20"/>
                <w:color w:val="auto"/>
              </w:rPr>
            </w:pPr>
            <w:r>
              <w:rPr>
                <w:rFonts w:ascii="Arial" w:cs="Arial" w:eastAsia="Arial" w:hAnsi="Arial"/>
                <w:sz w:val="14"/>
                <w:szCs w:val="14"/>
                <w:color w:val="auto"/>
                <w:w w:val="95"/>
              </w:rPr>
              <w:t>shares of common stock that Mr. Lee may purchase pursuant to an option vesting on March 31, 2007.</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(21)</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6400" w:type="dxa"/>
            <w:vAlign w:val="bottom"/>
          </w:tcPr>
          <w:p>
            <w:pPr>
              <w:ind w:left="340"/>
              <w:spacing w:after="0" w:line="149" w:lineRule="exact"/>
              <w:rPr>
                <w:sz w:val="20"/>
                <w:szCs w:val="20"/>
                <w:color w:val="auto"/>
              </w:rPr>
            </w:pPr>
            <w:r>
              <w:rPr>
                <w:rFonts w:ascii="Arial" w:cs="Arial" w:eastAsia="Arial" w:hAnsi="Arial"/>
                <w:sz w:val="14"/>
                <w:szCs w:val="14"/>
                <w:color w:val="auto"/>
              </w:rPr>
              <w:t>shares of restricted common stock that are subject to a right of repurchase by MagnaChip.</w:t>
            </w:r>
          </w:p>
        </w:tc>
      </w:tr>
    </w:tbl>
    <w:p>
      <w:pPr>
        <w:ind w:left="580" w:hanging="572"/>
        <w:spacing w:after="0" w:line="221" w:lineRule="auto"/>
        <w:tabs>
          <w:tab w:leader="none" w:pos="5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address of Mr. Norby is 12169 Hilltop Drive, Los Altos Hills, CA 94024.</w:t>
      </w:r>
    </w:p>
    <w:tbl>
      <w:tblPr>
        <w:tblLayout w:type="fixed"/>
        <w:tblInd w:w="0" w:type="dxa"/>
        <w:tblCellMar>
          <w:top w:w="0" w:type="dxa"/>
          <w:left w:w="0" w:type="dxa"/>
          <w:bottom w:w="0" w:type="dxa"/>
          <w:right w:w="0" w:type="dxa"/>
        </w:tblCellMar>
      </w:tblP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(23)</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3860" w:type="dxa"/>
            <w:vAlign w:val="bottom"/>
          </w:tcPr>
          <w:p>
            <w:pPr>
              <w:ind w:left="340"/>
              <w:spacing w:after="0" w:line="149" w:lineRule="exact"/>
              <w:rPr>
                <w:sz w:val="20"/>
                <w:szCs w:val="20"/>
                <w:color w:val="auto"/>
              </w:rPr>
            </w:pPr>
            <w:r>
              <w:rPr>
                <w:rFonts w:ascii="Arial" w:cs="Arial" w:eastAsia="Arial" w:hAnsi="Arial"/>
                <w:sz w:val="14"/>
                <w:szCs w:val="14"/>
                <w:color w:val="auto"/>
              </w:rPr>
              <w:t>shares of common stock held by BG Partners LP and</w:t>
            </w:r>
          </w:p>
        </w:tc>
        <w:tc>
          <w:tcPr>
            <w:tcW w:w="590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5"/>
              </w:rPr>
              <w:t>shares of common stock held by BG/CVC-1. The address of Mr. Schorr is c/o The Blackstone</w:t>
            </w:r>
          </w:p>
        </w:tc>
      </w:tr>
      <w:tr>
        <w:trPr>
          <w:trHeight w:val="149"/>
        </w:trPr>
        <w:tc>
          <w:tcPr>
            <w:tcW w:w="420" w:type="dxa"/>
            <w:vAlign w:val="bottom"/>
          </w:tcPr>
          <w:p>
            <w:pPr>
              <w:spacing w:after="0"/>
              <w:rPr>
                <w:sz w:val="12"/>
                <w:szCs w:val="12"/>
                <w:color w:val="auto"/>
              </w:rPr>
            </w:pPr>
          </w:p>
        </w:tc>
        <w:tc>
          <w:tcPr>
            <w:tcW w:w="4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Group, 345 Park Avenue, New York, NY 10154.</w:t>
            </w:r>
          </w:p>
        </w:tc>
        <w:tc>
          <w:tcPr>
            <w:tcW w:w="1580" w:type="dxa"/>
            <w:vAlign w:val="bottom"/>
          </w:tcPr>
          <w:p>
            <w:pPr>
              <w:spacing w:after="0"/>
              <w:rPr>
                <w:sz w:val="12"/>
                <w:szCs w:val="12"/>
                <w:color w:val="auto"/>
              </w:rPr>
            </w:pPr>
          </w:p>
        </w:tc>
        <w:tc>
          <w:tcPr>
            <w:tcW w:w="43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(24)</w:t>
            </w:r>
          </w:p>
        </w:tc>
        <w:tc>
          <w:tcPr>
            <w:tcW w:w="100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54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shares of common stock held by Citigroup Venture Capital Equity Partners, L.P.,</w:t>
            </w:r>
          </w:p>
        </w:tc>
        <w:tc>
          <w:tcPr>
            <w:tcW w:w="4320" w:type="dxa"/>
            <w:vAlign w:val="bottom"/>
          </w:tcPr>
          <w:p>
            <w:pPr>
              <w:ind w:left="340"/>
              <w:spacing w:after="0" w:line="149" w:lineRule="exact"/>
              <w:rPr>
                <w:sz w:val="20"/>
                <w:szCs w:val="20"/>
                <w:color w:val="auto"/>
              </w:rPr>
            </w:pPr>
            <w:r>
              <w:rPr>
                <w:rFonts w:ascii="Arial" w:cs="Arial" w:eastAsia="Arial" w:hAnsi="Arial"/>
                <w:sz w:val="14"/>
                <w:szCs w:val="14"/>
                <w:color w:val="auto"/>
              </w:rPr>
              <w:t>shares of common stock held by CVC Executive Fund LLC and</w:t>
            </w:r>
          </w:p>
        </w:tc>
      </w:tr>
    </w:tbl>
    <w:p>
      <w:pPr>
        <w:ind w:left="580" w:right="160" w:firstLine="638"/>
        <w:spacing w:after="0" w:line="221" w:lineRule="auto"/>
        <w:rPr>
          <w:sz w:val="20"/>
          <w:szCs w:val="20"/>
          <w:color w:val="auto"/>
        </w:rPr>
      </w:pPr>
      <w:r>
        <w:rPr>
          <w:rFonts w:ascii="Arial" w:cs="Arial" w:eastAsia="Arial" w:hAnsi="Arial"/>
          <w:sz w:val="14"/>
          <w:szCs w:val="14"/>
          <w:color w:val="auto"/>
        </w:rPr>
        <w:t>shares of common stock held by CVC/SSB Employee Fund, L.P. Mr. Thomas is a member of management of Court Square and disclaims beneficial ownership of the shares of common stock held by Citigroup Venture Capital Equity Partners, L.P., CVC Executive Fund LLC and CVC/SSB Employee Fund, L.P. and the shares of common stock which such entities may be deemed to beneficially own as described in footnote 2. The address of Mr. Thomas is c/o Court Square Capital Partners, 55 E. 52nd Street, 34th Floor, New York, NY 10055.</w:t>
      </w:r>
    </w:p>
    <w:p>
      <w:pPr>
        <w:ind w:left="580" w:hanging="572"/>
        <w:spacing w:after="0" w:line="223" w:lineRule="auto"/>
        <w:tabs>
          <w:tab w:leader="none" w:pos="5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Baker holds voting and investment power with respect to these securities.</w:t>
      </w:r>
    </w:p>
    <w:p>
      <w:pPr>
        <w:ind w:left="580" w:hanging="572"/>
        <w:spacing w:after="0"/>
        <w:tabs>
          <w:tab w:leader="none" w:pos="5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Krakauer shares voting and investment power with respect to these securities with his spouse, Theresa Krakauer.</w:t>
      </w:r>
    </w:p>
    <w:p>
      <w:pPr>
        <w:spacing w:after="0" w:line="153"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following table sets forth information regarding the beneficial ownership of the outstanding equity interests of MagnaChip Semiconductor LLC as of September 30, 2007 by: (1) each person or entity known to us to beneficially own more than 5% of any class of our outstanding securities; (2) each member of our board of directors; (3) each of our named executive officers; (4) all of the members of our board of directors and executive officers, as a group; and (5) each selling stockholder. As of September 30, 2007, MagnaChip Semiconductor LLC’s outstanding securities consisted of 52,831,722 common units and 93,997 Series B preferred units.</w:t>
      </w:r>
    </w:p>
    <w:p>
      <w:pPr>
        <w:spacing w:after="0" w:line="15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 Unless otherwise indicated, the address of each person listed in the table below is c/o MagnaChip Semiconductor Ltd., 1 Hyang jeong-dong, Hungduk-gu, Cheongju-si, 361-725, Korea.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Name and Address of Beneficial Owner</w:t>
            </w: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340" w:type="dxa"/>
            <w:vAlign w:val="bottom"/>
          </w:tcPr>
          <w:p>
            <w:pPr>
              <w:spacing w:after="0"/>
              <w:rPr>
                <w:sz w:val="12"/>
                <w:szCs w:val="12"/>
                <w:color w:val="auto"/>
              </w:rPr>
            </w:pPr>
          </w:p>
        </w:tc>
        <w:tc>
          <w:tcPr>
            <w:tcW w:w="8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59"/>
        </w:trPr>
        <w:tc>
          <w:tcPr>
            <w:tcW w:w="650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Title of Class</w:t>
            </w:r>
          </w:p>
        </w:tc>
        <w:tc>
          <w:tcPr>
            <w:tcW w:w="3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Ownership</w:t>
            </w:r>
          </w:p>
        </w:tc>
        <w:tc>
          <w:tcPr>
            <w:tcW w:w="340" w:type="dxa"/>
            <w:vAlign w:val="bottom"/>
          </w:tcPr>
          <w:p>
            <w:pPr>
              <w:spacing w:after="0"/>
              <w:rPr>
                <w:sz w:val="13"/>
                <w:szCs w:val="13"/>
                <w:color w:val="auto"/>
              </w:rPr>
            </w:pPr>
          </w:p>
        </w:tc>
        <w:tc>
          <w:tcPr>
            <w:tcW w:w="840" w:type="dxa"/>
            <w:vAlign w:val="bottom"/>
            <w:tcBorders>
              <w:bottom w:val="single" w:sz="8" w:color="auto"/>
            </w:tcBorders>
          </w:tcPr>
          <w:p>
            <w:pPr>
              <w:ind w:left="240"/>
              <w:spacing w:after="0" w:line="152"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68"/>
        </w:trPr>
        <w:tc>
          <w:tcPr>
            <w:tcW w:w="6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(1)(2).</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17,630,628.4200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33,093.7702</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(2)(3)</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156,381.7100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293.5380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(2)(4)</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175,511.8000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329.4464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(2)(5)</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16,941,762.2000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31,800.7261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(2)(6)</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83,423.4000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156.5909</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(2)(7)</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909,067.7600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1,706.3760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(2)(8)</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28,268.5600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53.0617</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(2)(9)</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3,219,903.5200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6,043.9566</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(2)(10)</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4,048,152.3700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7,598.6306</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9"/>
        </w:trPr>
        <w:tc>
          <w:tcPr>
            <w:tcW w:w="6500" w:type="dxa"/>
            <w:vAlign w:val="bottom"/>
          </w:tcPr>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(2)(11)</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781,702.9100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1,467.3043</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(2)(12)</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1,609,951.7600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3,021.9784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0"/>
        </w:trPr>
        <w:tc>
          <w:tcPr>
            <w:tcW w:w="6500" w:type="dxa"/>
            <w:vAlign w:val="bottom"/>
          </w:tcPr>
          <w:p>
            <w:pPr>
              <w:spacing w:after="0" w:line="229" w:lineRule="exact"/>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(2)(13)</w:t>
            </w:r>
          </w:p>
        </w:tc>
        <w:tc>
          <w:tcPr>
            <w:tcW w:w="34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3,636,271.0700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6,825.5041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54"/>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Jerry M. Baker</w:t>
            </w:r>
            <w:r>
              <w:rPr>
                <w:rFonts w:ascii="Arial" w:cs="Arial" w:eastAsia="Arial" w:hAnsi="Arial"/>
                <w:sz w:val="21"/>
                <w:szCs w:val="21"/>
                <w:color w:val="auto"/>
                <w:vertAlign w:val="superscript"/>
              </w:rPr>
              <w:t>(14)</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682,158.1600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255.9564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(15)</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17,962,521.9200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33,716.7547</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Armando Geday</w:t>
            </w:r>
            <w:r>
              <w:rPr>
                <w:rFonts w:ascii="Arial" w:cs="Arial" w:eastAsia="Arial" w:hAnsi="Arial"/>
                <w:sz w:val="21"/>
                <w:szCs w:val="21"/>
                <w:color w:val="auto"/>
                <w:vertAlign w:val="superscript"/>
              </w:rPr>
              <w:t>(16)</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76,562.5000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Tae Young Hwang</w:t>
            </w:r>
            <w:r>
              <w:rPr>
                <w:rFonts w:ascii="Arial" w:cs="Arial" w:eastAsia="Arial" w:hAnsi="Arial"/>
                <w:sz w:val="22"/>
                <w:szCs w:val="22"/>
                <w:color w:val="auto"/>
                <w:vertAlign w:val="superscript"/>
              </w:rPr>
              <w:t>(17)</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204,674.2500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Robert J. Krakauer</w:t>
            </w:r>
            <w:r>
              <w:rPr>
                <w:rFonts w:ascii="Arial" w:cs="Arial" w:eastAsia="Arial" w:hAnsi="Arial"/>
                <w:sz w:val="21"/>
                <w:szCs w:val="21"/>
                <w:color w:val="auto"/>
                <w:vertAlign w:val="superscript"/>
              </w:rPr>
              <w:t>(18)</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773,153.7700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170.6375</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Roy Kuan</w:t>
            </w:r>
            <w:r>
              <w:rPr>
                <w:rFonts w:ascii="Arial" w:cs="Arial" w:eastAsia="Arial" w:hAnsi="Arial"/>
                <w:sz w:val="22"/>
                <w:szCs w:val="22"/>
                <w:color w:val="auto"/>
                <w:vertAlign w:val="superscript"/>
              </w:rPr>
              <w:t>(19)</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Chan Hee Lee</w:t>
            </w:r>
            <w:r>
              <w:rPr>
                <w:rFonts w:ascii="Arial" w:cs="Arial" w:eastAsia="Arial" w:hAnsi="Arial"/>
                <w:sz w:val="21"/>
                <w:szCs w:val="21"/>
                <w:color w:val="auto"/>
                <w:vertAlign w:val="superscript"/>
              </w:rPr>
              <w:t>(20)</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204,674.2500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(21)</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181,903.3800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85.3188</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R. Douglas Norby</w:t>
            </w:r>
            <w:r>
              <w:rPr>
                <w:rFonts w:ascii="Arial" w:cs="Arial" w:eastAsia="Arial" w:hAnsi="Arial"/>
                <w:sz w:val="21"/>
                <w:szCs w:val="21"/>
                <w:color w:val="auto"/>
                <w:vertAlign w:val="superscript"/>
              </w:rPr>
              <w:t>(22)</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6500" w:type="dxa"/>
            <w:vAlign w:val="bottom"/>
          </w:tcPr>
          <w:p>
            <w:pPr>
              <w:spacing w:after="0"/>
              <w:rPr>
                <w:sz w:val="20"/>
                <w:szCs w:val="20"/>
                <w:color w:val="auto"/>
              </w:rPr>
            </w:pPr>
            <w:r>
              <w:rPr>
                <w:rFonts w:ascii="Arial" w:cs="Arial" w:eastAsia="Arial" w:hAnsi="Arial"/>
                <w:sz w:val="14"/>
                <w:szCs w:val="14"/>
                <w:color w:val="auto"/>
              </w:rPr>
              <w:t>Sang Park</w:t>
            </w:r>
            <w:r>
              <w:rPr>
                <w:rFonts w:ascii="Arial" w:cs="Arial" w:eastAsia="Arial" w:hAnsi="Arial"/>
                <w:sz w:val="22"/>
                <w:szCs w:val="22"/>
                <w:color w:val="auto"/>
                <w:vertAlign w:val="superscript"/>
              </w:rPr>
              <w:t>(23)</w:t>
            </w:r>
          </w:p>
        </w:tc>
        <w:tc>
          <w:tcPr>
            <w:tcW w:w="3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65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Phokion Potamianos</w:t>
            </w:r>
            <w:r>
              <w:rPr>
                <w:rFonts w:ascii="Arial" w:cs="Arial" w:eastAsia="Arial" w:hAnsi="Arial"/>
                <w:sz w:val="21"/>
                <w:szCs w:val="21"/>
                <w:color w:val="auto"/>
                <w:vertAlign w:val="superscript"/>
              </w:rPr>
              <w:t>(15)</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17,962,521.9200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33,716.7547</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Name and Address of Beneficial Owner</w:t>
            </w:r>
          </w:p>
        </w:tc>
        <w:tc>
          <w:tcPr>
            <w:tcW w:w="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Title of Class</w:t>
            </w:r>
          </w:p>
        </w:tc>
        <w:tc>
          <w:tcPr>
            <w:tcW w:w="340" w:type="dxa"/>
            <w:vAlign w:val="bottom"/>
          </w:tcPr>
          <w:p>
            <w:pPr>
              <w:spacing w:after="0"/>
              <w:rPr>
                <w:sz w:val="13"/>
                <w:szCs w:val="13"/>
                <w:color w:val="auto"/>
              </w:rPr>
            </w:pPr>
          </w:p>
        </w:tc>
        <w:tc>
          <w:tcPr>
            <w:tcW w:w="12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Ownership</w:t>
            </w:r>
          </w:p>
        </w:tc>
        <w:tc>
          <w:tcPr>
            <w:tcW w:w="340" w:type="dxa"/>
            <w:vAlign w:val="bottom"/>
          </w:tcPr>
          <w:p>
            <w:pPr>
              <w:spacing w:after="0"/>
              <w:rPr>
                <w:sz w:val="13"/>
                <w:szCs w:val="13"/>
                <w:color w:val="auto"/>
              </w:rPr>
            </w:pPr>
          </w:p>
        </w:tc>
        <w:tc>
          <w:tcPr>
            <w:tcW w:w="8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Paul C. Schorr IV</w:t>
            </w:r>
            <w:r>
              <w:rPr>
                <w:rFonts w:ascii="Arial" w:cs="Arial" w:eastAsia="Arial" w:hAnsi="Arial"/>
                <w:sz w:val="21"/>
                <w:szCs w:val="21"/>
                <w:color w:val="auto"/>
                <w:vertAlign w:val="superscript"/>
              </w:rPr>
              <w:t>(24)</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36,362.7200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68.2551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4"/>
        </w:trPr>
        <w:tc>
          <w:tcPr>
            <w:tcW w:w="118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David F. Thomas</w:t>
            </w:r>
            <w:r>
              <w:rPr>
                <w:rFonts w:ascii="Arial" w:cs="Arial" w:eastAsia="Arial" w:hAnsi="Arial"/>
                <w:sz w:val="21"/>
                <w:szCs w:val="21"/>
                <w:color w:val="auto"/>
                <w:vertAlign w:val="superscript"/>
              </w:rPr>
              <w:t>(25)</w:t>
            </w:r>
          </w:p>
        </w:tc>
        <w:tc>
          <w:tcPr>
            <w:tcW w:w="34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18,035,247.3400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33,853.2646</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69"/>
        </w:trPr>
        <w:tc>
          <w:tcPr>
            <w:tcW w:w="6500" w:type="dxa"/>
            <w:vAlign w:val="bottom"/>
            <w:gridSpan w:val="3"/>
          </w:tcPr>
          <w:p>
            <w:pPr>
              <w:spacing w:after="0"/>
              <w:rPr>
                <w:sz w:val="20"/>
                <w:szCs w:val="20"/>
                <w:color w:val="auto"/>
              </w:rPr>
            </w:pPr>
            <w:r>
              <w:rPr>
                <w:rFonts w:ascii="Arial" w:cs="Arial" w:eastAsia="Arial" w:hAnsi="Arial"/>
                <w:sz w:val="14"/>
                <w:szCs w:val="14"/>
                <w:color w:val="auto"/>
              </w:rPr>
              <w:t>Baker Family Revocable Trust [c/o Jerry &amp; Paula Baker, Trustees]</w:t>
            </w:r>
            <w:r>
              <w:rPr>
                <w:rFonts w:ascii="Arial" w:cs="Arial" w:eastAsia="Arial" w:hAnsi="Arial"/>
                <w:sz w:val="22"/>
                <w:szCs w:val="22"/>
                <w:color w:val="auto"/>
                <w:vertAlign w:val="superscript"/>
              </w:rPr>
              <w:t>(26)</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136,360.1600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255.9564</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118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Robert &amp; Theresa Krakauer JTWROS</w:t>
            </w:r>
            <w:r>
              <w:rPr>
                <w:rFonts w:ascii="Arial" w:cs="Arial" w:eastAsia="Arial" w:hAnsi="Arial"/>
                <w:sz w:val="22"/>
                <w:szCs w:val="22"/>
                <w:color w:val="auto"/>
                <w:vertAlign w:val="superscript"/>
              </w:rPr>
              <w:t>(27)</w:t>
            </w: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54,544.0600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102.3825</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269"/>
        </w:trPr>
        <w:tc>
          <w:tcPr>
            <w:tcW w:w="6500" w:type="dxa"/>
            <w:vAlign w:val="bottom"/>
            <w:gridSpan w:val="3"/>
          </w:tcPr>
          <w:p>
            <w:pPr>
              <w:spacing w:after="0"/>
              <w:rPr>
                <w:sz w:val="20"/>
                <w:szCs w:val="20"/>
                <w:color w:val="auto"/>
              </w:rPr>
            </w:pPr>
            <w:r>
              <w:rPr>
                <w:rFonts w:ascii="Arial" w:cs="Arial" w:eastAsia="Arial" w:hAnsi="Arial"/>
                <w:sz w:val="14"/>
                <w:szCs w:val="14"/>
                <w:color w:val="auto"/>
              </w:rPr>
              <w:t>Krakauer Family Partnership [c/o Robert &amp; Theresa Krakauer]</w:t>
            </w:r>
            <w:r>
              <w:rPr>
                <w:rFonts w:ascii="Arial" w:cs="Arial" w:eastAsia="Arial" w:hAnsi="Arial"/>
                <w:sz w:val="22"/>
                <w:szCs w:val="22"/>
                <w:color w:val="auto"/>
                <w:vertAlign w:val="superscript"/>
              </w:rPr>
              <w:t>(27)</w:t>
            </w:r>
          </w:p>
        </w:tc>
        <w:tc>
          <w:tcPr>
            <w:tcW w:w="34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36,362.7100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68.2550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5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Directors and executive officers as a group (16 persons)</w:t>
            </w: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38,588,508.2900</w:t>
            </w:r>
          </w:p>
        </w:tc>
        <w:tc>
          <w:tcPr>
            <w:tcW w:w="1180" w:type="dxa"/>
            <w:vAlign w:val="bottom"/>
            <w:gridSpan w:val="2"/>
            <w:shd w:val="clear" w:color="auto" w:fill="CCEEFF"/>
          </w:tcPr>
          <w:p>
            <w:pPr>
              <w:jc w:val="center"/>
              <w:ind w:left="272"/>
              <w:spacing w:after="0" w:line="148"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68,150.1871</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8" w:lineRule="exact"/>
        <w:rPr>
          <w:sz w:val="20"/>
          <w:szCs w:val="20"/>
          <w:color w:val="auto"/>
        </w:rPr>
      </w:pPr>
    </w:p>
    <w:p>
      <w:pPr>
        <w:ind w:left="580" w:right="100" w:hanging="572"/>
        <w:spacing w:after="0" w:line="288"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Citigroup Venture Capital Equity Partners, L.P. purchased the securities in the ordinary course of business, and at the time of purchase, it had no agreements or understandings, directly or indirectly, with any person to distribute them. Citigroup Venture Capital Equity Partners, L.P. may be deemed to beneficially own (a) 156,381.7100 common units held by CVC Executive Fund LLC and 175,511.8000 common units held by CVC/SSB Employee Fund, L.P. and (b) 293.5380 Series B preferred units held by CVC Executive Fund LLC and 329.4464 Series B preferred</w:t>
      </w:r>
    </w:p>
    <w:p>
      <w:pPr>
        <w:spacing w:after="0" w:line="2" w:lineRule="exact"/>
        <w:rPr>
          <w:rFonts w:ascii="Arial" w:cs="Arial" w:eastAsia="Arial" w:hAnsi="Arial"/>
          <w:sz w:val="12"/>
          <w:szCs w:val="12"/>
          <w:color w:val="auto"/>
        </w:rPr>
      </w:pPr>
    </w:p>
    <w:p>
      <w:pPr>
        <w:ind w:left="580" w:right="300"/>
        <w:spacing w:after="0" w:line="219" w:lineRule="auto"/>
        <w:rPr>
          <w:rFonts w:ascii="Arial" w:cs="Arial" w:eastAsia="Arial" w:hAnsi="Arial"/>
          <w:sz w:val="12"/>
          <w:szCs w:val="12"/>
          <w:color w:val="auto"/>
        </w:rPr>
      </w:pPr>
      <w:r>
        <w:rPr>
          <w:rFonts w:ascii="Arial" w:cs="Arial" w:eastAsia="Arial" w:hAnsi="Arial"/>
          <w:sz w:val="13"/>
          <w:szCs w:val="13"/>
          <w:color w:val="auto"/>
        </w:rPr>
        <w:t>units held by CVC/SSB Employee Fund, L.P. The address of Citigroup Venture Capital Equity Partners,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ind w:left="580" w:hanging="572"/>
        <w:spacing w:after="0" w:line="252"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As a result of the voting agreement among our sponsors and Peninsula Investments Pte. Ltd. set forth in our securityholders’ agreement, each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and Peninsula Investment Pte. Ltd. may be deemed to beneficially own 49,221,025.48 common units and 92,390.8833 Series B preferred units beneficially owned collectively by these persons but each such entity disclaims such beneficial ownership resulting from such voting agreement. These common units represent 93.2% of the total number of common units outstanding as of September 30, 2007, and these Series B preferred units represent 98.3% of the total number of Series B preferred units outstanding as of September 30, 2007. As a result of certain provisions of the securityholders’ agreement, including the ability of Court Square and Francisco Partners to cause each stockholder party to our securityholders’ agreement to transfer their securities under certain circumstances, each of Citigroup Venture Capital Equity Partners, L.P., CVC Executive Fund LLC, CVC/SSB Employee Fund, L.P., Francisco Partners, L.P., Francisco Partners Fund A, L.P., FP-MagnaChip Co-Invest, LLC and FP Annual Fund Investors, LLC may be deemed to beneficially own all of our securities beneficially owned by all of the stockholders party to our securityholders’ agreement but each such entity disclaims such beneficial ownership resulting from such arrangement.</w:t>
      </w:r>
    </w:p>
    <w:p>
      <w:pPr>
        <w:spacing w:after="0" w:line="141" w:lineRule="exact"/>
        <w:rPr>
          <w:rFonts w:ascii="Arial" w:cs="Arial" w:eastAsia="Arial" w:hAnsi="Arial"/>
          <w:sz w:val="12"/>
          <w:szCs w:val="12"/>
          <w:color w:val="auto"/>
        </w:rPr>
      </w:pPr>
    </w:p>
    <w:p>
      <w:pPr>
        <w:ind w:left="580" w:right="180" w:hanging="572"/>
        <w:spacing w:after="0" w:line="288"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 Executive Fund LLC purchased the securities in the ordinary course of business, and at the time of purchase, it had no agreements or understandings, directly or indirectly, with any person to distribute them. CVC Executive Fund LLC may be deemed to beneficially own (a) 17,630,628.4200 common units held by Citigroup Venture Capital Equity Partners, L.P. and 175,511.8000 common units held by CVC/SSB Employee Fund, L.P. and (b) 33,093.7702 Series B preferred units held by Citigroup Venture Capital Equity Partners, L.P. and 329.4464 Series B</w:t>
      </w:r>
    </w:p>
    <w:p>
      <w:pPr>
        <w:spacing w:after="0" w:line="2" w:lineRule="exact"/>
        <w:rPr>
          <w:rFonts w:ascii="Arial" w:cs="Arial" w:eastAsia="Arial" w:hAnsi="Arial"/>
          <w:sz w:val="12"/>
          <w:szCs w:val="12"/>
          <w:color w:val="auto"/>
        </w:rPr>
      </w:pPr>
    </w:p>
    <w:p>
      <w:pPr>
        <w:ind w:left="580" w:right="60"/>
        <w:spacing w:after="0" w:line="207" w:lineRule="auto"/>
        <w:rPr>
          <w:rFonts w:ascii="Arial" w:cs="Arial" w:eastAsia="Arial" w:hAnsi="Arial"/>
          <w:sz w:val="12"/>
          <w:szCs w:val="12"/>
          <w:color w:val="auto"/>
        </w:rPr>
      </w:pPr>
      <w:r>
        <w:rPr>
          <w:rFonts w:ascii="Arial" w:cs="Arial" w:eastAsia="Arial" w:hAnsi="Arial"/>
          <w:sz w:val="14"/>
          <w:szCs w:val="14"/>
          <w:color w:val="auto"/>
        </w:rPr>
        <w:t>preferred units held by CVC/SSB Employee Fund, L.P. The address of CVC Executive Fund LLC is c/o Court Square Capital Partners, 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ind w:left="580" w:right="200" w:hanging="572"/>
        <w:spacing w:after="0" w:line="272"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CVC/SSB Employee Fund, L.P. purchased the securities in the ordinary course of business, and at the time of purchase, it had no agreements or understandings, directly or indirectly, with any person to distribute them. CVC/SSB Employee Fund, L.P. may be deemed to beneficially own (a) 17,630,628.4200 common units held by Citigroup Venture Capital Equity Partners, L.P.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156,381.7100 common units by CVC Executive Fund LLC and (b) 33,093.7702 Series B preferred units held by Citigroup Venture Capital Equity Partners, L.P. and 293.5380 Series</w:t>
      </w:r>
    </w:p>
    <w:p>
      <w:pPr>
        <w:spacing w:after="0" w:line="44" w:lineRule="exact"/>
        <w:rPr>
          <w:sz w:val="20"/>
          <w:szCs w:val="20"/>
          <w:color w:val="auto"/>
        </w:rPr>
      </w:pPr>
    </w:p>
    <w:p>
      <w:pPr>
        <w:ind w:left="580" w:right="120"/>
        <w:spacing w:after="0" w:line="207" w:lineRule="auto"/>
        <w:rPr>
          <w:sz w:val="20"/>
          <w:szCs w:val="20"/>
          <w:color w:val="auto"/>
        </w:rPr>
      </w:pPr>
      <w:r>
        <w:rPr>
          <w:rFonts w:ascii="Arial" w:cs="Arial" w:eastAsia="Arial" w:hAnsi="Arial"/>
          <w:sz w:val="14"/>
          <w:szCs w:val="14"/>
          <w:color w:val="auto"/>
        </w:rPr>
        <w:t>B preferred units held by CVC Executive Fund LLC. The address of CVC/SSB Employee Fund, L.P. is c/o Court Square Capital Partners, 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spacing w:after="0" w:line="68" w:lineRule="exact"/>
        <w:rPr>
          <w:sz w:val="20"/>
          <w:szCs w:val="20"/>
          <w:color w:val="auto"/>
        </w:rPr>
      </w:pPr>
    </w:p>
    <w:p>
      <w:pPr>
        <w:ind w:left="580" w:right="220" w:hanging="572"/>
        <w:spacing w:after="0" w:line="258" w:lineRule="auto"/>
        <w:tabs>
          <w:tab w:leader="none" w:pos="5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sole general partner of Francisco Partners, L.P. is Francisco Partners GP, LLC. Voting and investment power over securities held by Francisco Partners,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L.P. Francisco Partners, L.P. Francisco Partners, L.P. may be deemed to beneficially own (a) 83,423.4000 common units held by Francisco Partners Fund A, L.P., 909,067.7600 common units held by FP-MagnaChip Co-Invest, LLC and 28,268.5600 common units held by FP Annual Fund Investors, LLC and (b) 156.5909 Series B preferred units held by Francisco Partners Fund A, L.P., 1,706.3760 Series B preferred units held by FP-MagnaChip Co-Invest, LLC and 53.0617 Series B preferred units held by FP Annual Fund Investors, LLC. The address of Francisco Partners, L.P. is Letterman Digital Arts Center, One Letterman Drive, Building C, Suite 410, San Francisco, CA 94129.</w:t>
      </w:r>
    </w:p>
    <w:p>
      <w:pPr>
        <w:spacing w:after="0" w:line="1" w:lineRule="exact"/>
        <w:rPr>
          <w:rFonts w:ascii="Arial" w:cs="Arial" w:eastAsia="Arial" w:hAnsi="Arial"/>
          <w:sz w:val="12"/>
          <w:szCs w:val="12"/>
          <w:color w:val="auto"/>
        </w:rPr>
      </w:pPr>
    </w:p>
    <w:p>
      <w:pPr>
        <w:ind w:left="580" w:right="12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sole general partner of Francisco Partners Fund A, L.P. is Francisco Partners GP, LLC. Voting and investment power over securities held by Francisco Partners Fund A,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Fund A, L.P. Francisco Partners Fund A, L.P. may be deemed to beneficially own (a) 16,941,762.2000 common units held by Francisco Partners, L.P., 909,067.7600 common units held by FP-MagnaChip Co-Invest, LLC and 28,268.5600 common units held by FP Annual Fund Investors, LLC and (b) 31,800.7261 Series B preferred units held by Francisco Partners, L.P., 1,706.3760 Series B preferred units held by FP-MagnaChip Co-Invest, LLC and 53.0617 Series B preferred units held by FP Annual Fund Investors, LLC. The address of Francisco Partners Fund A, L.P.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right="4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sole manager of FP-MagnaChip Co-Invest, LLC is Francisco Partners GP, LLC. Voting and investment power over securities held by FP-MagnaChip Co-Invest, LLC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FP-MagnaChip Co-Invest, LLC. FP-MagnaChip Co-Invest, LLC may be deemed to beneficially own (a) 16,941,762.2000 common units held by Francisco Partners, L.P. , 83,423.4000 common units held by Francisco Partners Fund A, L.P. and 28,268.5600 common units held by FP Annual Investors, LLC and (b) 31,800.7261 Series B preferred units held by Francisco Partners, L.P., 156.5909 Series B preferred units held by Francisco Partners Fund A, L.P. and 53.0617 Series B preferred units held by FP Annual Fund Investors, LLC. The address of FP-MagnaChip Co-Invest, LLC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sole manager of FP Annual Fund Investors, LLC is Francisco Partners Management, LLC. Voting and investment power over securities held by FP Annual Fund Investors, LLC belongs to the managers of Francisco Partners Management, LLC. The managers of Francisco Partners Management, LLC are Benjamin H. Ball, Dipanjan Deb, Neil M. Garfinkel, Keith B. Geeslin, David R. Golob, Sanford R. Robertson and David M. Stanton. Each of these managers disclaims beneficial ownership of the securities held by FP Annual Fund Investors, LLC. FP Annual Investors, LLC may be deemed to beneficially own (a) 16,941,762.2000 common units held by Francisco Partners, L.P., 83,423.4000 common units held by Francisco Partners Fund A, L.P. and 909,067.7600 common units held by FP-MagnaChip Co-Invest, LLC and (b) 31,800.7261 Series B preferred units held by Francisco Partners, L.P., 156.5909 Series B preferred units held by Francisco Partners Fund A, L.P. and 1,706.3760 Series B preferred units held by FP-MagnaChip Co-Invest, LLC. The address of FP Annual Investors, LLC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hanging="572"/>
        <w:spacing w:after="0" w:line="258" w:lineRule="auto"/>
        <w:tabs>
          <w:tab w:leader="none" w:pos="580" w:val="left"/>
        </w:tabs>
        <w:numPr>
          <w:ilvl w:val="0"/>
          <w:numId w:val="75"/>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L.P. purchased the securities in the ordinary course of business, and at the time of purchase, it had no agreements or understandings, directly or indirectly, with any person to distribute them. CVC Capital Partners Asia Pacific L.P. may be deemed to beneficially own</w:t>
      </w:r>
    </w:p>
    <w:p>
      <w:pPr>
        <w:ind w:left="580" w:right="20"/>
        <w:spacing w:after="0" w:line="221" w:lineRule="auto"/>
        <w:rPr>
          <w:rFonts w:ascii="Arial" w:cs="Arial" w:eastAsia="Arial" w:hAnsi="Arial"/>
          <w:sz w:val="12"/>
          <w:szCs w:val="12"/>
          <w:color w:val="auto"/>
        </w:rPr>
      </w:pPr>
      <w:r>
        <w:rPr>
          <w:rFonts w:ascii="Arial" w:cs="Arial" w:eastAsia="Arial" w:hAnsi="Arial"/>
          <w:sz w:val="14"/>
          <w:szCs w:val="14"/>
          <w:color w:val="auto"/>
        </w:rPr>
        <w:t>(a) 4,048,152.3700 common units held by CVC Capital Partners Asia Pacific II L.P., 781,702.9100 common units held by CVC Capital Partners Asia Pacific II Parallel Fund—A, L.P. and 1,609,951.7600 common units of Asia Investors LLC and (b) 7,598.6306 Series B preferred units held by CVC Capital Partners Asia Pacific II L.P., 1,467.3043 Series B preferred units held by CVC Capital Partners Asia Pacific II Parallel Fund—A, L.P. and 3,021.9784 Series B preferred units of Asia Investors LLC. The address of CVC Capital Partners Asia Pacific L.P. is c/o CVC Capital Partners Asia Limited, 18 Grenville Street, St. Helier, Jersey JE4 8PX, Channel Islands.</w:t>
      </w:r>
    </w:p>
    <w:p>
      <w:pPr>
        <w:spacing w:after="0" w:line="1" w:lineRule="exact"/>
        <w:rPr>
          <w:rFonts w:ascii="Arial" w:cs="Arial" w:eastAsia="Arial" w:hAnsi="Arial"/>
          <w:sz w:val="12"/>
          <w:szCs w:val="12"/>
          <w:color w:val="auto"/>
        </w:rPr>
      </w:pPr>
    </w:p>
    <w:p>
      <w:pPr>
        <w:ind w:left="580" w:right="120" w:hanging="572"/>
        <w:spacing w:after="0" w:line="224"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CVC Capital Partners Asia Pacific II L.P. purchased the securities in the ordinary course of business, and at the time of purchase, it had no agreements or understandings, directly or indirectly, with any person to distribute them. CVC Capital Partners Asia Pacific II L.P. may be deemed to beneficially own (a) 3,219,903.5200 common units held by CVC Capital Partners Asia Pacific L.P., 781,702.9100 common units held by CVC Capital Partners Asia Pacific II Parallel Fund—A, L.P. and 1,609,951.7600 common units of Asia Investors LLC and (b) 6,043.9566 Series B preferred units held by CVC Capital Partners Asia Pacific L.P., 1,467.3043 Series B preferred units held by CVC Capital Partners Asia Pacific II Parallel Fund—A, L.P. and 3,021.9784 Series B preferred units of Asia Investors LLC. The address of CVC Capital Partners Asia Pacific II L.P. is c/o CVC Capital Partners Asia II Limited, 22 Grenville Street, St. Helier, Jersey JE4 8PX, Channel Islands.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60" w:hanging="572"/>
        <w:spacing w:after="0" w:line="258" w:lineRule="auto"/>
        <w:tabs>
          <w:tab w:leader="none" w:pos="5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Parallel Fund--A, L.P. purchased the securities in the ordinary course of business, and at the time of purchase, it had no agreements or understandings, directly or indirectly, with any person to distribute them. CVC Capital Partners Asia Pacific II Parallel Fund—A, L.P. may be deemed to beneficially own (a) 3,219,903.5200 common units held by CVC Capital Partners Asia Pacific L.P., 4,048,152.3700 common units held by CVC Capital Partners Asia Pacific II L.P. and 1,609,951.7600 common units of Asia Investors LLC and (b) 6,043.9566 Series B preferred units held by CVC Capital Partners Asia Pacific L.P., 7,598.6306 Series B preferred units held by CVC Capital Partners Asia Pacific II L.P. and 3,021.9784 Series B preferred units of Asia Investors LLC. The address of CVC Capital Partners Asia Pacific II Parallel Fund—A, L.P. is c/o CVC Capital Partners Asia II Limited, 22 Grenville Street, St. Helier, Jersey JE4 8PX, Channel Islands.</w:t>
      </w:r>
    </w:p>
    <w:p>
      <w:pPr>
        <w:spacing w:after="0" w:line="1"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Asia Investors LLC may be deemed to beneficially own (a) 3,219,903.5200 common units held by CVC Capital Partners Asia Pacific L.P., 4,048,152.3700 common units held by CVC Capital Partners Asia Pacific II L.P. and 781,702.9100 common units held by CVC Capital Partners Asia Pacific II Parallel Fund—A, L.P. and (b) 6,043.9566 Series B preferred units held by CVC Capital Partners Asia Pacific L.P., 7,598.6306 Series B preferred units held by CVC Capital Partners Asia Pacific II L.P. and 1,467.3043 Series B preferred units held by CVC Capital Partners Asia Pacific II 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The address of Peninsula Investment Pte. Ltd. is 255 Shoreline Drive, Suite 600, Redwood City, CA 94065.</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136,449.5000 common units held by the Baker Family Revocable Trust [c/o Jerry &amp; Paula Baker, Trustees] and 204,674.2500 restricted common units held by Mr. Baker and (b) 255.9564 Series B preferred units held by the Baker Family Revocable Trust. Restricted common units are subject to a right of repurchase by MagnaChip. The address of Mr. Baker is 3101 North First Street, San Jose, CA 95134.</w:t>
      </w:r>
    </w:p>
    <w:p>
      <w:pPr>
        <w:ind w:left="580" w:right="2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 Each of Mr. Deb and Mr. Potamianos is a member of management of Francisco Partners, L.P. and disclaims beneficial ownership of the units held by Francisco Partners, L.P., Francisco Partners Fund A, L.P., FP-MagnaChip Co-Invest, LLC and FP Annual Fund Investors, LLC and the units which such entities may be deemed to beneficially own as described in footnote 2. The address of each of Mr. Deb and Mr. Potamianos is c/o Francisco Partners, L.P., 2882 Sand Hill Road, Suite 280, Menlo Park, CA 94025.</w:t>
      </w:r>
    </w:p>
    <w:p>
      <w:pPr>
        <w:spacing w:after="0" w:line="2" w:lineRule="exact"/>
        <w:rPr>
          <w:rFonts w:ascii="Arial" w:cs="Arial" w:eastAsia="Arial" w:hAnsi="Arial"/>
          <w:sz w:val="14"/>
          <w:szCs w:val="14"/>
          <w:color w:val="auto"/>
        </w:rPr>
      </w:pPr>
    </w:p>
    <w:p>
      <w:pPr>
        <w:ind w:left="580" w:right="36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76,562.5000 common units that Mr. Geday may purchase pursuant to the exercise of options vesting on September 30, 2007. The address of Mr. Geday is 16 Rue de Belzunce, 75010, Paris, France.</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204,674.2500 common units that Mr. Hwang may purchase pursuant to the exercise of options vesting on September 30, 2007.</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54,544.0600 common units held by Robert &amp; Theresa Krakauer JTWROS, for which Mr. Krakauer shares voting and investment power with his spouse, Theresa Krakauer, (b) 36,362.7100 common units held by the Krakauer Family Partnership [c/o Robert &amp; Theresa Krakauer], for which Mr. Krakauer shares voting and investment power with Theresa Krakauer and (c) 170,561.7500 restricted common units. Restricted common units are subject to a right of repurchase by MagnaChip.</w:t>
      </w:r>
    </w:p>
    <w:p>
      <w:pPr>
        <w:ind w:left="580" w:right="4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Mr. Kuan is a member of management of CVC Asia Pacific Limited, an investment advisor to the general partners of CVC Capital Partners Asia Pacific L.P., CVC Capital Partners Asia Pacific II L.P. and CVC Capital Partners Asia Pacific II Parallel Fund - A, L.P., as well as to Asia Investors LLC. The address of Mr. Kuan is CVC Asia Pacific Limited, Suite 901-3, ICBC Tower, Citibank Plaza, 3 Garden Road, Central, Hong Kong. Because he has no direct or indirect voting or investment power over the units held by such entities, Mr. Kuan disclaims beneficial ownership of all the units held by such entities. Asia Investors LLC has previously co-invested alongside of CVC Capital Partners Asia Pacific L.P. but is not a subsidiary of the CVC Capital Partners group of companies.</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204,674.2500 common units that Mr. Lee may purchase pursuant to an option vesting on September 30, 2007.</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34,112.5000 restricted common units that are subject to a right of repurchase by MagnaChip.</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15,000 common units that Mr. Norby may purchase pursuant to the exercise of options vesting on November 27, 2007. The address of Mr. Norby is 12169 Hilltop Drive, Los Altos Hills, CA 94024.</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300,000 common units that Mr. Park may purchase pursuant to the exercise of options vesting on November 27, 2007.</w:t>
      </w:r>
    </w:p>
    <w:p>
      <w:pPr>
        <w:ind w:left="580" w:right="6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ind w:left="580" w:hanging="572"/>
        <w:spacing w:after="0" w:line="221"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(a) 17,630,628.4200 common units held by Citigroup Venture Capital Equity Partners, L.P., 156,381.7100 common units held by CVC Executive Fund LLC and</w:t>
      </w:r>
    </w:p>
    <w:p>
      <w:pPr>
        <w:ind w:left="580" w:right="80"/>
        <w:spacing w:after="0" w:line="231" w:lineRule="auto"/>
        <w:rPr>
          <w:rFonts w:ascii="Arial" w:cs="Arial" w:eastAsia="Arial" w:hAnsi="Arial"/>
          <w:sz w:val="14"/>
          <w:szCs w:val="14"/>
          <w:color w:val="auto"/>
        </w:rPr>
      </w:pPr>
      <w:r>
        <w:rPr>
          <w:rFonts w:ascii="Arial" w:cs="Arial" w:eastAsia="Arial" w:hAnsi="Arial"/>
          <w:sz w:val="14"/>
          <w:szCs w:val="14"/>
          <w:color w:val="auto"/>
        </w:rPr>
        <w:t>175,511.8000 common units held by CVC/SSB Employee Fund, L.P. and (b) 33,093.7702 Series B preferred units held by Citigroup Venture Capital Equity Partners, L.P., 293.5380 Series B</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spacing w:after="0" w:line="226" w:lineRule="auto"/>
        <w:rPr>
          <w:sz w:val="20"/>
          <w:szCs w:val="20"/>
          <w:color w:val="auto"/>
        </w:rPr>
      </w:pPr>
      <w:r>
        <w:rPr>
          <w:rFonts w:ascii="Arial" w:cs="Arial" w:eastAsia="Arial" w:hAnsi="Arial"/>
          <w:sz w:val="14"/>
          <w:szCs w:val="14"/>
          <w:color w:val="auto"/>
        </w:rPr>
        <w:t>preferred units held by CVC Executive Fund LLC and 329.4464 Series B preferred units held by CVC/SSB Employee Fund, L.P. Mr. Thomas is a member of management of Citigroup Venture Capital Equity Partners, L.P. and disclaims beneficial ownership of the units held by Citigroup Venture Capital Equity Partners, L.P., CVC Executive Fund LLC and CVC/SSB Employee Fund, L.P., and the units which such entities may be deemed to beneficially own as described in footnote 2. The address of Mr. Thomas is c/o Court Square Capital Partners, 55 E. 52nd Street, 34th Floor, New York, NY 10055.</w:t>
      </w:r>
    </w:p>
    <w:p>
      <w:pPr>
        <w:ind w:left="580" w:hanging="572"/>
        <w:spacing w:after="0" w:line="223" w:lineRule="auto"/>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Baker holds voting and investment power with respect to these securities.</w:t>
      </w:r>
    </w:p>
    <w:p>
      <w:pPr>
        <w:ind w:left="580" w:hanging="572"/>
        <w:spacing w:after="0"/>
        <w:tabs>
          <w:tab w:leader="none" w:pos="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Krakauer shares voting and investment power with respect to these securities with his spouse, Theresa Krakauer.</w:t>
      </w:r>
    </w:p>
    <w:p>
      <w:pPr>
        <w:spacing w:after="0" w:line="153"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Each of the selling stockholders acquired the shares of common stock to be sold by such stockholders in this offering in exchange for common units of MagnaChip Semiconductor LLC pursuant to the corporate reorganization which will occur immediately prior to the closing of this offering. Such selling stockholders acquired such common units of MagnaChip Semiconductor LLC as follows:</w:t>
      </w:r>
    </w:p>
    <w:p>
      <w:pPr>
        <w:spacing w:after="0" w:line="73" w:lineRule="exact"/>
        <w:rPr>
          <w:sz w:val="20"/>
          <w:szCs w:val="20"/>
          <w:color w:val="auto"/>
        </w:rPr>
      </w:pPr>
    </w:p>
    <w:p>
      <w:pPr>
        <w:ind w:left="820" w:right="20" w:hanging="245"/>
        <w:spacing w:after="0" w:line="238"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September 30, 2004, Citigroup Venture Capital Equity Partners, L.P., CVC Executive Fund LLC, CVC/SSB Employee Fund, L.P., Francisco Partners, L.P., Francisco Partners Fund A, L.P., CVC Capital Partners Asia Pacific L.P., CVC Capital Partners Asia II Limited, Asia Investors LLC and Peninsula Investment Pte. Ltd. acquired common units of MagnaChip Semiconductor LLC;</w:t>
      </w:r>
    </w:p>
    <w:p>
      <w:pPr>
        <w:spacing w:after="0" w:line="72" w:lineRule="exact"/>
        <w:rPr>
          <w:rFonts w:ascii="Arial" w:cs="Arial" w:eastAsia="Arial" w:hAnsi="Arial"/>
          <w:sz w:val="18"/>
          <w:szCs w:val="18"/>
          <w:color w:val="auto"/>
        </w:rPr>
      </w:pPr>
    </w:p>
    <w:p>
      <w:pPr>
        <w:ind w:left="820" w:right="680" w:hanging="245"/>
        <w:spacing w:after="0" w:line="239"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October 2004, Francisco Partners, L.P. and Francisco Partners Fund A, L.P. transferred certain of their common units to FP-MagnaChip Co-Invest, LLC and FP Annual Fund Investors, LLC;</w:t>
      </w:r>
    </w:p>
    <w:p>
      <w:pPr>
        <w:spacing w:after="0" w:line="73"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May 2005, CVC Capital Partners Asia II Limited transferred all of its common units to CVC Capital Partners Asia Pacific II L.P. and CVC Capital Partners Asia Pacific II Parallel Fund—A, L.P.; and</w:t>
      </w:r>
    </w:p>
    <w:p>
      <w:pPr>
        <w:spacing w:after="0" w:line="73" w:lineRule="exact"/>
        <w:rPr>
          <w:rFonts w:ascii="Arial" w:cs="Arial" w:eastAsia="Arial" w:hAnsi="Arial"/>
          <w:sz w:val="18"/>
          <w:szCs w:val="18"/>
          <w:color w:val="auto"/>
        </w:rPr>
      </w:pPr>
    </w:p>
    <w:p>
      <w:pPr>
        <w:ind w:left="820" w:right="260" w:hanging="245"/>
        <w:spacing w:after="0" w:line="238" w:lineRule="auto"/>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November 2004, Victoria Miller Nam, Jerry M. Baker, Baker Family Revocable Trust [c/o Jerry &amp; Paula Baker, Trustees], Robert &amp; Theresa Krakauer JTWROS, Krakauer Family Partnership [c/o Robert &amp; Theresa Krakauer] and Robert J. Krakauer acquired their common units.</w:t>
      </w:r>
    </w:p>
    <w:p>
      <w:pPr>
        <w:spacing w:after="0" w:line="154" w:lineRule="exact"/>
        <w:rPr>
          <w:sz w:val="20"/>
          <w:szCs w:val="20"/>
          <w:color w:val="auto"/>
        </w:rPr>
      </w:pPr>
    </w:p>
    <w:p>
      <w:pPr>
        <w:ind w:right="660" w:firstLine="571"/>
        <w:spacing w:after="0" w:line="239" w:lineRule="auto"/>
        <w:rPr>
          <w:sz w:val="20"/>
          <w:szCs w:val="20"/>
          <w:color w:val="auto"/>
        </w:rPr>
      </w:pPr>
      <w:r>
        <w:rPr>
          <w:rFonts w:ascii="Arial" w:cs="Arial" w:eastAsia="Arial" w:hAnsi="Arial"/>
          <w:sz w:val="18"/>
          <w:szCs w:val="18"/>
          <w:color w:val="auto"/>
        </w:rPr>
        <w:t>MagnaChip Semiconductor LLC received $1.00 in consideration for each of its common units issued to the selling stockholders as described above.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Original Acquisition and the related equity financing, MagnaChip Korea and MagnaChip Semiconductor LLC entered into advisory agreements with each of Court Square Advisor, LLC (successor in interest to CVC Management LLC), Francisco Partners Management, LLC and CVC Capital Partners Asia Limited, which are related to Court Square, Francisco Partners and CVC Asia Pacific, respectively, pursuant to which agreements such entities may provide financial, advisory and consulting services to MagnaChip Korea and MagnaChip Semiconductor LLC.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Court Square Advisor, Francisco Partners Management and CVC Capital Partners Asia Limited. Pursuant to the advisory agreements, we will pay to the sponsors an aggregate of $9.75 million for services provided prior to the completion of this offering. Following such payment, the sponsors will no longer be required to provide advisory services under the advisory agreements, and all future annual advisory fees under the advisory agreements will cease. However, we may pay future services fees to the sponsors in exchange for any acquisition, financing or other advisory services as we and the sponsors may agree.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Securityholders’ Agreement and Amended and Restated Bylaws</w:t>
      </w:r>
    </w:p>
    <w:p>
      <w:pPr>
        <w:spacing w:after="0" w:line="9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We and certain of our stockholders, including the sponsors, are parties to the securityholders’ agreement that will be amended and restated upon the completion of this offering. The amended and restated securityholders’ agreement (as well as our amended and restated bylaws) covers matters of corporate governance. In addition, the amended and restated securityholders’ agreement also contains restrictions on transfer of our securities, tag-along rights, rights to compel a sale, registration rights and information rights, all as described below.</w:t>
      </w:r>
    </w:p>
    <w:p>
      <w:pPr>
        <w:spacing w:after="0" w:line="13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Our amended and restated bylaws and securityholders’ agreement provide that our board of directors will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 ten members. Court Square, Francisco Partners, CVC Asia Pacific and Peninsula and we have agreed that the nominees to our board of directors will include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Until such time as we no longer qualify for the “controlled company exception,” the board of directors may not take certain significant actions without the approval of the board designees of Court Square or Francisco Partners. These actions include, among others: mergers, acquisitions or sales of assets; the declaration of dividends or other distributions; any liquidation, dissolution or bankruptcy; any incurrence or refinancing of indebtedness in excess of $2.0 million; issuances of securities; appointment, dismissal and compensation and benefits for our chief executive officer and chief financial officer; approval of our business plan, budget and strategy; amendments to the securityholders’ agreement and our certificate of incorporation and bylaws; and any increase or decrease in the number of directors that comprise the board. See “Management—Board Composition.”</w:t>
      </w:r>
    </w:p>
    <w:p>
      <w:pPr>
        <w:spacing w:after="0" w:line="142"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 xml:space="preserve">Restrictions on Transfer. </w:t>
      </w:r>
      <w:r>
        <w:rPr>
          <w:rFonts w:ascii="Arial" w:cs="Arial" w:eastAsia="Arial" w:hAnsi="Arial"/>
          <w:sz w:val="18"/>
          <w:szCs w:val="18"/>
          <w:color w:val="auto"/>
        </w:rPr>
        <w:t>Generally, the parties to the amended and restated securityholders’ agreement are prohibited from transferring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MagnaChip securities without complying with restrictions relating to the timing of the transfer, the number of securities subject to the transfer and the transferee of such securities. Subject to certain exceptions reflected in the securityholders’ agreement, each transfer of securities by a party to the securityholders’ agreement is subject to the following provisions:</w:t>
      </w:r>
    </w:p>
    <w:p>
      <w:pPr>
        <w:spacing w:after="0" w:line="53" w:lineRule="exact"/>
        <w:rPr>
          <w:sz w:val="20"/>
          <w:szCs w:val="20"/>
          <w:color w:val="auto"/>
        </w:rPr>
      </w:pPr>
    </w:p>
    <w:p>
      <w:pPr>
        <w:ind w:right="80" w:firstLine="571"/>
        <w:spacing w:after="0" w:line="260" w:lineRule="auto"/>
        <w:rPr>
          <w:sz w:val="20"/>
          <w:szCs w:val="20"/>
          <w:color w:val="auto"/>
        </w:rPr>
      </w:pPr>
      <w:r>
        <w:rPr>
          <w:rFonts w:ascii="Arial" w:cs="Arial" w:eastAsia="Arial" w:hAnsi="Arial"/>
          <w:sz w:val="18"/>
          <w:szCs w:val="18"/>
          <w:i w:val="1"/>
          <w:iCs w:val="1"/>
          <w:color w:val="auto"/>
        </w:rPr>
        <w:t>Tag-Along Sale</w:t>
      </w:r>
      <w:r>
        <w:rPr>
          <w:rFonts w:ascii="Arial" w:cs="Arial" w:eastAsia="Arial" w:hAnsi="Arial"/>
          <w:sz w:val="18"/>
          <w:szCs w:val="18"/>
          <w:color w:val="auto"/>
        </w:rPr>
        <w:t>. Neither Court Square nor Francisco Partners shall transfer its securities, subject to limited exceptions, without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stockholder that is party to the securityholders’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agreement to participate ratably in the sale as a tagging person on the basis of the tagging person’s percentage ownership of the common shares being transferred. The tag-along provisions expire on the date on which Court Square and Francisco Partners together cease to own an aggregate of 35% or more of their initial ownership of common shares. The tag-along provisions do not apply to sales in a public offering, pursuant to Rule 144 of the Securities Act or in a compelled sale, as described below.</w:t>
      </w:r>
    </w:p>
    <w:p>
      <w:pPr>
        <w:spacing w:after="0" w:line="137" w:lineRule="exact"/>
        <w:rPr>
          <w:sz w:val="20"/>
          <w:szCs w:val="20"/>
          <w:color w:val="auto"/>
        </w:rPr>
      </w:pPr>
    </w:p>
    <w:p>
      <w:pPr>
        <w:ind w:right="340" w:firstLine="571"/>
        <w:spacing w:after="0" w:line="293" w:lineRule="auto"/>
        <w:rPr>
          <w:sz w:val="20"/>
          <w:szCs w:val="20"/>
          <w:color w:val="auto"/>
        </w:rPr>
      </w:pPr>
      <w:r>
        <w:rPr>
          <w:rFonts w:ascii="Arial" w:cs="Arial" w:eastAsia="Arial" w:hAnsi="Arial"/>
          <w:sz w:val="16"/>
          <w:szCs w:val="16"/>
          <w:i w:val="1"/>
          <w:iCs w:val="1"/>
          <w:color w:val="auto"/>
        </w:rPr>
        <w:t xml:space="preserve">Compelled Sale. </w:t>
      </w:r>
      <w:r>
        <w:rPr>
          <w:rFonts w:ascii="Arial" w:cs="Arial" w:eastAsia="Arial" w:hAnsi="Arial"/>
          <w:sz w:val="16"/>
          <w:szCs w:val="16"/>
          <w:color w:val="auto"/>
        </w:rPr>
        <w:t>Court Square and Francisco Partners together have the right to effect a compelled sale, which means that if they</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 a transfer of a significant percentage of their MagnaChip securities, they can require the other stockholders party to the agreement to participate ratably in that transfer. The compelled sale provision terminates on the third anniversary of the closing of this offering.</w:t>
      </w:r>
    </w:p>
    <w:p>
      <w:pPr>
        <w:spacing w:after="0" w:line="96" w:lineRule="exact"/>
        <w:rPr>
          <w:sz w:val="20"/>
          <w:szCs w:val="20"/>
          <w:color w:val="auto"/>
        </w:rPr>
      </w:pPr>
    </w:p>
    <w:p>
      <w:pPr>
        <w:ind w:right="340" w:firstLine="571"/>
        <w:spacing w:after="0" w:line="260"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Court Square, Francisco Partners, CVC Asia Pacific and the other parties to the securityholders’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rights with respect to our common stock. See “Description of Capital Stock—Registration Rights.”</w:t>
      </w:r>
    </w:p>
    <w:p>
      <w:pPr>
        <w:spacing w:after="0" w:line="119"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i w:val="1"/>
          <w:iCs w:val="1"/>
          <w:color w:val="auto"/>
        </w:rPr>
        <w:t xml:space="preserve">Information Rights. </w:t>
      </w:r>
      <w:r>
        <w:rPr>
          <w:rFonts w:ascii="Arial" w:cs="Arial" w:eastAsia="Arial" w:hAnsi="Arial"/>
          <w:sz w:val="16"/>
          <w:szCs w:val="16"/>
          <w:color w:val="auto"/>
        </w:rPr>
        <w:t>Pursuant to the securityholders’ agreement we are obligated to deliver to the parties to the agreement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management reports, reports from our independent public accountants, information related to our indebtedness and any additional information regarding our financial position or business that they reasonably request, subject to the confidentiality obligations under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Under our Code of Business Conduct and Ethics, all conflicts of interest and related party transactions that are determined to be material by the Chief Financial Officer must be reviewed and approved in writing by our audit committee.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(1) compliance with laws, rules and regulations, (2) the adverse affect on our business and results of operations, (3) the adverse affect on our relationships with third parties such as customers, vendors and potential investors, (4) the benefit to the director, officer or employee at issue, and (5) the creation of morale problems among other employees.</w:t>
      </w:r>
    </w:p>
    <w:p>
      <w:pPr>
        <w:spacing w:after="0" w:line="15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the securityholders’ agreement provides that, until such time as we no longer qualify for the “controlled company exception,” our board of directors, and the director designees of Court Square or Francisco Partners, must approve any contract with, obligation to or transaction or series of transactions between, us and one or more of our securityholders or their affiliates.</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In November 2006, Sang Park, our Chief Executive Officer and Chairman, purchased in the open market $69,000 aggregate principal amount of our 8% senior subordinated notes due 2014, which we refer to as the 8% Notes, at a price of approximately $50,000 (which includes approximately $2,500 paid with respect to accrued interest), and Robert J. Krakauer, our President and Chief Financial Officer and a director, purchased in the open market $138,000 aggregate principal amount of the 8% Notes at a price of approximately $100,000 (which includes approximately $5,000 paid with respect to accrued interest). Mr. Park and Mr. Krakauer received interest on the 8% notes which they purchased at the stated interest rate throughout 2006 and the first nine months of 2007. Additionally, Paul C. Schorr IV, a director, purchased $175,000 in aggregate principal amount of the 8% notes in the open market in February 2007 at a price of approximately $127,000 and an additional $280,000 in aggregate principal amount of the 8% notes in August 2007 at a price of approximately $178,000. Mr. Schorr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received interest on these 8% notes at the stated interest rate throughout 2006 and the first nine months of 2007. None of the foregoing purchases of the 8% Notes was subject to our related party transaction or conflict of interest approval process set forth in our Code of Business Conduct and Ethics or the securityholders’ agreement because the 8% Notes were not purchased from us.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The following description of our capital stock and provisions of our amended and restated certificate of incorporation and our amended and restated bylaws are summaries and are qualified by reference to the amended and restated certificate of incorporation and the amended and restated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immediately prior to and upon the closing of this offering.</w:t>
      </w:r>
    </w:p>
    <w:p>
      <w:pPr>
        <w:spacing w:after="0" w:line="154" w:lineRule="exact"/>
        <w:rPr>
          <w:sz w:val="20"/>
          <w:szCs w:val="20"/>
          <w:color w:val="auto"/>
        </w:rPr>
      </w:pPr>
    </w:p>
    <w:p>
      <w:pPr>
        <w:ind w:right="140" w:firstLine="571"/>
        <w:spacing w:after="0" w:line="234" w:lineRule="auto"/>
        <w:rPr>
          <w:sz w:val="20"/>
          <w:szCs w:val="20"/>
          <w:color w:val="auto"/>
        </w:rPr>
      </w:pPr>
      <w:r>
        <w:rPr>
          <w:rFonts w:ascii="Arial" w:cs="Arial" w:eastAsia="Arial" w:hAnsi="Arial"/>
          <w:sz w:val="18"/>
          <w:szCs w:val="18"/>
          <w:color w:val="auto"/>
        </w:rPr>
        <w:t>Upon the closing of this offering, our authorized capital stock will consist of shares of common stock, par value $0.01 per share, 0 shares of Series B preferred stock, stated value $1,000 per share and shares of our preferred stock, par value $0.01 per share,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rights and preferences of which may be established from time to time by our board of directors.</w:t>
      </w:r>
    </w:p>
    <w:p>
      <w:pPr>
        <w:spacing w:after="0" w:line="158" w:lineRule="exact"/>
        <w:rPr>
          <w:sz w:val="20"/>
          <w:szCs w:val="20"/>
          <w:color w:val="auto"/>
        </w:rPr>
      </w:pPr>
    </w:p>
    <w:p>
      <w:pPr>
        <w:jc w:val="both"/>
        <w:ind w:right="180" w:firstLine="571"/>
        <w:spacing w:after="0" w:line="281" w:lineRule="auto"/>
        <w:rPr>
          <w:sz w:val="20"/>
          <w:szCs w:val="20"/>
          <w:color w:val="auto"/>
        </w:rPr>
      </w:pPr>
      <w:r>
        <w:rPr>
          <w:rFonts w:ascii="Arial" w:cs="Arial" w:eastAsia="Arial" w:hAnsi="Arial"/>
          <w:sz w:val="16"/>
          <w:szCs w:val="16"/>
          <w:color w:val="auto"/>
        </w:rPr>
        <w:t>As of September 30, 2007, MagnaChip Semiconductor LLC had issued and outstanding 52,831,722 common units held by 208 holders of record and 450,692 issued and 93,997 outstanding Series B preferred units held by 39 holders of record. As of September 30, 2007, MagnaChip Semiconductor LLC also had outstanding options to purchase 4,956,434 common units at a weighted average exercise price of $1.80 per unit.</w:t>
      </w:r>
    </w:p>
    <w:p>
      <w:pPr>
        <w:spacing w:after="0" w:line="124" w:lineRule="exact"/>
        <w:rPr>
          <w:sz w:val="20"/>
          <w:szCs w:val="20"/>
          <w:color w:val="auto"/>
        </w:rPr>
      </w:pPr>
    </w:p>
    <w:p>
      <w:pPr>
        <w:jc w:val="both"/>
        <w:ind w:firstLine="571"/>
        <w:spacing w:after="0" w:line="281" w:lineRule="auto"/>
        <w:rPr>
          <w:sz w:val="20"/>
          <w:szCs w:val="20"/>
          <w:color w:val="auto"/>
        </w:rPr>
      </w:pPr>
      <w:r>
        <w:rPr>
          <w:rFonts w:ascii="Arial" w:cs="Arial" w:eastAsia="Arial" w:hAnsi="Arial"/>
          <w:sz w:val="16"/>
          <w:szCs w:val="16"/>
          <w:color w:val="auto"/>
        </w:rPr>
        <w:t>Prior to the closing of this offering, we will consummate the corporate reorganization. As part of the corporate reorganization, a subsidiary of MagnaChip Semiconductor Corporation will be merged with and into MagnaChip Semiconductor LLC, after which MagnaChip Semiconductor LLC will become a wholly owned subsidiary of MagnaChip Semiconductor Corporation. Pursuant to the corporate reorganization:</w:t>
      </w:r>
    </w:p>
    <w:p>
      <w:pPr>
        <w:spacing w:after="0" w:line="43" w:lineRule="exact"/>
        <w:rPr>
          <w:sz w:val="20"/>
          <w:szCs w:val="20"/>
          <w:color w:val="auto"/>
        </w:rPr>
      </w:pPr>
    </w:p>
    <w:p>
      <w:pPr>
        <w:ind w:left="820" w:hanging="245"/>
        <w:spacing w:after="0"/>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of the outstanding common units of MagnaChip Semiconductor LLC will be exchanged for shares of our common stock at a ratio of</w:t>
      </w:r>
    </w:p>
    <w:p>
      <w:pPr>
        <w:spacing w:after="0" w:line="18"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820" w:right="80" w:hanging="245"/>
        <w:spacing w:after="0" w:line="239"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the Series B preferred units of MagnaChip Semiconductor LLC which are being repurchased by us will be exchanged for shares of our Series B preferred stock at a ratio of 1:1;</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of the Series B preferred units of MagnaChip Semiconductor LLC which are not being repurchased by us, if any, will be exchanged</w:t>
      </w:r>
    </w:p>
    <w:p>
      <w:pPr>
        <w:spacing w:after="0" w:line="19" w:lineRule="exact"/>
        <w:rPr>
          <w:sz w:val="20"/>
          <w:szCs w:val="20"/>
          <w:color w:val="auto"/>
        </w:rPr>
      </w:pPr>
    </w:p>
    <w:p>
      <w:pPr>
        <w:ind w:left="820"/>
        <w:spacing w:after="0"/>
        <w:tabs>
          <w:tab w:leader="none" w:pos="4820" w:val="left"/>
        </w:tabs>
        <w:rPr>
          <w:sz w:val="20"/>
          <w:szCs w:val="20"/>
          <w:color w:val="auto"/>
        </w:rPr>
      </w:pPr>
      <w:r>
        <w:rPr>
          <w:rFonts w:ascii="Arial" w:cs="Arial" w:eastAsia="Arial" w:hAnsi="Arial"/>
          <w:sz w:val="18"/>
          <w:szCs w:val="18"/>
          <w:color w:val="auto"/>
        </w:rPr>
        <w:t>for shares of our common stock at a ratio of</w:t>
      </w:r>
      <w:r>
        <w:rPr>
          <w:sz w:val="20"/>
          <w:szCs w:val="20"/>
          <w:color w:val="auto"/>
        </w:rPr>
        <w:tab/>
      </w:r>
      <w:r>
        <w:rPr>
          <w:rFonts w:ascii="Arial" w:cs="Arial" w:eastAsia="Arial" w:hAnsi="Arial"/>
          <w:sz w:val="16"/>
          <w:szCs w:val="16"/>
          <w:color w:val="auto"/>
        </w:rPr>
        <w:t>; and</w:t>
      </w:r>
    </w:p>
    <w:p>
      <w:pPr>
        <w:spacing w:after="0" w:line="72" w:lineRule="exact"/>
        <w:rPr>
          <w:sz w:val="20"/>
          <w:szCs w:val="20"/>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outstanding option to purchase common units of MagnaChip Semiconductor LLC will be exchanged into an option to purchase</w:t>
      </w:r>
    </w:p>
    <w:p>
      <w:pPr>
        <w:ind w:left="1460"/>
        <w:spacing w:after="0"/>
        <w:tabs>
          <w:tab w:leader="none" w:pos="6180" w:val="left"/>
        </w:tabs>
        <w:rPr>
          <w:sz w:val="20"/>
          <w:szCs w:val="20"/>
          <w:color w:val="auto"/>
        </w:rPr>
      </w:pPr>
      <w:r>
        <w:rPr>
          <w:rFonts w:ascii="Arial" w:cs="Arial" w:eastAsia="Arial" w:hAnsi="Arial"/>
          <w:sz w:val="18"/>
          <w:szCs w:val="18"/>
          <w:color w:val="auto"/>
        </w:rPr>
        <w:t>shares of our common stock at an exercise price of $</w:t>
      </w:r>
      <w:r>
        <w:rPr>
          <w:sz w:val="20"/>
          <w:szCs w:val="20"/>
          <w:color w:val="auto"/>
        </w:rPr>
        <w:tab/>
      </w:r>
      <w:r>
        <w:rPr>
          <w:rFonts w:ascii="Arial" w:cs="Arial" w:eastAsia="Arial" w:hAnsi="Arial"/>
          <w:sz w:val="16"/>
          <w:szCs w:val="16"/>
          <w:color w:val="auto"/>
        </w:rPr>
        <w:t>per share.</w:t>
      </w:r>
    </w:p>
    <w:p>
      <w:pPr>
        <w:spacing w:after="0" w:line="158" w:lineRule="exact"/>
        <w:rPr>
          <w:sz w:val="20"/>
          <w:szCs w:val="20"/>
          <w:color w:val="auto"/>
        </w:rPr>
      </w:pPr>
    </w:p>
    <w:p>
      <w:pPr>
        <w:ind w:right="960" w:firstLine="571"/>
        <w:spacing w:after="0" w:line="239" w:lineRule="auto"/>
        <w:rPr>
          <w:sz w:val="20"/>
          <w:szCs w:val="20"/>
          <w:color w:val="auto"/>
        </w:rPr>
      </w:pPr>
      <w:r>
        <w:rPr>
          <w:rFonts w:ascii="Arial" w:cs="Arial" w:eastAsia="Arial" w:hAnsi="Arial"/>
          <w:sz w:val="18"/>
          <w:szCs w:val="18"/>
          <w:color w:val="auto"/>
        </w:rPr>
        <w:t>On our about the closing of this offering, all of the Series B preferred stock issued as part of the corporate reorganization will be repurchased by us using a portion of the proceeds of this offering.</w:t>
      </w:r>
    </w:p>
    <w:p>
      <w:pPr>
        <w:spacing w:after="0" w:line="15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The following description summarizes the terms of our capital stock. Because it is only a summary, it does not contain all the information that may be important to you. For a complete description, you should refer to our amended and restated certificate of incorporation and amended and restated bylaws, as in effect immediately following the closing of this offering, copies of which have been filed as exhibits to the registration statement of which this prospectus is a part.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Assuming the exchange of all of the common units of MagnaChip Semiconductor LLC for our common stock immediately prior to the</w:t>
      </w:r>
    </w:p>
    <w:p>
      <w:pPr>
        <w:ind w:right="1180"/>
        <w:spacing w:after="0" w:line="239" w:lineRule="auto"/>
        <w:rPr>
          <w:sz w:val="20"/>
          <w:szCs w:val="20"/>
          <w:color w:val="auto"/>
        </w:rPr>
      </w:pPr>
      <w:r>
        <w:rPr>
          <w:rFonts w:ascii="Arial" w:cs="Arial" w:eastAsia="Arial" w:hAnsi="Arial"/>
          <w:sz w:val="18"/>
          <w:szCs w:val="18"/>
          <w:color w:val="auto"/>
        </w:rPr>
        <w:t>closing of this offering, there will be shares of our common stock outstanding upon the closing of this offering. MagnaChip Semiconductor LLC has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reserved an aggregate of 7,890,864 common units for issuance to current and future directors, employees and consultants of MagnaChip Semiconductor LLC and its subsidiaries pursuant to the MagnaChip Semiconductor LLC California Equity Incentive Plan and the MagnaChip Semiconductor LLC Equity Incentive Plans. Of this amount, at September 30, 2007, 4,956,434 common units were subject to outstanding options, 676,438 of which were available for future issuance and 2,257,992 had been purchased in connection with the exercise of previously issued</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options. In connection with the corporate reorganization, the existing options will be converted into options to acquire shares of our common stock and we have reserved shares of our common stock for future issuance. In addition, our board of directors may issue options exercisable for up to shares of our common stock under our 2008 Equity Incentive Plan and 2008 Employee Stock Purchase Plan.</w:t>
      </w:r>
    </w:p>
    <w:p>
      <w:pPr>
        <w:spacing w:after="0" w:line="351"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the stockholders. Our stockholders do not have cumulative voting rights in the election of directors. Except as required by law or our amended and restated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distribute the liquidation preference to holders of our outstanding shares of preferred stock. Holders of our common stock have no preemptive or other subscription or conversion rights. See “Certain Relationships and Related Party Transactions – Securityholders’ Agreement.” There are no redemption or sinking fund provisions applicable to our common stock.</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Pursuant to the corporate reorganization, holders of the Series B preferred units of MagnaChip Semiconductor LLC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 stock will receive shares of</w:t>
      </w:r>
    </w:p>
    <w:p>
      <w:pPr>
        <w:spacing w:after="0" w:line="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our common stock in exchange for such Series B preferred units at a ratio of</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Holders of shares of our Series B preferred stock are entitled to receive cumulative cash dividends, whether or not earned or declared by our board of directors, at the rate of 10% per share annually on the original issue price of $1,000, compounded semi-annually. The Series B preferred stock is not convertible into any of our other securities. Except as required by law or as set forth in our amended and restated certificate of incorporation, the holders of shares of our Series B preferred stock are not entitled to vote on any matters submitted to a vote of our stockholders. If any shares of Series B preferred stock remain outstanding ten years after the issuance of such shares, then the holders of a majority of the then outstanding shares of Series B preferred stock have the right to cause us to redeem all of the outstanding shares of Series B preferred stock at a price per share equal to $1,000 plus an amount per share equal to full cumulative dividends accrued and unpaid thereon to the redemption date. In the event of liquidation, the holders of the shares of Series B preferred stock are entitled to receive after all of our creditors have been paid in full but before any amounts are paid to the holders of any shares of stock ranking junior to the Series B preferred with respect to dividends or upon liquidation (including our common stock), out of our assets legally available for distribution, whether from capital, surplus or earnings, an amount per share equal to $1,000 plus an amount equal to full cumulative dividends accrued and unpaid thereon to the date of final distribution.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After the closing of this offering, we intend to use a portion of the proceeds of this offering to repurchase all of the outstanding shares of the</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Series B preferred stock from the holders thereof at an aggregate purchase price of approximately $ million which is equal to the original issue price of such shares plus an amount equal to the full cumulative dividends accrued and unpaid thereon to the date of repurchase. As of the</w:t>
      </w:r>
    </w:p>
    <w:p>
      <w:pPr>
        <w:ind w:right="180"/>
        <w:spacing w:after="0" w:line="239" w:lineRule="auto"/>
        <w:rPr>
          <w:sz w:val="20"/>
          <w:szCs w:val="20"/>
          <w:color w:val="auto"/>
        </w:rPr>
      </w:pPr>
      <w:r>
        <w:rPr>
          <w:rFonts w:ascii="Arial" w:cs="Arial" w:eastAsia="Arial" w:hAnsi="Arial"/>
          <w:sz w:val="18"/>
          <w:szCs w:val="18"/>
          <w:color w:val="auto"/>
        </w:rPr>
        <w:t>date of this prospectus, holders of approximately % of the outstanding Series B preferred stock following this offering have agreed to sell us their shares of Series B preferred stock for approximately $ million.</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addition, our amended and restated certificate of incorporation authorizes the issuance of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ind w:right="60" w:firstLine="571"/>
        <w:spacing w:after="0" w:line="299" w:lineRule="auto"/>
        <w:rPr>
          <w:sz w:val="20"/>
          <w:szCs w:val="20"/>
          <w:color w:val="auto"/>
        </w:rPr>
      </w:pPr>
      <w:r>
        <w:rPr>
          <w:rFonts w:ascii="Arial" w:cs="Arial" w:eastAsia="Arial" w:hAnsi="Arial"/>
          <w:sz w:val="16"/>
          <w:szCs w:val="16"/>
          <w:color w:val="auto"/>
        </w:rPr>
        <w:t>Upon the closing of this offering, holders of registration of their shares under the Securities Act.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will be entitled to certain rights with respect to the</w:t>
      </w:r>
    </w:p>
    <w:p>
      <w:pPr>
        <w:spacing w:after="0" w:line="383" w:lineRule="exact"/>
        <w:rPr>
          <w:sz w:val="20"/>
          <w:szCs w:val="20"/>
          <w:color w:val="auto"/>
        </w:rPr>
      </w:pPr>
    </w:p>
    <w:p>
      <w:pPr>
        <w:sectPr>
          <w:pgSz w:w="11900" w:h="16838" w:orient="portrait"/>
          <w:cols w:equalWidth="0" w:num="2">
            <w:col w:w="4060" w:space="720"/>
            <w:col w:w="6600"/>
          </w:cols>
          <w:pgMar w:left="240" w:top="459" w:right="279" w:bottom="1440" w:gutter="0" w:footer="0" w:header="0"/>
          <w:type w:val="continuous"/>
        </w:sectPr>
      </w:pPr>
    </w:p>
    <w:p>
      <w:pPr>
        <w:ind w:firstLine="571"/>
        <w:spacing w:after="0" w:line="271" w:lineRule="auto"/>
        <w:rPr>
          <w:sz w:val="20"/>
          <w:szCs w:val="20"/>
          <w:color w:val="auto"/>
        </w:rPr>
      </w:pPr>
      <w:r>
        <w:rPr>
          <w:rFonts w:ascii="Arial" w:cs="Arial" w:eastAsia="Arial" w:hAnsi="Arial"/>
          <w:sz w:val="16"/>
          <w:szCs w:val="16"/>
          <w:color w:val="auto"/>
        </w:rPr>
        <w:t>Under our securityholders’ agreement, after 180 days following the effective date of the registration statement relating to this prospectus (or such lesser period of time as may be agreed to by us and the lead managing underwriter), the representative of Court Square, together with the representative of Francisco Partners, may demand that we file a registration statement under the Securities Act covering some or all of such holders’ shares of our common stock. In addition, after the first anniversary of our initial public offering, the representative of any of Court Square, Francisco Partners or CVC Asia Pacific also may demand that we file a registration statement under the Securities Act, subject to the limitation described below, provided that the representative of CVC Asia Pacific is not entitled to make more than two requests for demand registration.</w:t>
      </w:r>
    </w:p>
    <w:p>
      <w:pPr>
        <w:spacing w:after="0" w:line="13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 xml:space="preserve">We are required to pay the registration expenses in connection with each demand registration. If a demand registration is underwritten by an investment banking firm that advises us that the number of securities offered to the public needs to be reduced, priority of inclusion in the demand registration shall be allocated first to Court Square, Francisco Partners, CVC Asia Pacific and Peninsula Investments Pte. Ltd.,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relative number of securities requested to be registered by such stockholder, and second to any other participating person (including us), on such basis as we determine.</w:t>
      </w:r>
    </w:p>
    <w:p>
      <w:pPr>
        <w:spacing w:after="0" w:line="157"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In no event will we be required to effect more than one demand registration under the securityholders’ agreement within any four-month period, and we will not be obligated to effect any demand registration unless the aggregate gross proceeds to be received from the sale of common stock equals or exceeds $25 million (or $5 million, in the case of any registration under Form S-3 or any similar “short-form” registration statement).</w:t>
      </w:r>
    </w:p>
    <w:p>
      <w:pPr>
        <w:spacing w:after="0" w:line="155" w:lineRule="exact"/>
        <w:rPr>
          <w:sz w:val="20"/>
          <w:szCs w:val="20"/>
          <w:color w:val="auto"/>
        </w:rPr>
      </w:pPr>
    </w:p>
    <w:p>
      <w:pPr>
        <w:jc w:val="both"/>
        <w:ind w:right="160" w:firstLine="571"/>
        <w:spacing w:after="0" w:line="237" w:lineRule="auto"/>
        <w:rPr>
          <w:sz w:val="20"/>
          <w:szCs w:val="20"/>
          <w:color w:val="auto"/>
        </w:rPr>
      </w:pPr>
      <w:r>
        <w:rPr>
          <w:rFonts w:ascii="Arial" w:cs="Arial" w:eastAsia="Arial" w:hAnsi="Arial"/>
          <w:sz w:val="18"/>
          <w:szCs w:val="18"/>
          <w:color w:val="auto"/>
        </w:rPr>
        <w:t>In addition, following our initial public offering, all holders party to the securityholders’ agreement will have certain “incidental” registration rights. If we propose to register any of our equity securities under the Securities Act other than pursuant to specified excluded registrations (such as on Forms S-4 or S-8, or any successor or similar forms), holders may require us to include all or a portion of their registrable securities in the registration. Expenses relating to these “incidental registrations” are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required to be paid by us. If an incidental registration, other than a demand registration, is underwritten by an investment banking firm that advises us that the number of securities offered to the public needs to be reduced, priority of inclusion in the incidental registration shall be given first to us, second to Court Square, Francisco Partners, CVC Asia Pacific and Peninsula Investments Pte. Ltd.,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relative number of securities requested to be registered by such stockholder, and third to any other participating person on such basis as we determine. We and the stockholders selling securities under a registration statement are required to enter into customary indemnification and contribution arrangements with respect to each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contain certain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4" w:lineRule="exact"/>
        <w:rPr>
          <w:sz w:val="20"/>
          <w:szCs w:val="20"/>
          <w:color w:val="auto"/>
        </w:rPr>
      </w:pPr>
    </w:p>
    <w:p>
      <w:pPr>
        <w:ind w:left="820" w:right="360" w:hanging="245"/>
        <w:spacing w:after="0" w:line="248"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Authorized but Unissued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authorized to issue, without stockholder approval,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with such terms as the board of directors may determine. For more information, see “Description of Capital Stock—Preferred Stock.”</w:t>
      </w:r>
    </w:p>
    <w:p>
      <w:pPr>
        <w:spacing w:after="0" w:line="47" w:lineRule="exact"/>
        <w:rPr>
          <w:rFonts w:ascii="Arial" w:cs="Arial" w:eastAsia="Arial" w:hAnsi="Arial"/>
          <w:sz w:val="18"/>
          <w:szCs w:val="18"/>
          <w:color w:val="auto"/>
        </w:rPr>
      </w:pPr>
    </w:p>
    <w:p>
      <w:pPr>
        <w:ind w:left="820" w:right="60" w:hanging="245"/>
        <w:spacing w:after="0" w:line="262"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Calling Special Stockholder Meetings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provide that special meetings of our stockholders may be called only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request of two members of our board of directors or by the chairman of our board of directors.</w:t>
      </w:r>
    </w:p>
    <w:p>
      <w:pPr>
        <w:spacing w:after="0" w:line="34" w:lineRule="exact"/>
        <w:rPr>
          <w:rFonts w:ascii="Arial" w:cs="Arial" w:eastAsia="Arial" w:hAnsi="Arial"/>
          <w:sz w:val="18"/>
          <w:szCs w:val="18"/>
          <w:color w:val="auto"/>
        </w:rPr>
      </w:pPr>
    </w:p>
    <w:p>
      <w:pPr>
        <w:ind w:left="820" w:hanging="245"/>
        <w:spacing w:after="0" w:line="271" w:lineRule="auto"/>
        <w:tabs>
          <w:tab w:leader="none" w:pos="82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Advanced Notice Procedures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bylaws provide that, in order for stockholder proposals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nominations to be properly brought before an annual meeting of our stockholders, stockholders must deliver a notice of such proposals or nominations to our secretary within ninety to one hundred and twenty days prior to the first anniversary of the preceding year’s annual meeting (or if the annual meeting is advanced by more than thirty days or delayed by more than seventy days from such anniversary date, notice must be delivered not earlier than one hundred and twenty days prior to such annual meeting and not later than the later of ninety days prior to such annual meeting or the tenth day following the day on which public announcement of the date of such meeting is first made). In order for a stockholder’s director nominations to be considered before a special meeting of stockholders, notice of such nominations must be given to our secretary not earlier than one hundred twenty days prior to such special meeting and not later than the later of ninety days prior to such special meeting or the tenth day following the day on which public announcement is first made of the date of the special meeting and of the nominees proposed by our board of directors to be elected at such meeting.</w:t>
      </w:r>
    </w:p>
    <w:p>
      <w:pPr>
        <w:spacing w:after="0" w:line="29" w:lineRule="exact"/>
        <w:rPr>
          <w:rFonts w:ascii="Arial" w:cs="Arial" w:eastAsia="Arial" w:hAnsi="Arial"/>
          <w:sz w:val="16"/>
          <w:szCs w:val="16"/>
          <w:color w:val="auto"/>
        </w:rPr>
      </w:pPr>
    </w:p>
    <w:p>
      <w:pPr>
        <w:ind w:left="820" w:right="20" w:hanging="245"/>
        <w:spacing w:after="0" w:line="234" w:lineRule="auto"/>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Supermajority Voting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holders of at least 66</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all shares of our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generally in the election of directors, voting together as a single class, is required in order for our stockholders to alter, amend or repeal the provisions of our bylaws relating to the advance notice requirements and the ability to call special stockholder meetings. In addition, any amendments to the provisions of our bylaws relating to the board designation and other rights of our sponsors require the consent of the sponsors for as long as they own shares of our capital stock.</w:t>
      </w:r>
    </w:p>
    <w:p>
      <w:pPr>
        <w:spacing w:after="0" w:line="15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In addition, pursuant to the securityholders’ agreement, Court Square, Francisco Partners and CVC Asia Pacific, or their affiliates, have agreed to elect their respective designees to serve as members of our board of directors.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apply to have our common stock quoted on the New York Stock Exchange under the symbol “MX”.</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and its telephone number is (800) 937-5449.</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760"/>
          </w:cols>
          <w:pgMar w:left="240" w:top="459" w:right="8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80" w:lineRule="exact"/>
        <w:rPr>
          <w:sz w:val="20"/>
          <w:szCs w:val="20"/>
          <w:color w:val="auto"/>
        </w:rPr>
      </w:pPr>
    </w:p>
    <w:p>
      <w:pPr>
        <w:ind w:right="740" w:firstLine="571"/>
        <w:spacing w:after="0" w:line="239" w:lineRule="auto"/>
        <w:rPr>
          <w:sz w:val="20"/>
          <w:szCs w:val="20"/>
          <w:color w:val="auto"/>
        </w:rPr>
      </w:pPr>
      <w:r>
        <w:rPr>
          <w:rFonts w:ascii="Arial" w:cs="Arial" w:eastAsia="Arial" w:hAnsi="Arial"/>
          <w:sz w:val="18"/>
          <w:szCs w:val="18"/>
          <w:color w:val="auto"/>
        </w:rPr>
        <w:t>The following discussion is a summary and is not complete and is subject in its entirety by reference to the actual provisions of the documents referred to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December 23, 2004, MagnaChip Semiconductor LLC and its subsidiaries entered into a senior secured credit agreement with a syndicate of banks, financial institutions and other entities, as lenders, UBS Securities LLC, as arranger, and UBS AG, Stamford Branch, as administrative agent and priority lien collateral agent, providing for a $100 million senior secured revolving credit facility which will mature on December 22, 2009. The borrowers under the senior secured credit facility are MagnaChip Semiconductor S.A. and MagnaChip Semiconductor Finance Company, two of our wholly owned subsidiaries. We intend to use a portion of the proceeds of this offering to repay amounts drawn under our senior secured credit facility.</w:t>
      </w:r>
    </w:p>
    <w:p>
      <w:pPr>
        <w:spacing w:after="0" w:line="156"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Subject to compliance with customary conditions precedent, revolving loans, swing line loans and letters of credit are available at any time prior to the final maturity of the senior secured credit facility. Standby letters of credit of up to $40 million have an expiry date of no later than one year after issuance and, in any case, no later than 15 days prior to the final maturity of the senior secured credit facility.</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MagnaChip Semiconductor LLC and each of its current direct and indirect subsidiaries are (and each future direct and indirect subsidiary (to the extent legally permissible) will be) guarantors of the senior secured credit facility (except for MagnaChip Semiconductor (Shanghai) Company Limited). The senior secured credit facility is secured on a first-priority basis, directly or through one or more secured guarantees, by collateral that principally consists of (1) substantially all of the owned real property and equipment of MagnaChip Korea, (2) substantially all of the assets of each of the other guarantors, (3) material patents and trademarks owned by MagnaChip Korea (exclusive of any jointly owned intellectual property) and (4) the intercompany loans owing by and among MagnaChip Semiconductor LLC and its subsidiaries, in each case subject to certain exceptions. The senior secured credit facility is also secured by pledges of the equity interests of the subsidiaries of MagnaChip Semiconductor LLC that are guarantors.</w:t>
      </w:r>
    </w:p>
    <w:p>
      <w:pPr>
        <w:spacing w:after="0" w:line="154"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Loans made under the senior secured credit facility bear interest equal to a margin based on the ratio of consolidated indebtedness of MagnaChip Semiconductor LLC to its consolidated EBITDA plus, at the option of the borrowers, either LIBOR or the greater of the corporate base rate of the administrative agent or the federal funds rate plus 0.50%. As of September 30, 2007, this margin was 4.75% per annum for LIBOR-based loans and 3.75% per annum for base rate-based loans.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at any time an event of default has occurred and is continuing, interest will accrue at 5.75% plus the greater of the corporate base rate of</w:t>
      </w:r>
    </w:p>
    <w:p>
      <w:pPr>
        <w:spacing w:after="0" w:line="4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administrative agent or the federal funds rate plus 0.50%. Default interest is payable on demand. All other interest on all loans under the senior secured credit facility are payable at maturity and, with respect to LIBOR-rate loans, at the end of the applicable interest periods (which may be 1, 2, 3, 6 or 9 months), and with respect to the base rate loans, on the last business day of each calendar quarter. In addition, the borrowers are required to pay an unused facility fee to the senior lenders equal to 0.5% per annum of the average unused daily balance of the senior secured credit facility, commencing on the execution and delivery of the senior secured credit facility and payable quarterly in arrears, based upon the actual number of days elapsed in a 360-day year.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borrowers also pay a participation fee and fronting fees with respect to the letters of credit issued under the credit facility.</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Other than with respect to mandatory prepayments, outstanding amounts under the senior secured credit facility may be reborrowed and repaid from time to time without premium or penalty, provided that availability requirements are met. In addition, under certain circumstances, loans outstanding under the senior secured credit facility must be prepaid with the proceeds of asset sales and casualty and condemnation proceeds. In the event proceeds of asset sales and casualty and condemnation proceeds are not reinvested into the business within a certain specified period of time, the amount of such uninvested proceeds will reduce permanently the outstanding commitments available under the senior secured credit facility.</w:t>
      </w:r>
    </w:p>
    <w:p>
      <w:pPr>
        <w:spacing w:after="0" w:line="15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senior secured credit facility also contains financial covenants including, but not limited to:</w:t>
      </w:r>
    </w:p>
    <w:p>
      <w:pPr>
        <w:spacing w:after="0" w:line="77" w:lineRule="exact"/>
        <w:rPr>
          <w:sz w:val="20"/>
          <w:szCs w:val="20"/>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senior secured credit facility includes certain customary events of default, including payment defaults, breaches of representations and warranties, covenant defaults, cross-defaults to certain indebtedness, including the notes, certain events of bankruptcy, material judgments, the invalidity of the documentation with respect to the senior secured credit facility in any material respect, the failure of the security interests in any material collateral created under the security documents for the senior secured credit facility to be enforceable or to have the purported priority thereunder or the occurrence of a change of control. If an event of default occurs (other than as a result of bankruptcy or a similar proceeding, in which case acceleration of the indebtedness will be automatic), the senior lenders will be entitled to take certain actions, including the acceleration of all amounts due under the senior secured credit facility and all actions permitted to be taken by a secured creditor.</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Senior Secured Notes</w:t>
      </w:r>
    </w:p>
    <w:p>
      <w:pPr>
        <w:spacing w:after="0" w:line="97" w:lineRule="exact"/>
        <w:rPr>
          <w:sz w:val="20"/>
          <w:szCs w:val="20"/>
          <w:color w:val="auto"/>
        </w:rPr>
      </w:pPr>
    </w:p>
    <w:p>
      <w:pPr>
        <w:ind w:right="40" w:firstLine="571"/>
        <w:spacing w:after="0" w:line="281" w:lineRule="auto"/>
        <w:rPr>
          <w:sz w:val="20"/>
          <w:szCs w:val="20"/>
          <w:color w:val="auto"/>
        </w:rPr>
      </w:pPr>
      <w:r>
        <w:rPr>
          <w:rFonts w:ascii="Arial" w:cs="Arial" w:eastAsia="Arial" w:hAnsi="Arial"/>
          <w:sz w:val="16"/>
          <w:szCs w:val="16"/>
          <w:color w:val="auto"/>
        </w:rPr>
        <w:t>On December 23, 2004, MagnaChip Semiconductor S.A. and MagnaChip Semiconductor Finance Company, two of our wholly owned subsidiaries, issued $500 million aggregate principal amount of second priority senior secured notes, consisting of $300 million aggregate principal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amount of floating rate second priority senior secured notes due 2011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As of September 30, 2007, we had $500 million aggregate principal amount of the second priority senior secured notes outstanding.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notes issuers’ obligations under the second priority senior secured notes are jointly and severally guaranteed on a senior secured basis by MagnaChip Semiconductor LLC and its current direct and indirect subsidiaries (except for MagnaChip Semiconductor (Shanghai) Company Limited) and future direct and indirect subsidiaries (to the extent legally permissible). The obligations of the issuers and guarantors under the indenture governing the second priority senior secured notes are secured by second priority liens on substantially all of the collateral owned by such entities (other than any equity interests owned by such entities). These security interests are junior in priority to the security interests securing the obligations under the senior secured credit facility and all other permitted prior liens under the indenture.</w:t>
      </w:r>
    </w:p>
    <w:p>
      <w:pPr>
        <w:spacing w:after="0" w:line="15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If there is a change of control, the issuers must give the holders of the second priority senior secured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respective related parties; (2) the adoption of a plan of liquidation of MagnaChip Semiconductor S.A.; (3) the consummation of any transaction, the result of which is that any person, other than the principal stockholders, officers or directors or any of their respective related parties, becomes the beneficial owner, directly or indirectly, of more than 50% of the voting stock of MagnaChip Semiconductor S.A.; or (4) after the closing of this offering, the first day on which a majority of the members of the board of directors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61" w:lineRule="exact"/>
        <w:rPr>
          <w:sz w:val="20"/>
          <w:szCs w:val="20"/>
          <w:color w:val="auto"/>
        </w:rPr>
      </w:pPr>
    </w:p>
    <w:p>
      <w:pPr>
        <w:ind w:right="100" w:firstLine="571"/>
        <w:spacing w:after="0" w:line="234" w:lineRule="auto"/>
        <w:rPr>
          <w:sz w:val="20"/>
          <w:szCs w:val="20"/>
          <w:color w:val="auto"/>
        </w:rPr>
      </w:pPr>
      <w:r>
        <w:rPr>
          <w:rFonts w:ascii="Arial" w:cs="Arial" w:eastAsia="Arial" w:hAnsi="Arial"/>
          <w:sz w:val="18"/>
          <w:szCs w:val="18"/>
          <w:color w:val="auto"/>
        </w:rPr>
        <w:t>Interest on the floating rate second priority senior secured notes accrues at a rate equal to the LIBOR rate plus 3.25%. The LIBOR interest rate resets quarterly. Interest on the floating rate second priority senior secured notes is payable quarterly in arrears on</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March 15, June 15, September 15 and December 15, to holders of record as of March 1, June 1, September 1 and December 1, respectively. Interest on the floating rate second priority senior secured notes accrues from the date of original issuance or, if interest has already been paid, from the date it was most recently paid. Interest on overdue principal and interest, and liquidated damages, if any, accrues at a rate that is 1% higher than the then applicable interest rate on the floating rate second priority senior secured notes.</w:t>
      </w:r>
    </w:p>
    <w:p>
      <w:pPr>
        <w:spacing w:after="0" w:line="182" w:lineRule="exact"/>
        <w:rPr>
          <w:sz w:val="20"/>
          <w:szCs w:val="20"/>
          <w:color w:val="auto"/>
        </w:rPr>
      </w:pPr>
    </w:p>
    <w:p>
      <w:pPr>
        <w:jc w:val="both"/>
        <w:ind w:right="360" w:firstLine="571"/>
        <w:spacing w:after="0" w:line="235" w:lineRule="auto"/>
        <w:rPr>
          <w:sz w:val="20"/>
          <w:szCs w:val="20"/>
          <w:color w:val="auto"/>
        </w:rPr>
      </w:pPr>
      <w:r>
        <w:rPr>
          <w:rFonts w:ascii="Arial" w:cs="Arial" w:eastAsia="Arial" w:hAnsi="Arial"/>
          <w:sz w:val="17"/>
          <w:szCs w:val="17"/>
          <w:color w:val="auto"/>
        </w:rPr>
        <w:t xml:space="preserve">Interest on the fixed rate second priority senior secured notes accrues at the rate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annum and is payable semi-annually in arrears on June 15 and December 15 to holders of record as of June 1 and December 1, respectively. Interest on the fixed rate second priority senior secured notes accrues from the date of original issuance or, if interest has already been paid, from the date it was most recently paid.</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Interest on overdue principal and interest, and liquidated damages, if any, accrues at a rate that is 1% higher than the then applicable interest rate on the fixed rate second priority senior secured notes.</w:t>
      </w:r>
    </w:p>
    <w:p>
      <w:pPr>
        <w:spacing w:after="0" w:line="19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indenture governing the second priority senior secured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 dividends or make other equity distributions or restricted 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indenture governing the second priority senior secured notes contains certain events of default, including payment defaults, covenant defaults, cross-defaults to certain indebtedness, including the other notes and the credit facility, certain events of bankruptcy, material judgments against us, the invalidity of the documentation with respect to the second priority senior secured indenture or the failure of the security interests in any material collateral created under the indenture to be enforceable or to have the purported priority thereunder. If an event of default occurs (other than as a result of bankruptcy or a similar proceeding, in which case acceleration of the indebtedness will be automatic), the trustee or the holders of 25% or more of the aggregate principal amount of the second priority senior secured notes will be entitled to take certain actions, including the acceleration of all amounts due under the second priority senior secured indenture.</w:t>
      </w:r>
    </w:p>
    <w:p>
      <w:pPr>
        <w:spacing w:after="0" w:line="155"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MagnaChip Semiconductor S.A. may redeem all or a part of the floating rate second priority senior notes at the redemption prices (expressed as percentages of principal amount) set forth below plus accrued and unpaid interest and liquidated damages, if any, thereon to the applicable redemption date, if redeemed during the twelve-month period beginning on December 15 of the years indicated below, subject to the rights of holders of floating rate second priority senior notes on the relevant record date to receive interest on the relevant interest payment date:</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2007</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101.000%</w:t>
            </w: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2008 and thereafter</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2008, MagnaChip Semiconductor S.A. may redeem all or a part of the fixed rate second priority senior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2008, subject to the rights of holders of fixed rate second priority senior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103.438%</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1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101.719%</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 and thereafter</w:t>
            </w:r>
          </w:p>
        </w:tc>
        <w:tc>
          <w:tcPr>
            <w:tcW w:w="1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bl>
    <w:p>
      <w:pPr>
        <w:spacing w:after="0" w:line="165"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Notwithstanding the foregoing, at any time prior to December 15, 2008, MagnaChip Semiconductor S.A. may also redeem all or a part of the fixed rate second priority senior notes at a redemption price equal to 100% of the principal amount of notes redeemed plus the premium described below as of, and accrued and unpaid interest and liquidated damages, if any, to the redemption date, subject to the rights of holders of notes on the relevant record date to receive interest due on the relevant interest payment date. The foregoing premium means the greater of</w:t>
      </w:r>
    </w:p>
    <w:p>
      <w:pPr>
        <w:spacing w:after="0" w:line="1" w:lineRule="exact"/>
        <w:rPr>
          <w:sz w:val="20"/>
          <w:szCs w:val="20"/>
          <w:color w:val="auto"/>
        </w:rPr>
      </w:pPr>
    </w:p>
    <w:p>
      <w:pPr>
        <w:jc w:val="both"/>
        <w:ind w:right="280" w:firstLine="8"/>
        <w:spacing w:after="0" w:line="237" w:lineRule="auto"/>
        <w:tabs>
          <w:tab w:leader="none" w:pos="2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 of the principal amount of the note; or (2) the excess of (a) the present value at such redemption date of (i) the redemption price of the note at December 15, 2008, plus (ii) all required interest payments due on the note through December 15, 2008, (excluding accrued but unpaid interest to the redemption date), computed using a discount rate equal to the treasury rate (as defined in the second priority senior secured indenture) as of such redemption date plus 50 basis points; over (b) the principal amount of the note, if greater.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Notes</w:t>
      </w:r>
    </w:p>
    <w:p>
      <w:pPr>
        <w:spacing w:after="0" w:line="97"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On December 23, 2004, MagnaChip Semiconductor S.A. and MagnaChip Semiconductor Finance Company also issued $250 million aggregate principal amount of our 8% senior subordinated notes due 2014. As of September 30, 2007, we had $250 million aggregate principal amount of the senior subordinated notes outstanding.</w:t>
      </w:r>
    </w:p>
    <w:p>
      <w:pPr>
        <w:spacing w:after="0" w:line="154"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notes issuers’ obligations under the senior subordinated notes are jointly and severally guaranteed by MagnaChip Semiconductor LLC and its current direct and indirect subsidiaries (except for MagnaChip Korea and MagnaChip Semiconductor (Shanghai) Company Limited) and future direct and indirect subsidiaries (to the extent legally permissible). Each guarantee is subordinated to the prior payment in full of all senior debt of that guarantor.</w:t>
      </w:r>
    </w:p>
    <w:p>
      <w:pPr>
        <w:spacing w:after="0" w:line="155" w:lineRule="exact"/>
        <w:rPr>
          <w:sz w:val="20"/>
          <w:szCs w:val="20"/>
          <w:color w:val="auto"/>
        </w:rPr>
      </w:pPr>
    </w:p>
    <w:p>
      <w:pPr>
        <w:ind w:right="380" w:firstLine="571"/>
        <w:spacing w:after="0" w:line="281" w:lineRule="auto"/>
        <w:rPr>
          <w:sz w:val="20"/>
          <w:szCs w:val="20"/>
          <w:color w:val="auto"/>
        </w:rPr>
      </w:pPr>
      <w:r>
        <w:rPr>
          <w:rFonts w:ascii="Arial" w:cs="Arial" w:eastAsia="Arial" w:hAnsi="Arial"/>
          <w:sz w:val="16"/>
          <w:szCs w:val="16"/>
          <w:color w:val="auto"/>
        </w:rPr>
        <w:t>Interest on the senior subordinated notes accrues at the rate of 8% per annum and is payable semi-annually in arrears on June 15 and December 15, commencing on June 15, 2005, to the holders of record on the June 1 and December 1, respectively. Interest on the senior subordinated notes accrues from the date of original issuance or, if interest has already been paid, from the date it was most recently paid.</w:t>
      </w:r>
    </w:p>
    <w:p>
      <w:pPr>
        <w:spacing w:after="0" w:line="12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payment of principal, interest and premium, if any, on the senior subordinated notes is subordinated to the extent provided for in the senior subordinated indenture to the prior payment in full of all senior debt of the notes issuers (including the amounts owing under the senior secured credit facility and the second priority senior secured notes, and other senior debt incurred after the date of the indenture). Except under specified limited circumstances, the holders of senior debt are entitled to receive payment in full of all obligations due in respect of such senior debt before the holders of the senior subordinated notes are entitled to receive any payment with respect to the senior subordinated notes in the event of:</w:t>
      </w:r>
    </w:p>
    <w:p>
      <w:pPr>
        <w:spacing w:after="0" w:line="75" w:lineRule="exact"/>
        <w:rPr>
          <w:sz w:val="20"/>
          <w:szCs w:val="20"/>
          <w:color w:val="auto"/>
        </w:rPr>
      </w:pPr>
    </w:p>
    <w:p>
      <w:pPr>
        <w:ind w:left="820" w:hanging="245"/>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liquidation, dissolution, bankruptcy, insolvency or similar proceeding of the notes issuers; or</w:t>
      </w:r>
    </w:p>
    <w:p>
      <w:pPr>
        <w:spacing w:after="0" w:line="90" w:lineRule="exact"/>
        <w:rPr>
          <w:rFonts w:ascii="Arial" w:cs="Arial" w:eastAsia="Arial" w:hAnsi="Arial"/>
          <w:sz w:val="18"/>
          <w:szCs w:val="18"/>
          <w:color w:val="auto"/>
        </w:rPr>
      </w:pPr>
    </w:p>
    <w:p>
      <w:pPr>
        <w:ind w:left="820" w:right="240" w:hanging="245"/>
        <w:spacing w:after="0" w:line="23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there is a payment default (or other default which permits the holder of the senior debt to accelerate maturity) with respect to certain designated senior debt.</w:t>
      </w:r>
    </w:p>
    <w:p>
      <w:pPr>
        <w:spacing w:after="0" w:line="155" w:lineRule="exact"/>
        <w:rPr>
          <w:sz w:val="20"/>
          <w:szCs w:val="20"/>
          <w:color w:val="auto"/>
        </w:rPr>
      </w:pPr>
    </w:p>
    <w:p>
      <w:pPr>
        <w:jc w:val="both"/>
        <w:ind w:right="100" w:firstLine="571"/>
        <w:spacing w:after="0" w:line="238" w:lineRule="auto"/>
        <w:rPr>
          <w:sz w:val="20"/>
          <w:szCs w:val="20"/>
          <w:color w:val="auto"/>
        </w:rPr>
      </w:pPr>
      <w:r>
        <w:rPr>
          <w:rFonts w:ascii="Arial" w:cs="Arial" w:eastAsia="Arial" w:hAnsi="Arial"/>
          <w:sz w:val="18"/>
          <w:szCs w:val="18"/>
          <w:color w:val="auto"/>
        </w:rPr>
        <w:t>If the trustee or any holder of the senior subordinated notes receives a payment on or for the senior subordinated notes when the payment is prohibited by these subordination provisions and the trustee or the holder has actual knowledge that the payment is prohibited, then the trustee or the holder, as the case may be, will hold the payment in trust for the benefit of the holders of senior debt.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there is a change of control, the issuers must give the holders of the senior subordinated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related parties; (2) the adoption of a plan of liquidation of MagnaChip Semiconductor S.A.; (3) the consummation of any transaction, the result of which is that any person, other than the any of the principal stockholders, officers, directors or any of their respective related parties, becomes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beneficial owner, directly or indirectly, of more than 50% of the voting stock of MagnaChip Semiconductor S.A.; or (4) after the closing of this offering, the first day on which a majority of the members of the board of directors of such company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5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indenture governing the senior subordinated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indenture governing the senior subordinated notes contains certain events of default, including payment defaults, covenant defaults, cross-defaults to certain indebtedness, including the senior secured credit facility and other notes, certain events of bankruptcy, material judgments against us or the invalidity of the documentation with respect to the senior subordinated indenture. If an event of default occurs (other than as a result of bankruptcy or a similar proceeding, in which case acceleration of the indebtedness will be automatic), the trustee or the holders of 25% or more of the aggregate principal amount of the senior subordinated notes will be entitled to take certain actions, including the acceleration of all amounts due under the senior subordinated indenture.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2009, MagnaChip Semiconductor S.A. may redeem all or a part of the senior subordinated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2009, subject to the rights of holders of senior subordinated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0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7"/>
        </w:trPr>
        <w:tc>
          <w:tcPr>
            <w:tcW w:w="7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104.000%</w:t>
            </w: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1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102.667%</w:t>
            </w:r>
          </w:p>
        </w:tc>
      </w:tr>
      <w:tr>
        <w:trPr>
          <w:trHeight w:val="203"/>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14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101.333%</w:t>
            </w: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2012 and thereafter</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Notwithstanding the foregoing, at any time prior to December 15, 2009, MagnaChip Semiconductor S.A. may also redeem all or a part of the senior subordinated notes, at a redemption price equal to 100% of the principal amount of senior subordinated notes redeemed plus the premium described below as of, and accrued and unpaid interest and liquidated damages, if any, to the redemption date, subject to the rights of holders of the senior subordinated notes on the relevant record date to receive interest due on the relevant interest payment date. The foregoing premium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means the greater of: (1) 1.0% of the principal amount of the note; or (2) the excess of (a) the present value at such redemption date of (i) the redemption price of the note at December 15, 2009, plus (ii) all required interest payments due on the note through December 15, 2009, (excluding accrued but unpaid interest to the redemption date), computed using a discount rate equal to the treasury rate (as defined in the senior subordinated indenture) as of such redemption date plus 50 basis points; over (b) the principal amount of the note, if greater.</w:t>
      </w:r>
    </w:p>
    <w:p>
      <w:pPr>
        <w:spacing w:after="0" w:line="155"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 xml:space="preserve">We intend to use a portion of the proceeds of this offering to reduce our indebtedness including by repurchasing certain of our floating rate second priority senior secured notes due 2011,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8% senior subordinated notes due 2014.</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80"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in the public market after this offering could adversely affect the prevailing market price of our common stock and could impair our future ability to raise capital through the sale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 and Lock-Up Agreements</w:t>
      </w:r>
    </w:p>
    <w:p>
      <w:pPr>
        <w:spacing w:after="0" w:line="94"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8"/>
          <w:szCs w:val="18"/>
          <w:color w:val="auto"/>
        </w:rPr>
        <w:t>Upon the closing of this offering, we will have outstanding</w:t>
      </w:r>
      <w:r>
        <w:rPr>
          <w:sz w:val="20"/>
          <w:szCs w:val="20"/>
          <w:color w:val="auto"/>
        </w:rPr>
        <w:tab/>
      </w:r>
      <w:r>
        <w:rPr>
          <w:rFonts w:ascii="Arial" w:cs="Arial" w:eastAsia="Arial" w:hAnsi="Arial"/>
          <w:sz w:val="16"/>
          <w:szCs w:val="16"/>
          <w:color w:val="auto"/>
        </w:rPr>
        <w:t>shares of common stock, based upon the common units of MagnaChip</w:t>
      </w:r>
    </w:p>
    <w:p>
      <w:pPr>
        <w:spacing w:after="0"/>
        <w:rPr>
          <w:sz w:val="20"/>
          <w:szCs w:val="20"/>
          <w:color w:val="auto"/>
        </w:rPr>
      </w:pPr>
      <w:r>
        <w:rPr>
          <w:rFonts w:ascii="Arial" w:cs="Arial" w:eastAsia="Arial" w:hAnsi="Arial"/>
          <w:sz w:val="16"/>
          <w:szCs w:val="16"/>
          <w:color w:val="auto"/>
        </w:rPr>
        <w:t>Semiconductor LLC outstanding as of September 30, 2007 after giving pro forma effect to the corporate reorganization and the repurchase of all of</w:t>
      </w:r>
    </w:p>
    <w:p>
      <w:pPr>
        <w:spacing w:after="0" w:line="387" w:lineRule="exact"/>
        <w:rPr>
          <w:sz w:val="20"/>
          <w:szCs w:val="20"/>
          <w:color w:val="auto"/>
        </w:rPr>
      </w:pPr>
    </w:p>
    <w:p>
      <w:pPr>
        <w:spacing w:after="0"/>
        <w:tabs>
          <w:tab w:leader="none" w:pos="10540" w:val="left"/>
        </w:tabs>
        <w:rPr>
          <w:sz w:val="20"/>
          <w:szCs w:val="20"/>
          <w:color w:val="auto"/>
        </w:rPr>
      </w:pPr>
      <w:r>
        <w:rPr>
          <w:rFonts w:ascii="Arial" w:cs="Arial" w:eastAsia="Arial" w:hAnsi="Arial"/>
          <w:sz w:val="18"/>
          <w:szCs w:val="18"/>
          <w:color w:val="auto"/>
        </w:rPr>
        <w:t>the Series B preferred units pursuant to which each common unit will be exchanged for shares of our common stock at a ratio of</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left="580"/>
        <w:spacing w:after="0"/>
        <w:tabs>
          <w:tab w:leader="none" w:pos="2820" w:val="left"/>
          <w:tab w:leader="none" w:pos="7180" w:val="left"/>
        </w:tabs>
        <w:rPr>
          <w:sz w:val="20"/>
          <w:szCs w:val="20"/>
          <w:color w:val="auto"/>
        </w:rPr>
      </w:pPr>
      <w:r>
        <w:rPr>
          <w:rFonts w:ascii="Arial" w:cs="Arial" w:eastAsia="Arial" w:hAnsi="Arial"/>
          <w:sz w:val="18"/>
          <w:szCs w:val="18"/>
          <w:color w:val="auto"/>
        </w:rPr>
        <w:t>Of these shares, the</w:t>
      </w:r>
      <w:r>
        <w:rPr>
          <w:sz w:val="20"/>
          <w:szCs w:val="20"/>
          <w:color w:val="auto"/>
        </w:rPr>
        <w:tab/>
      </w:r>
      <w:r>
        <w:rPr>
          <w:rFonts w:ascii="Arial" w:cs="Arial" w:eastAsia="Arial" w:hAnsi="Arial"/>
          <w:sz w:val="18"/>
          <w:szCs w:val="18"/>
          <w:color w:val="auto"/>
        </w:rPr>
        <w:t>shares of common stock sold in this offering, or</w:t>
      </w:r>
      <w:r>
        <w:rPr>
          <w:sz w:val="20"/>
          <w:szCs w:val="20"/>
          <w:color w:val="auto"/>
        </w:rPr>
        <w:tab/>
      </w:r>
      <w:r>
        <w:rPr>
          <w:rFonts w:ascii="Arial" w:cs="Arial" w:eastAsia="Arial" w:hAnsi="Arial"/>
          <w:sz w:val="16"/>
          <w:szCs w:val="16"/>
          <w:color w:val="auto"/>
        </w:rPr>
        <w:t>shares if the underwriters exercise their option to</w:t>
      </w:r>
    </w:p>
    <w:p>
      <w:pPr>
        <w:ind w:right="60"/>
        <w:spacing w:after="0" w:line="239" w:lineRule="auto"/>
        <w:rPr>
          <w:sz w:val="20"/>
          <w:szCs w:val="20"/>
          <w:color w:val="auto"/>
        </w:rPr>
      </w:pPr>
      <w:r>
        <w:rPr>
          <w:rFonts w:ascii="Arial" w:cs="Arial" w:eastAsia="Arial" w:hAnsi="Arial"/>
          <w:sz w:val="18"/>
          <w:szCs w:val="18"/>
          <w:color w:val="auto"/>
        </w:rPr>
        <w:t>purchase additional shares in full, will be freely tradable without restriction under the Securities Act, unless purchased by affiliates of our company, as that term is defined in Rule 144 under the Securities Act.</w:t>
      </w:r>
    </w:p>
    <w:p>
      <w:pPr>
        <w:spacing w:after="0" w:line="155" w:lineRule="exact"/>
        <w:rPr>
          <w:sz w:val="20"/>
          <w:szCs w:val="20"/>
          <w:color w:val="auto"/>
        </w:rPr>
      </w:pPr>
    </w:p>
    <w:p>
      <w:pPr>
        <w:ind w:firstLine="571"/>
        <w:spacing w:after="0" w:line="234" w:lineRule="auto"/>
        <w:rPr>
          <w:sz w:val="20"/>
          <w:szCs w:val="20"/>
          <w:color w:val="auto"/>
        </w:rPr>
      </w:pPr>
      <w:r>
        <w:rPr>
          <w:rFonts w:ascii="Arial" w:cs="Arial" w:eastAsia="Arial" w:hAnsi="Arial"/>
          <w:sz w:val="18"/>
          <w:szCs w:val="18"/>
          <w:color w:val="auto"/>
        </w:rPr>
        <w:t>The remaining shares of common stock were issued and sold by us in private transactions pursuant to the corporate reorganization, and are eligible for public sale if registered under the Securities Act or sold in accordance with Rules 144 or 144(k) of the Securities Act. These shares are subject to a securityholders’ agreement that restricts their sale for 180 days after the date of this prospectus unless we and</w:t>
      </w:r>
    </w:p>
    <w:p>
      <w:pPr>
        <w:spacing w:after="0" w:line="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managing underwriters, agree to a lesser period. Furthermore, of these remaining shares of common stock are held by officers, directors and existing stockholders who are subject to lock-up agreements and other trading restrictions for a period of 180 days after the date of this prospectus.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Goldman, Sachs &amp; Co., UBS Securities LLC and Credit Suisse Securities (USA) LLC, as joint book-running underwriters, may, at any time without notice, release all or any portion of the securities subject to the lock-up agreements. We have been advised by the joint book-running underwriters that, when determining whether or not to release shares from the lock-up agreements, the joint book-running underwriters will consider, among other factors, the stockholder’s reasons for requesting the release, the number of shares for which the release is being requested and market conditions at the time. The joint book-running underwriters have advised us that they have no present intention to release any of the shares subject to the lock-up agreements prior to the expiration of the lock-up period.</w:t>
      </w:r>
    </w:p>
    <w:p>
      <w:pPr>
        <w:spacing w:after="0" w:line="152" w:lineRule="exact"/>
        <w:rPr>
          <w:sz w:val="20"/>
          <w:szCs w:val="20"/>
          <w:color w:val="auto"/>
        </w:rPr>
      </w:pPr>
    </w:p>
    <w:p>
      <w:pPr>
        <w:ind w:left="580"/>
        <w:spacing w:after="0"/>
        <w:tabs>
          <w:tab w:leader="none" w:pos="3800" w:val="left"/>
        </w:tabs>
        <w:rPr>
          <w:sz w:val="20"/>
          <w:szCs w:val="20"/>
          <w:color w:val="auto"/>
        </w:rPr>
      </w:pPr>
      <w:r>
        <w:rPr>
          <w:rFonts w:ascii="Arial" w:cs="Arial" w:eastAsia="Arial" w:hAnsi="Arial"/>
          <w:sz w:val="18"/>
          <w:szCs w:val="18"/>
          <w:color w:val="auto"/>
        </w:rPr>
        <w:t>As of the date of this prospectus,</w:t>
      </w:r>
      <w:r>
        <w:rPr>
          <w:sz w:val="20"/>
          <w:szCs w:val="20"/>
          <w:color w:val="auto"/>
        </w:rPr>
        <w:tab/>
      </w:r>
      <w:r>
        <w:rPr>
          <w:rFonts w:ascii="Arial" w:cs="Arial" w:eastAsia="Arial" w:hAnsi="Arial"/>
          <w:sz w:val="16"/>
          <w:szCs w:val="16"/>
          <w:color w:val="auto"/>
        </w:rPr>
        <w:t>of the remaining shares may be eligible for immediate sale in the public market, absent</w:t>
      </w:r>
    </w:p>
    <w:p>
      <w:pPr>
        <w:spacing w:after="0" w:line="234" w:lineRule="auto"/>
        <w:rPr>
          <w:sz w:val="20"/>
          <w:szCs w:val="20"/>
          <w:color w:val="auto"/>
        </w:rPr>
      </w:pPr>
      <w:r>
        <w:rPr>
          <w:rFonts w:ascii="Arial" w:cs="Arial" w:eastAsia="Arial" w:hAnsi="Arial"/>
          <w:sz w:val="18"/>
          <w:szCs w:val="18"/>
          <w:color w:val="auto"/>
        </w:rPr>
        <w:t>registration, subject to certain time and volume limitations under Rules 144 and 144(k). Notwithstanding the securityholders’ agreement and the</w:t>
      </w:r>
    </w:p>
    <w:p>
      <w:pPr>
        <w:spacing w:after="0" w:line="1"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lock-up agreements, beginning one year after the date of the corporate reorganization, the rest of the additional shares will be eligible for sale in the public market, although all of these shares will be subject initially, absent registration, to the restrictions under Rule 144 and 144(k) as described in more detail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In general, Rule 144 allows a stockholder (or stockholders where shares of common stock are aggregated) who has beneficially owned shares of our common stock for at least one year and who</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files a Form 144 with the SEC to sell within any three-month period commencing 90 days after the date of this prospectus a number of those shares that does not exceed the greater of:</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ind w:left="820" w:hanging="239"/>
        <w:spacing w:after="0" w:line="239"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one percent of the number of shares of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01" w:lineRule="exact"/>
        <w:rPr>
          <w:sz w:val="20"/>
          <w:szCs w:val="20"/>
          <w:color w:val="auto"/>
        </w:rPr>
      </w:pPr>
    </w:p>
    <w:p>
      <w:pPr>
        <w:sectPr>
          <w:pgSz w:w="11900" w:h="16838" w:orient="portrait"/>
          <w:cols w:equalWidth="0" w:num="2">
            <w:col w:w="8820" w:space="700"/>
            <w:col w:w="1880"/>
          </w:cols>
          <w:pgMar w:left="240" w:top="459" w:right="259" w:bottom="1440" w:gutter="0" w:footer="0" w:header="0"/>
          <w:type w:val="continuous"/>
        </w:sectPr>
      </w:pPr>
    </w:p>
    <w:p>
      <w:pPr>
        <w:ind w:left="820" w:right="320" w:hanging="245"/>
        <w:spacing w:after="0" w:line="239"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155"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Sales under Rule 144, however,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9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Under Rule 144(k), in general, a stockholder who has beneficially owned shares of our common stock for at least two years and who is not deemed to have been an affiliate of our company at any time during the immediately preceding 90 days may sell shares without complying with the manner of sale provisions, notice requirements, public information requirements or volume limitations of Rule 144. Affiliates of our company, however, must always sell pursuant to Rule 144, even after the otherwise applicable Rule 144(k) holding periods have been satisfied.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4" w:lineRule="exact"/>
        <w:rPr>
          <w:sz w:val="20"/>
          <w:szCs w:val="20"/>
          <w:color w:val="auto"/>
        </w:rPr>
      </w:pPr>
    </w:p>
    <w:p>
      <w:pPr>
        <w:ind w:left="580"/>
        <w:spacing w:after="0"/>
        <w:tabs>
          <w:tab w:leader="none" w:pos="2540" w:val="left"/>
        </w:tabs>
        <w:rPr>
          <w:sz w:val="20"/>
          <w:szCs w:val="20"/>
          <w:color w:val="auto"/>
        </w:rPr>
      </w:pPr>
      <w:r>
        <w:rPr>
          <w:rFonts w:ascii="Arial" w:cs="Arial" w:eastAsia="Arial" w:hAnsi="Arial"/>
          <w:sz w:val="18"/>
          <w:szCs w:val="18"/>
          <w:color w:val="auto"/>
        </w:rPr>
        <w:t>In addition to the</w:t>
      </w:r>
      <w:r>
        <w:rPr>
          <w:sz w:val="20"/>
          <w:szCs w:val="20"/>
          <w:color w:val="auto"/>
        </w:rPr>
        <w:tab/>
      </w:r>
      <w:r>
        <w:rPr>
          <w:rFonts w:ascii="Arial" w:cs="Arial" w:eastAsia="Arial" w:hAnsi="Arial"/>
          <w:sz w:val="16"/>
          <w:szCs w:val="16"/>
          <w:color w:val="auto"/>
        </w:rPr>
        <w:t>shares of common stock outstanding immediately after this offering, based upon the common units of MagnaChip</w:t>
      </w:r>
    </w:p>
    <w:p>
      <w:pPr>
        <w:spacing w:after="0" w:line="234" w:lineRule="auto"/>
        <w:rPr>
          <w:sz w:val="20"/>
          <w:szCs w:val="20"/>
          <w:color w:val="auto"/>
        </w:rPr>
      </w:pPr>
      <w:r>
        <w:rPr>
          <w:rFonts w:ascii="Arial" w:cs="Arial" w:eastAsia="Arial" w:hAnsi="Arial"/>
          <w:sz w:val="18"/>
          <w:szCs w:val="18"/>
          <w:color w:val="auto"/>
        </w:rPr>
        <w:t>Semiconductor LLC outstanding as of September 30, 2007 after giving pro forma effect to the corporate reorganization pursuant to which each</w:t>
      </w:r>
    </w:p>
    <w:p>
      <w:pPr>
        <w:spacing w:after="0" w:line="200" w:lineRule="exact"/>
        <w:rPr>
          <w:sz w:val="20"/>
          <w:szCs w:val="20"/>
          <w:color w:val="auto"/>
        </w:rPr>
      </w:pP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common unit will be exchanged for shares of our common stock at a ratio of , there were outstanding options to purchase shares of our common stock. As soon as practicable after the closing of this offering, we intend to file a registration statement on Form S-8 under the Securities Act covering shares of our common stock reserved for issuance upon exercise of stock options outstanding as of at a weighted average exercise price of per share and shares of our common stock reserved as of for issuance pursuant to future grants</w:t>
      </w:r>
    </w:p>
    <w:p>
      <w:pPr>
        <w:spacing w:after="0" w:line="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our 2008 Equity Incentive Plan and 2008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 the sale or other disposition of the shares of common stock underlying the options for a period of 180 days after the date of this prospectus without the prior written consent from us or Goldman, Sachs &amp; Co., UBS Securities LLC and Credit Suisse Securities (USA) 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Upon the closing of this offerings, certain holders of our shares of common stock will have the right to register their remaining shares of common stock pursuant to a securityholders’ agreement. In addition, some holders will have certain “incidental” registration rights, pursuant to that agreement. See “Description of Capital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80"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following is a summary of the material U.S. federal income and estate tax consequences of the ownership and disposition of shares of our common stock to a non-U.S. holder who purchases our common stock in this offering. For purposes of this discussion, a non-U.S. holder is any beneficial owner of our common stock that for U.S. federal income tax purposes is not a U.S. person (other than a partnership, as discussed below); the term U.S. person means:</w:t>
      </w:r>
    </w:p>
    <w:p>
      <w:pPr>
        <w:spacing w:after="0" w:line="74" w:lineRule="exact"/>
        <w:rPr>
          <w:sz w:val="20"/>
          <w:szCs w:val="20"/>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820" w:right="100" w:hanging="245"/>
        <w:spacing w:after="0" w:line="239"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90" w:lineRule="exact"/>
        <w:rPr>
          <w:rFonts w:ascii="Arial" w:cs="Arial" w:eastAsia="Arial" w:hAnsi="Arial"/>
          <w:sz w:val="18"/>
          <w:szCs w:val="18"/>
          <w:color w:val="auto"/>
        </w:rPr>
      </w:pPr>
    </w:p>
    <w:p>
      <w:pPr>
        <w:ind w:left="820" w:right="120" w:hanging="245"/>
        <w:spacing w:after="0" w:line="299" w:lineRule="auto"/>
        <w:tabs>
          <w:tab w:leader="none" w:pos="8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10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If a partnership or other pass-through entity holds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155"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This discussion assumes that non-U.S. holders will hold shares of our common stock issued pursuant to the offering as a capital asset (generally, property held for investment). This discussion does not address all aspects of U.S. federal income taxation that may be relevant in light of a non-U.S. holder’s special tax status or special tax situations. U.S. expatriates, life insurance companies, tax-exempt organizations, dealers in securities or currency, banks or other financial institutions, pension funds and investors that hold shares of common stock as part of a hedge, straddle or conversion transaction are among those categories of potential investors that are subject to special rules not covered in this discussion. This discussion does not address any non-income tax consequences except as noted under “Federal Estate Tax”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constitute a return of capital and will first reduce a holder’s basis, but not below zero, and then will be treated as gain from the sale of shares and may be subject to U.S. federal income tax as described below.</w:t>
      </w:r>
    </w:p>
    <w:p>
      <w:pPr>
        <w:spacing w:after="0" w:line="129"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Any distribution that is a dividend, as defined above, paid to a non-U.S. holder of common shares generally will be subject to U.S. withholding tax either at a rate of 30% of the gross amount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dividend or such lower rate as may be specified by an applicable tax treaty. In order to receive a reduced treaty rate, a non-U.S. holder must provide us with an IRS Form W-8BEN or other appropriate version of IRS Form W-8 certifying qualification for the reduced rate.</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provide us with an IRS Form W-8ECI properly certifying this exemption. Effectively connected dividends (and dividends attributable to a permanent establishment), although not subject to withholding tax, are taxed at the same graduated rates applicable to U.S. persons, net of specified deductions and credits. In addition, dividends received by a corporate non-U.S. holder that are effectively connected with a U.S. trade or business of the corporate non-U.S. holder (and dividends attributable to a corporate non-U.S. holder’s permanent establishment in the United States if a tax treaty applies) may also be subject to a branch profits tax at a rate of 30% (or such lower rate as may be specified in a tax treaty).</w:t>
      </w:r>
    </w:p>
    <w:p>
      <w:pPr>
        <w:spacing w:after="0" w:line="15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 non-U.S. holder of common shares that is eligible for a reduced rate of withholding tax pursuant to a tax treaty may obtain a refund of any excess amounts withheld if an appropriate claim for refund is filed with the IRS.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99"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A non-U.S. holder generally will not be subject to United States federal income tax on gain realized upon the sale or other disposition of shares of our common stock unless:</w:t>
      </w:r>
    </w:p>
    <w:p>
      <w:pPr>
        <w:spacing w:after="0" w:line="74" w:lineRule="exact"/>
        <w:rPr>
          <w:sz w:val="20"/>
          <w:szCs w:val="20"/>
          <w:color w:val="auto"/>
        </w:rPr>
      </w:pPr>
    </w:p>
    <w:p>
      <w:pPr>
        <w:ind w:left="820" w:right="20" w:hanging="245"/>
        <w:spacing w:after="0" w:line="238"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(or attributable to a permanent establishment in the United States if a tax treaty applies), which gain, in the case of a corporate non-U.S. holder, must also be taken into account for branch profits tax purposes;</w:t>
      </w:r>
    </w:p>
    <w:p>
      <w:pPr>
        <w:spacing w:after="0" w:line="72"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73" w:lineRule="exact"/>
        <w:rPr>
          <w:rFonts w:ascii="Arial" w:cs="Arial" w:eastAsia="Arial" w:hAnsi="Arial"/>
          <w:sz w:val="18"/>
          <w:szCs w:val="18"/>
          <w:color w:val="auto"/>
        </w:rPr>
      </w:pPr>
    </w:p>
    <w:p>
      <w:pPr>
        <w:ind w:left="820" w:right="20" w:hanging="245"/>
        <w:spacing w:after="0" w:line="236" w:lineRule="auto"/>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common shares constitute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are not currently, and we believe that we will not become, a “United States real property holding corporation” for U.S. federal income tax purposes. If we are or become a “United States real property holding corporation,” so long as our common stock continues to be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9"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15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Payments of dividends or of proceeds on the disposition of shares made to a non-U.S. holder may be subject to information reporting and backup withholding at the then effective rate unless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15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An individual non-U.S. holder who is treated as the owner,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Under current law, the U.S. federal estate tax has been repealed for the estates of decedents dying in the year 2010, but is in force for all prior and subsequent years.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UBS Securities LLC, Credit Suisse Securities (USA) LLC, Citigroup Global Markets Inc. and Lehman Brothers Inc. are the representatives of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vMerge w:val="restart"/>
          </w:tcPr>
          <w:p>
            <w:pPr>
              <w:spacing w:after="0"/>
              <w:rPr>
                <w:sz w:val="20"/>
                <w:szCs w:val="20"/>
                <w:color w:val="auto"/>
              </w:rPr>
            </w:pPr>
            <w:r>
              <w:rPr>
                <w:rFonts w:ascii="Arial" w:cs="Arial" w:eastAsia="Arial" w:hAnsi="Arial"/>
                <w:sz w:val="14"/>
                <w:szCs w:val="14"/>
                <w:color w:val="auto"/>
              </w:rPr>
              <w:t>Underwriters</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3"/>
        </w:trPr>
        <w:tc>
          <w:tcPr>
            <w:tcW w:w="102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4"/>
                <w:szCs w:val="14"/>
                <w:color w:val="auto"/>
                <w:w w:val="94"/>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12065</wp:posOffset>
            </wp:positionV>
            <wp:extent cx="5918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2" w:lineRule="exact"/>
        <w:rPr>
          <w:sz w:val="20"/>
          <w:szCs w:val="20"/>
          <w:color w:val="auto"/>
        </w:rPr>
      </w:pPr>
    </w:p>
    <w:p>
      <w:pPr>
        <w:jc w:val="both"/>
        <w:ind w:right="240" w:firstLine="571"/>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jc w:val="both"/>
        <w:ind w:right="60"/>
        <w:spacing w:after="0" w:line="238" w:lineRule="auto"/>
        <w:rPr>
          <w:sz w:val="20"/>
          <w:szCs w:val="20"/>
          <w:color w:val="auto"/>
        </w:rPr>
      </w:pPr>
      <w:r>
        <w:rPr>
          <w:rFonts w:ascii="Arial" w:cs="Arial" w:eastAsia="Arial" w:hAnsi="Arial"/>
          <w:sz w:val="18"/>
          <w:szCs w:val="18"/>
          <w:color w:val="auto"/>
        </w:rPr>
        <w:t>additional shares from the selling stockholders, including certain of our executive officers and other members of senior management.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MagnaChip and the selling</w:t>
      </w:r>
    </w:p>
    <w:p>
      <w:pPr>
        <w:ind w:right="420"/>
        <w:spacing w:after="0" w:line="239" w:lineRule="auto"/>
        <w:rPr>
          <w:sz w:val="20"/>
          <w:szCs w:val="20"/>
          <w:color w:val="auto"/>
        </w:rPr>
      </w:pPr>
      <w:r>
        <w:rPr>
          <w:rFonts w:ascii="Arial" w:cs="Arial" w:eastAsia="Arial" w:hAnsi="Arial"/>
          <w:sz w:val="18"/>
          <w:szCs w:val="18"/>
          <w:color w:val="auto"/>
        </w:rPr>
        <w:t>stockholders. Such amounts are shown assuming both no exercise and full exercise of the underwriters’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140" w:type="dxa"/>
            <w:vAlign w:val="bottom"/>
            <w:gridSpan w:val="3"/>
          </w:tcPr>
          <w:p>
            <w:pPr>
              <w:jc w:val="right"/>
              <w:ind w:right="5052"/>
              <w:spacing w:after="0"/>
              <w:rPr>
                <w:sz w:val="20"/>
                <w:szCs w:val="20"/>
                <w:color w:val="auto"/>
              </w:rPr>
            </w:pPr>
            <w:r>
              <w:rPr>
                <w:rFonts w:ascii="Arial" w:cs="Arial" w:eastAsia="Arial" w:hAnsi="Arial"/>
                <w:sz w:val="14"/>
                <w:szCs w:val="14"/>
                <w:color w:val="auto"/>
              </w:rPr>
              <w:t>Paid by MagnaChip</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9"/>
        </w:trPr>
        <w:tc>
          <w:tcPr>
            <w:tcW w:w="2240" w:type="dxa"/>
            <w:vAlign w:val="bottom"/>
            <w:tcBorders>
              <w:top w:val="single" w:sz="8" w:color="auto"/>
            </w:tcBorders>
          </w:tcPr>
          <w:p>
            <w:pPr>
              <w:spacing w:after="0"/>
              <w:rPr>
                <w:sz w:val="12"/>
                <w:szCs w:val="12"/>
                <w:color w:val="auto"/>
              </w:rPr>
            </w:pPr>
          </w:p>
        </w:tc>
        <w:tc>
          <w:tcPr>
            <w:tcW w:w="7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No</w:t>
            </w: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Full</w:t>
            </w:r>
          </w:p>
        </w:tc>
      </w:tr>
      <w:tr>
        <w:trPr>
          <w:trHeight w:val="165"/>
        </w:trPr>
        <w:tc>
          <w:tcPr>
            <w:tcW w:w="2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140" w:type="dxa"/>
            <w:vAlign w:val="bottom"/>
            <w:gridSpan w:val="3"/>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r>
      <w:tr>
        <w:trPr>
          <w:trHeight w:val="214"/>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814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r>
        <w:trPr>
          <w:trHeight w:val="340"/>
        </w:trPr>
        <w:tc>
          <w:tcPr>
            <w:tcW w:w="2240" w:type="dxa"/>
            <w:vAlign w:val="bottom"/>
          </w:tcPr>
          <w:p>
            <w:pPr>
              <w:spacing w:after="0"/>
              <w:rPr>
                <w:sz w:val="24"/>
                <w:szCs w:val="24"/>
                <w:color w:val="auto"/>
              </w:rPr>
            </w:pPr>
          </w:p>
        </w:tc>
        <w:tc>
          <w:tcPr>
            <w:tcW w:w="8140" w:type="dxa"/>
            <w:vAlign w:val="bottom"/>
            <w:gridSpan w:val="3"/>
          </w:tcPr>
          <w:p>
            <w:pPr>
              <w:jc w:val="right"/>
              <w:ind w:right="4672"/>
              <w:spacing w:after="0"/>
              <w:rPr>
                <w:sz w:val="20"/>
                <w:szCs w:val="20"/>
                <w:color w:val="auto"/>
              </w:rPr>
            </w:pPr>
            <w:r>
              <w:rPr>
                <w:rFonts w:ascii="Arial" w:cs="Arial" w:eastAsia="Arial" w:hAnsi="Arial"/>
                <w:sz w:val="14"/>
                <w:szCs w:val="14"/>
                <w:color w:val="auto"/>
              </w:rPr>
              <w:t>Paid by the Selling Stockholders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9"/>
        </w:trPr>
        <w:tc>
          <w:tcPr>
            <w:tcW w:w="2240" w:type="dxa"/>
            <w:vAlign w:val="bottom"/>
            <w:tcBorders>
              <w:top w:val="single" w:sz="8" w:color="auto"/>
            </w:tcBorders>
          </w:tcPr>
          <w:p>
            <w:pPr>
              <w:spacing w:after="0"/>
              <w:rPr>
                <w:sz w:val="12"/>
                <w:szCs w:val="12"/>
                <w:color w:val="auto"/>
              </w:rPr>
            </w:pPr>
          </w:p>
        </w:tc>
        <w:tc>
          <w:tcPr>
            <w:tcW w:w="71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No</w:t>
            </w:r>
          </w:p>
        </w:tc>
        <w:tc>
          <w:tcPr>
            <w:tcW w:w="34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Full</w:t>
            </w:r>
          </w:p>
        </w:tc>
      </w:tr>
      <w:tr>
        <w:trPr>
          <w:trHeight w:val="165"/>
        </w:trPr>
        <w:tc>
          <w:tcPr>
            <w:tcW w:w="22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Exercise</w:t>
            </w:r>
          </w:p>
        </w:tc>
      </w:tr>
      <w:tr>
        <w:trPr>
          <w:trHeight w:val="196"/>
        </w:trPr>
        <w:tc>
          <w:tcPr>
            <w:tcW w:w="2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140" w:type="dxa"/>
            <w:vAlign w:val="bottom"/>
            <w:gridSpan w:val="3"/>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r>
      <w:tr>
        <w:trPr>
          <w:trHeight w:val="214"/>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814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200"/>
        <w:spacing w:after="0" w:line="239"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If all the shares are not sold at the initial public offering price, the representatives may change the offering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and the other selling terms. The offering of the shares by the underwriters is subject to receipt and acceptance and subject to the underwriters’ right to reject any order in whole or in part.</w:t>
      </w:r>
    </w:p>
    <w:p>
      <w:pPr>
        <w:spacing w:after="0" w:line="23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180-days after the date of this prospectus, except with the prior written consent of the representatives. See “Shares Available for Future Sale” for a discussion of certain transfer restrictions.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180-day restricted period described in the preceding paragraph will be automatically extended if: (1) during the last 17 days of the 180-day restricted period MagnaChip issues an earnings release or announces material news or a material event; or (2) prior to the expiration of the 180-day restricted period, MagnaChip announces that it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MagnaChip and the representatives. Among the factors to be considered in determining the initial public offering price of the shares, in addition to prevailing market conditions, will be MagnaChip’s historical performance, estimates of the business potential and earnings prospects of MagnaChip, an assessment of MagnaChip’s management and the consideration of the above factors in relation to market valuation of companies in related businesses.</w:t>
      </w:r>
    </w:p>
    <w:p>
      <w:pPr>
        <w:spacing w:after="0" w:line="157" w:lineRule="exact"/>
        <w:rPr>
          <w:sz w:val="20"/>
          <w:szCs w:val="20"/>
          <w:color w:val="auto"/>
        </w:rPr>
      </w:pPr>
    </w:p>
    <w:p>
      <w:pPr>
        <w:jc w:val="both"/>
        <w:ind w:right="180" w:firstLine="571"/>
        <w:spacing w:after="0" w:line="237" w:lineRule="auto"/>
        <w:rPr>
          <w:sz w:val="20"/>
          <w:szCs w:val="20"/>
          <w:color w:val="auto"/>
        </w:rPr>
      </w:pPr>
      <w:r>
        <w:rPr>
          <w:rFonts w:ascii="Arial" w:cs="Arial" w:eastAsia="Arial" w:hAnsi="Arial"/>
          <w:sz w:val="18"/>
          <w:szCs w:val="18"/>
          <w:color w:val="auto"/>
        </w:rPr>
        <w:t>An application has been made to list the common stock on the New York Stock Exchange under the symbol “MX”. In order to meet one of the requirements for listing the common stock on the NYSE, the underwriters have undertaken to sell lots of 100 or more shares to a minimum of 400 U.S. beneficial holders and thereby establish at least 1,100,000 shares in the U.S. public float having a minimum aggregate market value of $60,000,000 in the United States with a global market capitalization of at least $750 million.</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61"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MagnaChip’s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4" w:lineRule="exact"/>
        <w:rPr>
          <w:sz w:val="20"/>
          <w:szCs w:val="20"/>
          <w:color w:val="auto"/>
        </w:rPr>
      </w:pPr>
    </w:p>
    <w:p>
      <w:pPr>
        <w:ind w:left="1140" w:right="400" w:hanging="565"/>
        <w:spacing w:after="0" w:line="239"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73" w:lineRule="exact"/>
        <w:rPr>
          <w:rFonts w:ascii="Arial" w:cs="Arial" w:eastAsia="Arial" w:hAnsi="Arial"/>
          <w:sz w:val="18"/>
          <w:szCs w:val="18"/>
          <w:color w:val="auto"/>
        </w:rPr>
      </w:pPr>
    </w:p>
    <w:p>
      <w:pPr>
        <w:jc w:val="both"/>
        <w:ind w:left="1140" w:right="580" w:hanging="565"/>
        <w:spacing w:after="0" w:line="238"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2" w:lineRule="exact"/>
        <w:rPr>
          <w:rFonts w:ascii="Arial" w:cs="Arial" w:eastAsia="Arial" w:hAnsi="Arial"/>
          <w:sz w:val="18"/>
          <w:szCs w:val="18"/>
          <w:color w:val="auto"/>
        </w:rPr>
      </w:pPr>
    </w:p>
    <w:p>
      <w:pPr>
        <w:ind w:left="1140" w:right="80" w:hanging="565"/>
        <w:spacing w:after="0" w:line="239"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73" w:lineRule="exact"/>
        <w:rPr>
          <w:rFonts w:ascii="Arial" w:cs="Arial" w:eastAsia="Arial" w:hAnsi="Arial"/>
          <w:sz w:val="18"/>
          <w:szCs w:val="18"/>
          <w:color w:val="auto"/>
        </w:rPr>
      </w:pPr>
    </w:p>
    <w:p>
      <w:pPr>
        <w:ind w:left="1140" w:right="60" w:hanging="565"/>
        <w:spacing w:after="0" w:line="239" w:lineRule="auto"/>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1140" w:right="200" w:hanging="565"/>
        <w:spacing w:after="0" w:line="237"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would not, if the Issuer was not an authorised person, apply to the Issuer; and</w:t>
      </w:r>
    </w:p>
    <w:p>
      <w:pPr>
        <w:spacing w:after="0" w:line="73" w:lineRule="exact"/>
        <w:rPr>
          <w:rFonts w:ascii="Arial" w:cs="Arial" w:eastAsia="Arial" w:hAnsi="Arial"/>
          <w:sz w:val="18"/>
          <w:szCs w:val="18"/>
          <w:color w:val="auto"/>
        </w:rPr>
      </w:pPr>
    </w:p>
    <w:p>
      <w:pPr>
        <w:ind w:left="1140" w:hanging="565"/>
        <w:spacing w:after="0" w:line="239"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5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shares may not be offered or sold by means of any document other than (i) in circumstances which do not constitute an offer to the public within the meaning of the Companies Ordinance (Cap.32,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31"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right="100" w:firstLine="571"/>
        <w:spacing w:after="0" w:line="27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3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56"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154" w:lineRule="exact"/>
        <w:rPr>
          <w:sz w:val="20"/>
          <w:szCs w:val="20"/>
          <w:color w:val="auto"/>
        </w:rPr>
      </w:pPr>
    </w:p>
    <w:p>
      <w:pPr>
        <w:ind w:right="920" w:firstLine="571"/>
        <w:spacing w:after="0" w:line="239" w:lineRule="auto"/>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 The underwriters may not confirm sales to discretionary accounts without prior written approval of the customer.</w:t>
      </w:r>
    </w:p>
    <w:p>
      <w:pPr>
        <w:spacing w:after="0" w:line="15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MagnaChip estimates that its share of the total expenses of the offering, excluding underwriting discount but including the expenses of the selling stockholders, will be approximately $3.9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firstLine="571"/>
        <w:spacing w:after="0" w:line="299" w:lineRule="auto"/>
        <w:rPr>
          <w:sz w:val="20"/>
          <w:szCs w:val="20"/>
          <w:color w:val="auto"/>
        </w:rPr>
      </w:pPr>
      <w:r>
        <w:rPr>
          <w:rFonts w:ascii="Arial" w:cs="Arial" w:eastAsia="Arial" w:hAnsi="Arial"/>
          <w:sz w:val="16"/>
          <w:szCs w:val="16"/>
          <w:color w:val="auto"/>
        </w:rPr>
        <w:t>MagnaChip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109"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55" w:lineRule="exact"/>
        <w:rPr>
          <w:sz w:val="20"/>
          <w:szCs w:val="20"/>
          <w:color w:val="auto"/>
        </w:rPr>
      </w:pPr>
    </w:p>
    <w:p>
      <w:pPr>
        <w:ind w:right="140" w:firstLine="571"/>
        <w:spacing w:after="0" w:line="270" w:lineRule="auto"/>
        <w:rPr>
          <w:sz w:val="20"/>
          <w:szCs w:val="20"/>
          <w:color w:val="auto"/>
        </w:rPr>
      </w:pPr>
      <w:r>
        <w:rPr>
          <w:rFonts w:ascii="Arial" w:cs="Arial" w:eastAsia="Arial" w:hAnsi="Arial"/>
          <w:sz w:val="16"/>
          <w:szCs w:val="16"/>
          <w:color w:val="auto"/>
        </w:rPr>
        <w:t>Certain of the underwriters and their respective affiliates have, from time to time, performed various financial advisory and investment banking services for us for which they received customary fees and expenses. UBS Securities LLC and UBS AG, Stamford Branch, an affiliate of UBS Securities LLC, serve as arranger, and as administrative agent and priority lien collateral agent, respectively, under our senior secured credit facility for which they receive customary fees and expenses. In addition, UBS Loan Finance (an affiliate of UBS Securities LLC), Goldman Sachs Credit Partners LP (an affiliate of Goldman, Sachs &amp; Co.) and Citicorp North America LLC (an affiliate of Citigroup Global Markets Inc.) serve as lenders under our senior secured credit facility for which they receive customary fees and expenses. Affiliates of Credit Suisse Securities (USA)</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LLC hold a portion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Goldman, Sachs &amp; Co., UBS Securities LLC, Credit Suisse Securities (USA) LLC and Citigroup Global Markets Inc. are managing underwriters in this offering. Certain of the underwriters and their respective affiliates may in the future perform various financial advisory and/or investment banking services for us, for which they will receive customary fees and expenses.</w:t>
      </w:r>
    </w:p>
    <w:p>
      <w:pPr>
        <w:spacing w:after="0" w:line="196"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Because affiliates of Citigroup Global Markets Inc. hold in excess of 10% of the outstanding equity of Court Square and CVC Asia Pacific, Citigroup Global Markets Inc. is deemed to be an affiliate of ours under Rule 2720(b)(1) of the FINRA Conduct Rules and, therefore, Citigroup Global Markets Inc. is also deemed to have a conflict of interest under Rule 2720 of the FINRA Conduct Rules. Affiliates of Citigroup Global Markets, Inc. also hold shares of our common stock and Class B preferred stock. Accordingly, this offering will be made in compliance with the applicable provisions of Rule 2720 of the FINRA Conduct Rules which requires that the initial public offering price can be no higher than that recommended by a “qualified independent underwriter,” as defined by FINRA. Lehman Brothers Inc. has served in that capacity and performed due diligence investigations and reviewed and participated in the preparation of the registration statement of which this prospectus forms a part.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$9.75 million of the net proceeds of this offering to pay Court Square, Francisco Partners and CVC Asia Pacific certain</w:t>
      </w:r>
    </w:p>
    <w:p>
      <w:pPr>
        <w:ind w:right="60"/>
        <w:spacing w:after="0" w:line="281" w:lineRule="auto"/>
        <w:rPr>
          <w:sz w:val="20"/>
          <w:szCs w:val="20"/>
          <w:color w:val="auto"/>
        </w:rPr>
      </w:pPr>
      <w:r>
        <w:rPr>
          <w:rFonts w:ascii="Arial" w:cs="Arial" w:eastAsia="Arial" w:hAnsi="Arial"/>
          <w:sz w:val="16"/>
          <w:szCs w:val="16"/>
          <w:color w:val="auto"/>
        </w:rPr>
        <w:t>amounts in connection with the termination of our sponsors’ advisory agreements. We intend to use $ of the net proceeds of this offering to repurchase all of the outstanding shares of our Series B preferred stock held by Court Square, Francisco Partners and CVC Asia Pacific. We may</w:t>
      </w:r>
    </w:p>
    <w:p>
      <w:pPr>
        <w:spacing w:after="0" w:line="1"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 xml:space="preserve">use a portion of the net proceeds of this offering to repurchase some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to reduce amounts drawn under our senior secured credit facility.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validity of our common stock offered hereby will be passed on for us by Dechert LLP, New York, New York. Certain legal matters in connection with this offering will be passed on for the underwriters by Kirkland &amp; Ellis LLP, Los Angeles, California.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consolidated financial statements as of December 31, 2006 and 2005 and for the years ended December 31, 2006 and 2005, the three months ended December 31, 2004 (successor company) and the nine months ended September 30, 2004 (predecessor company),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Kukje Center Building, 191 Hangangro 2ga, Yongsan-gu, Seoul 140-702, Korea. Samil PricewaterhouseCoopers is a member of the Korean Institute of Certified Public Accountants, and the Korean member firm of PricewaterhouseCoopers. PricewaterhouseCoopers refers to the network of member firms of PricewaterhouseCoopers International Limited, each of which is a separate and independent legal entity.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We have filed with the SEC a registration statement on Form S-1 under the Securities Act of 1933, covering our common stock to be issued pursuant to this offering (Registration No. 333-147388).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shares of common stock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 involved.</w:t>
      </w:r>
    </w:p>
    <w:p>
      <w:pPr>
        <w:spacing w:after="0" w:line="13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You may read and copy any reports or other information filed by us at the SEC’s public reference room at 450 Fifth Street, N.W.,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Gangnam-gu, Seoul 135-738, Korea, Attention: Senior Vice President, General Counsel and Secretary; the telephone number at that address is 011-82-2-3459-3376.</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Gartner report described herein represents data, research opinion or viewpoints published, as part of a syndicated subscription service available only to clients, by Gartner, Inc., a corporation organized under the laws of the State of Delaware, USA, and its subsidiaries, and is not a representation of fact. The Gartner report does not constitute a specific guide to action. Each Gartner report speaks as of its original publication date (and not as of the date of this prospectus) and the opinions expressed in the Gartner report are subject to change without notice. Although we believe that this report is reliable, we have not independently verified the information contained in it.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40" w:type="dxa"/>
            <w:vAlign w:val="bottom"/>
            <w:gridSpan w:val="13"/>
          </w:tcPr>
          <w:p>
            <w:pPr>
              <w:jc w:val="center"/>
              <w:ind w:right="2800"/>
              <w:spacing w:after="0"/>
              <w:rPr>
                <w:sz w:val="20"/>
                <w:szCs w:val="20"/>
                <w:color w:val="auto"/>
              </w:rPr>
            </w:pPr>
            <w:r>
              <w:rPr>
                <w:rFonts w:ascii="Arial" w:cs="Arial" w:eastAsia="Arial" w:hAnsi="Arial"/>
                <w:sz w:val="18"/>
                <w:szCs w:val="18"/>
                <w:b w:val="1"/>
                <w:bCs w:val="1"/>
                <w:color w:val="auto"/>
                <w:w w:val="96"/>
              </w:rPr>
              <w:t>INDEX TO FINANCIAL STATEMENTS</w:t>
            </w:r>
          </w:p>
        </w:tc>
        <w:tc>
          <w:tcPr>
            <w:tcW w:w="880" w:type="dxa"/>
            <w:vAlign w:val="bottom"/>
          </w:tcPr>
          <w:p>
            <w:pPr>
              <w:spacing w:after="0"/>
              <w:rPr>
                <w:sz w:val="20"/>
                <w:szCs w:val="20"/>
                <w:color w:val="auto"/>
              </w:rPr>
            </w:pPr>
          </w:p>
        </w:tc>
      </w:tr>
      <w:tr>
        <w:trPr>
          <w:trHeight w:val="367"/>
        </w:trPr>
        <w:tc>
          <w:tcPr>
            <w:tcW w:w="45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Report of Independent Registered Public Accounting Firm</w:t>
              </w:r>
            </w:hyperlink>
          </w:p>
        </w:tc>
        <w:tc>
          <w:tcPr>
            <w:tcW w:w="604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43">
              <w:r>
                <w:rPr>
                  <w:rFonts w:ascii="Arial" w:cs="Arial" w:eastAsia="Arial" w:hAnsi="Arial"/>
                  <w:sz w:val="18"/>
                  <w:szCs w:val="18"/>
                  <w:color w:val="0000EE"/>
                </w:rPr>
                <w:t>MagnaChip Semiconductor LLC Consolidated Balance Sheets As of December 31, 2006 and 2005 (successor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20"/>
        </w:trPr>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MagnaChip Semiconductor LLC Consolidated Statements of Operations For the Years Ended December 31, 2006 and 2005, the Three</w:t>
              </w:r>
            </w:hyperlink>
          </w:p>
        </w:tc>
        <w:tc>
          <w:tcPr>
            <w:tcW w:w="880" w:type="dxa"/>
            <w:vAlign w:val="bottom"/>
          </w:tcPr>
          <w:p>
            <w:pPr>
              <w:spacing w:after="0"/>
              <w:rPr>
                <w:sz w:val="15"/>
                <w:szCs w:val="15"/>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0260" w:type="dxa"/>
            <w:vAlign w:val="bottom"/>
            <w:tcBorders>
              <w:top w:val="single" w:sz="8" w:color="0000EE"/>
            </w:tcBorders>
            <w:gridSpan w:val="15"/>
          </w:tcPr>
          <w:p>
            <w:pPr>
              <w:spacing w:after="0" w:line="182"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Months Ended December 31, 2004 (successor company) and the Nine Months Ended September 30, 2004 (predecessor company)</w:t>
              </w:r>
            </w:hyperlink>
          </w:p>
        </w:tc>
        <w:tc>
          <w:tcPr>
            <w:tcW w:w="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3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MagnaChip Semiconductor LLC Consolidated Statements of Changes in Unitholders’ Equity and Owners’ Equity For the Years Ended</w:t>
              </w:r>
            </w:hyperlink>
          </w:p>
        </w:tc>
        <w:tc>
          <w:tcPr>
            <w:tcW w:w="160" w:type="dxa"/>
            <w:vAlign w:val="bottom"/>
            <w:gridSpan w:val="4"/>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90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December 31, 2006 and 2005, the Three Months Ended December 31, 2004 (successor company) and the Nine Months Ended</w:t>
              </w:r>
            </w:hyperlink>
          </w:p>
        </w:tc>
        <w:tc>
          <w:tcPr>
            <w:tcW w:w="420" w:type="dxa"/>
            <w:vAlign w:val="bottom"/>
            <w:gridSpan w:val="6"/>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45">
              <w:r>
                <w:rPr>
                  <w:rFonts w:ascii="Arial" w:cs="Arial" w:eastAsia="Arial" w:hAnsi="Arial"/>
                  <w:sz w:val="18"/>
                  <w:szCs w:val="18"/>
                  <w:color w:val="0000EE"/>
                </w:rPr>
                <w:t>September 30, 2004 (predecessor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MagnaChip Semiconductor LLC Consolidated Statements of Cash Flows For the Years Ended December 31, 2006 and 2005, the Three</w:t>
              </w:r>
            </w:hyperlink>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Months Ended December 31, 2004 (successor company) and the Nine Months Ended September 30, 2004 (predecessor company)</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47">
              <w:r>
                <w:rPr>
                  <w:rFonts w:ascii="Arial" w:cs="Arial" w:eastAsia="Arial" w:hAnsi="Arial"/>
                  <w:sz w:val="18"/>
                  <w:szCs w:val="18"/>
                  <w:color w:val="0000EE"/>
                </w:rPr>
                <w:t>MagnaChip Semiconductor LLC Notes to Consolidated Financial Statements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982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186">
              <w:r>
                <w:rPr>
                  <w:rFonts w:ascii="Arial" w:cs="Arial" w:eastAsia="Arial" w:hAnsi="Arial"/>
                  <w:sz w:val="18"/>
                  <w:szCs w:val="18"/>
                  <w:color w:val="0000EE"/>
                  <w:w w:val="97"/>
                </w:rPr>
                <w:t>MagnaChip Semiconductor LLC Condensed Consolidated Balance Sheets As of September 30, 2007 and December 31, 2006</w:t>
              </w:r>
            </w:hyperlink>
          </w:p>
        </w:tc>
        <w:tc>
          <w:tcPr>
            <w:tcW w:w="720" w:type="dxa"/>
            <w:vAlign w:val="bottom"/>
            <w:gridSpan w:val="7"/>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(unaudited)</w:t>
              </w:r>
            </w:hyperlink>
          </w:p>
        </w:tc>
        <w:tc>
          <w:tcPr>
            <w:tcW w:w="9420" w:type="dxa"/>
            <w:vAlign w:val="bottom"/>
            <w:gridSpan w:val="15"/>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F-47</w:t>
            </w:r>
          </w:p>
        </w:tc>
      </w:tr>
      <w:tr>
        <w:trPr>
          <w:trHeight w:val="183"/>
        </w:trPr>
        <w:tc>
          <w:tcPr>
            <w:tcW w:w="104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187">
              <w:r>
                <w:rPr>
                  <w:rFonts w:ascii="Arial" w:cs="Arial" w:eastAsia="Arial" w:hAnsi="Arial"/>
                  <w:sz w:val="18"/>
                  <w:szCs w:val="18"/>
                  <w:color w:val="0000EE"/>
                  <w:w w:val="97"/>
                </w:rPr>
                <w:t>MagnaChip Semiconductor LLC Condensed Consolidated Statements of Operations For the Nine Months Ended September 30, 2007</w:t>
              </w:r>
            </w:hyperlink>
          </w:p>
        </w:tc>
        <w:tc>
          <w:tcPr>
            <w:tcW w:w="120" w:type="dxa"/>
            <w:vAlign w:val="bottom"/>
            <w:gridSpan w:val="3"/>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F-48</w:t>
            </w:r>
          </w:p>
        </w:tc>
      </w:tr>
      <w:tr>
        <w:trPr>
          <w:trHeight w:val="20"/>
        </w:trPr>
        <w:tc>
          <w:tcPr>
            <w:tcW w:w="2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30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188">
              <w:r>
                <w:rPr>
                  <w:rFonts w:ascii="Arial" w:cs="Arial" w:eastAsia="Arial" w:hAnsi="Arial"/>
                  <w:sz w:val="18"/>
                  <w:szCs w:val="18"/>
                  <w:color w:val="0000EE"/>
                  <w:w w:val="97"/>
                </w:rPr>
                <w:t>MagnaChip Semiconductor LLC Condensed Consolidated Statements of Changes in Unitholders’ Equity For the Nine Months Ended</w:t>
              </w:r>
            </w:hyperlink>
          </w:p>
        </w:tc>
        <w:tc>
          <w:tcPr>
            <w:tcW w:w="240" w:type="dxa"/>
            <w:vAlign w:val="bottom"/>
            <w:gridSpan w:val="5"/>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September 30, 2007 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F-49</w:t>
            </w:r>
          </w:p>
        </w:tc>
      </w:tr>
      <w:tr>
        <w:trPr>
          <w:trHeight w:val="20"/>
        </w:trPr>
        <w:tc>
          <w:tcPr>
            <w:tcW w:w="22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4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MagnaChip Semiconductor LLC Condensed Consolidated Statements of Cash Flows For the Nine Months Ended September 30, 2007</w:t>
              </w:r>
            </w:hyperlink>
          </w:p>
        </w:tc>
        <w:tc>
          <w:tcPr>
            <w:tcW w:w="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rPr>
            </w:pPr>
            <w:hyperlink w:anchor="page190">
              <w:r>
                <w:rPr>
                  <w:rFonts w:ascii="Arial" w:cs="Arial" w:eastAsia="Arial" w:hAnsi="Arial"/>
                  <w:sz w:val="18"/>
                  <w:szCs w:val="18"/>
                  <w:color w:val="0000EE"/>
                </w:rPr>
                <w:t>and October 1, 2006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F-51</w:t>
            </w:r>
          </w:p>
        </w:tc>
      </w:tr>
      <w:tr>
        <w:trPr>
          <w:trHeight w:val="20"/>
        </w:trPr>
        <w:tc>
          <w:tcPr>
            <w:tcW w:w="2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27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10540" w:type="dxa"/>
            <w:vAlign w:val="bottom"/>
            <w:gridSpan w:val="17"/>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MagnaChip Semiconductor LLC Notes to Condensed Consolidated Financial Statements (unaudited)</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F-52</w:t>
            </w:r>
          </w:p>
        </w:tc>
      </w:tr>
      <w:tr>
        <w:trPr>
          <w:trHeight w:val="370"/>
        </w:trPr>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340" w:type="dxa"/>
            <w:vAlign w:val="bottom"/>
            <w:tcBorders>
              <w:top w:val="single" w:sz="8" w:color="0000EE"/>
            </w:tcBorders>
            <w:gridSpan w:val="2"/>
          </w:tcPr>
          <w:p>
            <w:pPr>
              <w:jc w:val="center"/>
              <w:ind w:right="920"/>
              <w:spacing w:after="0"/>
              <w:rPr>
                <w:sz w:val="20"/>
                <w:szCs w:val="20"/>
                <w:color w:val="auto"/>
              </w:rPr>
            </w:pPr>
            <w:r>
              <w:rPr>
                <w:rFonts w:ascii="Arial" w:cs="Arial" w:eastAsia="Arial" w:hAnsi="Arial"/>
                <w:sz w:val="18"/>
                <w:szCs w:val="18"/>
                <w:color w:val="auto"/>
                <w:w w:val="96"/>
              </w:rPr>
              <w:t>F-1</w:t>
            </w:r>
          </w:p>
        </w:tc>
        <w:tc>
          <w:tcPr>
            <w:tcW w:w="2700" w:type="dxa"/>
            <w:vAlign w:val="bottom"/>
            <w:gridSpan w:val="9"/>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rPr>
          <w:sz w:val="20"/>
          <w:szCs w:val="20"/>
          <w:color w:val="auto"/>
        </w:rPr>
      </w:pPr>
      <w:r>
        <w:rPr>
          <w:rFonts w:ascii="Arial" w:cs="Arial" w:eastAsia="Arial" w:hAnsi="Arial"/>
          <w:sz w:val="18"/>
          <w:szCs w:val="18"/>
          <w:color w:val="auto"/>
        </w:rPr>
        <w:t>MagnaChip Semiconductor LLC (Successor Company)</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our opinion, the accompanying consolidated balance sheets and the related consolidated statements of operations, of changes in unitholders’ equity and of cash flows present fairly, in all material respects, the financial position of MagnaChip Semiconductor LLC and its subsidiaries (the “Company”) at December 31, 2006 and 2005, and the results of their operations and their cash flows for the years ended December 31, 2006 and 2005 and for the three-month period ended December 31, 2004 (successor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Samil PricewaterhouseCoopers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Seoul, Korea</w:t>
      </w:r>
    </w:p>
    <w:p>
      <w:pPr>
        <w:ind w:left="20"/>
        <w:spacing w:after="0"/>
        <w:rPr>
          <w:sz w:val="20"/>
          <w:szCs w:val="20"/>
          <w:color w:val="auto"/>
        </w:rPr>
      </w:pPr>
      <w:r>
        <w:rPr>
          <w:rFonts w:ascii="Arial" w:cs="Arial" w:eastAsia="Arial" w:hAnsi="Arial"/>
          <w:sz w:val="18"/>
          <w:szCs w:val="18"/>
          <w:color w:val="auto"/>
        </w:rPr>
        <w:t>March 26, 2007</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rPr>
          <w:sz w:val="20"/>
          <w:szCs w:val="20"/>
          <w:color w:val="auto"/>
        </w:rPr>
      </w:pPr>
      <w:r>
        <w:rPr>
          <w:rFonts w:ascii="Arial" w:cs="Arial" w:eastAsia="Arial" w:hAnsi="Arial"/>
          <w:sz w:val="18"/>
          <w:szCs w:val="18"/>
          <w:color w:val="auto"/>
        </w:rPr>
        <w:t>MagnaChip Semiconductor LLC (Predecessor Company)</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our opinion, the accompanying consolidated (carve-out) statements of operations, of changes in owners’ equity and of cash flows present fairly, in all material respects, the results of operations and cash flows of MagnaChip Semiconductor LLC and its subsidiaries (Predecessor Company) (the “Company”) for the nine-month period ended September 30, 2004 (predecessor basis),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rPr>
          <w:sz w:val="20"/>
          <w:szCs w:val="20"/>
          <w:color w:val="auto"/>
        </w:rPr>
      </w:pPr>
      <w:r>
        <w:rPr>
          <w:rFonts w:ascii="Arial" w:cs="Arial" w:eastAsia="Arial" w:hAnsi="Arial"/>
          <w:sz w:val="18"/>
          <w:szCs w:val="18"/>
          <w:color w:val="auto"/>
        </w:rPr>
        <w:t>June 15, 2005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89,173</w:t>
            </w:r>
          </w:p>
        </w:tc>
        <w:tc>
          <w:tcPr>
            <w:tcW w:w="3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76,665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57,846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6,754</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13,626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244,064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336,279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139,729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191,389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49,981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770,053</w:t>
            </w:r>
          </w:p>
        </w:tc>
        <w:tc>
          <w:tcPr>
            <w:tcW w:w="380" w:type="dxa"/>
            <w:vAlign w:val="bottom"/>
            <w:gridSpan w:val="2"/>
          </w:tcPr>
          <w:p>
            <w:pPr>
              <w:ind w:left="28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1,040,647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62,399</w:t>
            </w:r>
          </w:p>
        </w:tc>
        <w:tc>
          <w:tcPr>
            <w:tcW w:w="3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93,911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32,423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23,647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28,968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121,449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borrowings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62,836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55,124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2,935</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4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937,220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440"/>
              <w:spacing w:after="0" w:line="206" w:lineRule="exact"/>
              <w:rPr>
                <w:sz w:val="20"/>
                <w:szCs w:val="20"/>
                <w:color w:val="auto"/>
              </w:rPr>
            </w:pPr>
            <w:r>
              <w:rPr>
                <w:rFonts w:ascii="Arial" w:cs="Arial" w:eastAsia="Arial" w:hAnsi="Arial"/>
                <w:sz w:val="18"/>
                <w:szCs w:val="18"/>
                <w:color w:val="auto"/>
              </w:rPr>
              <w:t>Series A redeemable convertible preferred units, $1,000 par value; 60,000 units authorized, 50,091</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660"/>
              <w:spacing w:after="0" w:line="200" w:lineRule="exact"/>
              <w:rPr>
                <w:sz w:val="20"/>
                <w:szCs w:val="20"/>
                <w:color w:val="auto"/>
              </w:rPr>
            </w:pPr>
            <w:r>
              <w:rPr>
                <w:rFonts w:ascii="Arial" w:cs="Arial" w:eastAsia="Arial" w:hAnsi="Arial"/>
                <w:sz w:val="18"/>
                <w:szCs w:val="18"/>
                <w:color w:val="auto"/>
              </w:rPr>
              <w:t>units issued and 0 unit outstanding at December 31, 2006 and 2005</w:t>
            </w:r>
          </w:p>
        </w:tc>
        <w:tc>
          <w:tcPr>
            <w:tcW w:w="140" w:type="dxa"/>
            <w:vAlign w:val="bottom"/>
          </w:tcPr>
          <w:p>
            <w:pPr>
              <w:spacing w:after="0"/>
              <w:rPr>
                <w:sz w:val="17"/>
                <w:szCs w:val="17"/>
                <w:color w:val="auto"/>
              </w:rPr>
            </w:pPr>
          </w:p>
        </w:tc>
        <w:tc>
          <w:tcPr>
            <w:tcW w:w="1100" w:type="dxa"/>
            <w:vAlign w:val="bottom"/>
            <w:gridSpan w:val="2"/>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Series B redeemable convertible preferred units, $1,000 par value; 550,000 units authorized, 450,692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units issued and 93,997 units outstanding at December 31, 2006 and 2005</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117,374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40" w:type="dxa"/>
            <w:vAlign w:val="bottom"/>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117,374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Unitholders’ equity</w:t>
            </w: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940" w:type="dxa"/>
            <w:vAlign w:val="bottom"/>
          </w:tcPr>
          <w:p>
            <w:pPr>
              <w:ind w:left="440"/>
              <w:spacing w:after="0" w:line="206" w:lineRule="exact"/>
              <w:rPr>
                <w:sz w:val="20"/>
                <w:szCs w:val="20"/>
                <w:color w:val="auto"/>
              </w:rPr>
            </w:pPr>
            <w:r>
              <w:rPr>
                <w:rFonts w:ascii="Arial" w:cs="Arial" w:eastAsia="Arial" w:hAnsi="Arial"/>
                <w:sz w:val="18"/>
                <w:szCs w:val="18"/>
                <w:color w:val="auto"/>
              </w:rPr>
              <w:t>Common units, $1 par value; 65,000,000 units authorized, 52,720,784 and 53,091,570 units issued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tcPr>
          <w:p>
            <w:pPr>
              <w:ind w:left="660"/>
              <w:spacing w:after="0" w:line="200" w:lineRule="exact"/>
              <w:rPr>
                <w:sz w:val="20"/>
                <w:szCs w:val="20"/>
                <w:color w:val="auto"/>
              </w:rPr>
            </w:pPr>
            <w:r>
              <w:rPr>
                <w:rFonts w:ascii="Arial" w:cs="Arial" w:eastAsia="Arial" w:hAnsi="Arial"/>
                <w:sz w:val="18"/>
                <w:szCs w:val="18"/>
                <w:color w:val="auto"/>
              </w:rPr>
              <w:t>and outstanding at December 31, 2006 and 2005, respectively</w:t>
            </w: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52,721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53,092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(370,314)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30,601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tcPr>
          <w:p>
            <w:pPr>
              <w:ind w:left="880"/>
              <w:spacing w:after="0"/>
              <w:rPr>
                <w:sz w:val="20"/>
                <w:szCs w:val="20"/>
                <w:color w:val="auto"/>
              </w:rPr>
            </w:pPr>
            <w:r>
              <w:rPr>
                <w:rFonts w:ascii="Arial" w:cs="Arial" w:eastAsia="Arial" w:hAnsi="Arial"/>
                <w:sz w:val="18"/>
                <w:szCs w:val="18"/>
                <w:color w:val="auto"/>
              </w:rPr>
              <w:t>Total unitholders’ equity</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(284,541)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 redeemable convertible preferred units and unitholders’ equity</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770,053</w:t>
            </w:r>
          </w:p>
        </w:tc>
        <w:tc>
          <w:tcPr>
            <w:tcW w:w="3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1,040,647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7"/>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gridSpan w:val="3"/>
            <w:vMerge w:val="restart"/>
          </w:tcPr>
          <w:p>
            <w:pPr>
              <w:jc w:val="center"/>
              <w:ind w:right="1300"/>
              <w:spacing w:after="0" w:line="118" w:lineRule="exact"/>
              <w:rPr>
                <w:sz w:val="20"/>
                <w:szCs w:val="20"/>
                <w:color w:val="auto"/>
              </w:rPr>
            </w:pPr>
            <w:r>
              <w:rPr>
                <w:rFonts w:ascii="Arial" w:cs="Arial" w:eastAsia="Arial" w:hAnsi="Arial"/>
                <w:sz w:val="12"/>
                <w:szCs w:val="12"/>
                <w:b w:val="1"/>
                <w:bCs w:val="1"/>
                <w:color w:val="auto"/>
              </w:rPr>
              <w:t>ended</w:t>
            </w:r>
          </w:p>
        </w:tc>
        <w:tc>
          <w:tcPr>
            <w:tcW w:w="120" w:type="dxa"/>
            <w:vAlign w:val="bottom"/>
          </w:tcPr>
          <w:p>
            <w:pPr>
              <w:spacing w:after="0"/>
              <w:rPr>
                <w:sz w:val="2"/>
                <w:szCs w:val="2"/>
                <w:color w:val="auto"/>
              </w:rPr>
            </w:pPr>
          </w:p>
        </w:tc>
        <w:tc>
          <w:tcPr>
            <w:tcW w:w="880" w:type="dxa"/>
            <w:vAlign w:val="bottom"/>
            <w:gridSpan w:val="2"/>
            <w:vMerge w:val="restart"/>
          </w:tcPr>
          <w:p>
            <w:pPr>
              <w:jc w:val="center"/>
              <w:ind w:right="200"/>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4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2"/>
                <w:szCs w:val="12"/>
                <w:color w:val="auto"/>
              </w:rPr>
            </w:pPr>
          </w:p>
        </w:tc>
        <w:tc>
          <w:tcPr>
            <w:tcW w:w="2180" w:type="dxa"/>
            <w:vAlign w:val="bottom"/>
            <w:gridSpan w:val="4"/>
          </w:tcPr>
          <w:p>
            <w:pPr>
              <w:jc w:val="center"/>
              <w:ind w:right="11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2004</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gridSpan w:val="4"/>
          </w:tcPr>
          <w:p>
            <w:pPr>
              <w:jc w:val="center"/>
              <w:ind w:right="4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Related party</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163,760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744,352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937,656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243,582</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677,828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744,352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937,656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243,582</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644,911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728,999</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204,461</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654,569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208,657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39,121</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87,677</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123,211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29,784</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131,252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107,590</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22,058</w:t>
            </w:r>
          </w:p>
        </w:tc>
        <w:tc>
          <w:tcPr>
            <w:tcW w:w="6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75,657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94,266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36,234</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(213,754)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(58,378)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(12,721)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(57,159)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(57,236)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(16,816)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(17,749)</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 currency gain, net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16,532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30,437</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(6,298)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(40,704)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13,621</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(220,052)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(99,082)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8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(229,310)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(100,898)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(5,825)</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8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10,912</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9,928</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13,428</w:t>
            </w: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Net loss attributable to common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(240,222)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(110,826)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(19,253)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loss per common unit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Basic and diluted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3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8"/>
                <w:szCs w:val="18"/>
                <w:color w:val="auto"/>
              </w:rPr>
              <w:t>— Basic and diluted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52,911,734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52,898,497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50,061,910</w:t>
            </w:r>
          </w:p>
        </w:tc>
        <w:tc>
          <w:tcPr>
            <w:tcW w:w="6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CONSOLIDATED STATEMENTS OF CHANGES IN UNITHOLDERS’ EQUITY AND OWNER’S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720" w:type="dxa"/>
            <w:vAlign w:val="bottom"/>
            <w:gridSpan w:val="4"/>
            <w:vMerge w:val="continue"/>
          </w:tcPr>
          <w:p>
            <w:pPr>
              <w:spacing w:after="0"/>
              <w:rPr>
                <w:sz w:val="13"/>
                <w:szCs w:val="13"/>
                <w:color w:val="auto"/>
              </w:rPr>
            </w:pPr>
          </w:p>
        </w:tc>
        <w:tc>
          <w:tcPr>
            <w:tcW w:w="9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Additional</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360"/>
              <w:spacing w:after="0" w:line="125" w:lineRule="exact"/>
              <w:rPr>
                <w:sz w:val="20"/>
                <w:szCs w:val="20"/>
                <w:color w:val="auto"/>
              </w:rPr>
            </w:pPr>
            <w:r>
              <w:rPr>
                <w:rFonts w:ascii="Arial" w:cs="Arial" w:eastAsia="Arial" w:hAnsi="Arial"/>
                <w:sz w:val="14"/>
                <w:szCs w:val="14"/>
                <w:b w:val="1"/>
                <w:bCs w:val="1"/>
                <w:color w:val="auto"/>
                <w:w w:val="94"/>
              </w:rPr>
              <w:t>Paid-In</w:t>
            </w:r>
          </w:p>
        </w:tc>
        <w:tc>
          <w:tcPr>
            <w:tcW w:w="6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7"/>
              </w:rPr>
              <w:t>Owner’s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Stock</w:t>
            </w:r>
          </w:p>
        </w:tc>
        <w:tc>
          <w:tcPr>
            <w:tcW w:w="11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 Company)</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Capital</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1, 2004</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$ 135,781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Comprehensive income :</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Deferred stock compensation</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2004</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 xml:space="preserve"> 179,018</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5,674</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22,025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206,717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 Company)</w:t>
            </w: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October 1, 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49,713,286</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$ 49,713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units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363,627</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364</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2,456,090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2,456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Pr>
          <w:p>
            <w:pPr>
              <w:ind w:left="200"/>
              <w:spacing w:after="0" w:line="148" w:lineRule="exact"/>
              <w:rPr>
                <w:sz w:val="20"/>
                <w:szCs w:val="20"/>
                <w:color w:val="auto"/>
              </w:rPr>
            </w:pPr>
            <w:r>
              <w:rPr>
                <w:rFonts w:ascii="Arial" w:cs="Arial" w:eastAsia="Arial" w:hAnsi="Arial"/>
                <w:sz w:val="14"/>
                <w:szCs w:val="14"/>
                <w:color w:val="auto"/>
              </w:rPr>
              <w:t>Issuance of warrants in connection with Original</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Acquisition</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accumulated accrued dividends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(10,891)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(2,537)</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(5,825)</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20,621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7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52,533,003</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$ 52,533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(19,266)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20,505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units</w:t>
            </w:r>
          </w:p>
        </w:tc>
        <w:tc>
          <w:tcPr>
            <w:tcW w:w="94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504,317</w:t>
            </w:r>
          </w:p>
        </w:tc>
        <w:tc>
          <w:tcPr>
            <w:tcW w:w="7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504</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10</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54,250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(9,928)</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(100,898)</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(100,898)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valuation of derivatives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(93,056)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2005</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53,091,570</w:t>
            </w:r>
          </w:p>
        </w:tc>
        <w:tc>
          <w:tcPr>
            <w:tcW w:w="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1"/>
              </w:rPr>
              <w:t>$ 53,092</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2,169</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(130,092)</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28,347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Exercise of unit options</w:t>
            </w:r>
          </w:p>
        </w:tc>
        <w:tc>
          <w:tcPr>
            <w:tcW w:w="94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46,062</w:t>
            </w:r>
          </w:p>
        </w:tc>
        <w:tc>
          <w:tcPr>
            <w:tcW w:w="7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42</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Repurchase of common units</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(416,848)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(417)</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Unit-based compensation</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color w:val="auto"/>
              </w:rPr>
              <w:t>Dividends accrued on preferred units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(10,912)</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(229,310)</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(229,310)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valuation of derivatives</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loss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(227,056)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52,720,784</w:t>
            </w:r>
          </w:p>
        </w:tc>
        <w:tc>
          <w:tcPr>
            <w:tcW w:w="26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1"/>
              </w:rPr>
              <w:t>$ 52,721</w:t>
            </w:r>
          </w:p>
        </w:tc>
        <w:tc>
          <w:tcPr>
            <w:tcW w:w="2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2,451</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(370,314)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30,601</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(284,541)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3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Nine months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right"/>
              <w:ind w:right="62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9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gridSpan w:val="8"/>
          </w:tcPr>
          <w:p>
            <w:pPr>
              <w:jc w:val="right"/>
              <w:ind w:right="552"/>
              <w:spacing w:after="0" w:line="125" w:lineRule="exact"/>
              <w:rPr>
                <w:sz w:val="20"/>
                <w:szCs w:val="20"/>
                <w:color w:val="auto"/>
              </w:rPr>
            </w:pPr>
            <w:r>
              <w:rPr>
                <w:rFonts w:ascii="Arial" w:cs="Arial" w:eastAsia="Arial" w:hAnsi="Arial"/>
                <w:sz w:val="14"/>
                <w:szCs w:val="14"/>
                <w:b w:val="1"/>
                <w:bCs w:val="1"/>
                <w:color w:val="auto"/>
              </w:rPr>
              <w:t>(Successor Company)</w:t>
            </w:r>
          </w:p>
        </w:tc>
        <w:tc>
          <w:tcPr>
            <w:tcW w:w="3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4"/>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Company)</w:t>
            </w:r>
          </w:p>
        </w:tc>
        <w:tc>
          <w:tcPr>
            <w:tcW w:w="0" w:type="dxa"/>
            <w:vAlign w:val="bottom"/>
          </w:tcPr>
          <w:p>
            <w:pPr>
              <w:spacing w:after="0"/>
              <w:rPr>
                <w:sz w:val="1"/>
                <w:szCs w:val="1"/>
                <w:color w:val="auto"/>
              </w:rPr>
            </w:pPr>
          </w:p>
        </w:tc>
      </w:tr>
      <w:tr>
        <w:trPr>
          <w:trHeight w:val="136"/>
        </w:trPr>
        <w:tc>
          <w:tcPr>
            <w:tcW w:w="7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(229,310)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(100,898)</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(5,825)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188,560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45,855</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11,497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16,583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3,397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4,411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Gain on foreign currency translation, net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(54,188)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(33,263)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33,576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44,091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(43,270)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36,513</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3,180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62,821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(56,917)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(38,423)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24,928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(33,061)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(15,897)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(66,069)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81,509</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(7,453)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17,711</w:t>
            </w: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(6,009)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(7,329)</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9,842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(8,589)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30,470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17,285</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312,171</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(39,196)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(62,334)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(23,346)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w w:val="99"/>
              </w:rPr>
              <w:t>Acquisition of business, net of cash acquired of $4,620 and $0 for the year ended December 31, 2005 and for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three months ended December 31, 2004, respectively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(488,152)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in restricted cash</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10,307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(12,350)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(33,385)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(64,072)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(525,983)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(85,331)</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Senior Secured and Subordinated Notes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45,867</w:t>
            </w: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2,820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3,636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(12,883)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(347,718)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(406,786)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(10,891)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(27,635)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9,997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5,846</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10,217</w:t>
            </w: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(488,484)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86,574</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546,880</w:t>
            </w:r>
          </w:p>
        </w:tc>
        <w:tc>
          <w:tcPr>
            <w:tcW w:w="38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0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89,173</w:t>
            </w:r>
          </w:p>
        </w:tc>
        <w:tc>
          <w:tcPr>
            <w:tcW w:w="2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86,574</w:t>
            </w:r>
          </w:p>
        </w:tc>
        <w:tc>
          <w:tcPr>
            <w:tcW w:w="160" w:type="dxa"/>
            <w:vAlign w:val="bottom"/>
          </w:tcPr>
          <w:p>
            <w:pPr>
              <w:spacing w:after="0"/>
              <w:rPr>
                <w:sz w:val="13"/>
                <w:szCs w:val="13"/>
                <w:color w:val="auto"/>
              </w:rPr>
            </w:pP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58,396</w:t>
            </w:r>
          </w:p>
        </w:tc>
        <w:tc>
          <w:tcPr>
            <w:tcW w:w="380" w:type="dxa"/>
            <w:vAlign w:val="bottom"/>
            <w:tcBorders>
              <w:right w:val="single" w:sz="8" w:color="auto"/>
            </w:tcBorders>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11,862</w:t>
            </w:r>
          </w:p>
        </w:tc>
        <w:tc>
          <w:tcPr>
            <w:tcW w:w="380" w:type="dxa"/>
            <w:vAlign w:val="bottom"/>
            <w:tcBorders>
              <w:right w:val="single" w:sz="8" w:color="auto"/>
            </w:tcBorders>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17,791</w:t>
            </w: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00" w:type="dxa"/>
            <w:vAlign w:val="bottom"/>
            <w:gridSpan w:val="2"/>
          </w:tcPr>
          <w:p>
            <w:pPr>
              <w:spacing w:after="0" w:line="143" w:lineRule="exact"/>
              <w:rPr>
                <w:sz w:val="20"/>
                <w:szCs w:val="20"/>
                <w:color w:val="auto"/>
              </w:rPr>
            </w:pPr>
            <w:r>
              <w:rPr>
                <w:rFonts w:ascii="Arial" w:cs="Arial" w:eastAsia="Arial" w:hAnsi="Arial"/>
                <w:sz w:val="14"/>
                <w:szCs w:val="14"/>
                <w:color w:val="auto"/>
              </w:rPr>
              <w:t>Cash paid for income taxes</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12,685</w:t>
            </w:r>
          </w:p>
        </w:tc>
        <w:tc>
          <w:tcPr>
            <w:tcW w:w="2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15,370</w:t>
            </w:r>
          </w:p>
        </w:tc>
        <w:tc>
          <w:tcPr>
            <w:tcW w:w="160" w:type="dxa"/>
            <w:vAlign w:val="bottom"/>
          </w:tcPr>
          <w:p>
            <w:pPr>
              <w:spacing w:after="0"/>
              <w:rPr>
                <w:sz w:val="12"/>
                <w:szCs w:val="12"/>
                <w:color w:val="auto"/>
              </w:rPr>
            </w:pPr>
          </w:p>
        </w:tc>
        <w:tc>
          <w:tcPr>
            <w:tcW w:w="26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gridSpan w:val="2"/>
          </w:tcPr>
          <w:p>
            <w:pPr>
              <w:jc w:val="right"/>
              <w:ind w:right="380"/>
              <w:spacing w:after="0" w:line="143" w:lineRule="exact"/>
              <w:rPr>
                <w:sz w:val="20"/>
                <w:szCs w:val="20"/>
                <w:color w:val="auto"/>
              </w:rPr>
            </w:pPr>
            <w:r>
              <w:rPr>
                <w:rFonts w:ascii="Arial" w:cs="Arial" w:eastAsia="Arial" w:hAnsi="Arial"/>
                <w:sz w:val="14"/>
                <w:szCs w:val="14"/>
                <w:color w:val="auto"/>
              </w:rPr>
              <w:t>76</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36" w:lineRule="exact"/>
        <w:rPr>
          <w:sz w:val="20"/>
          <w:szCs w:val="20"/>
          <w:color w:val="auto"/>
        </w:rPr>
      </w:pPr>
    </w:p>
    <w:p>
      <w:pPr>
        <w:ind w:right="10180" w:firstLine="8"/>
        <w:spacing w:after="0" w:line="384" w:lineRule="auto"/>
        <w:tabs>
          <w:tab w:leader="none" w:pos="195"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b w:val="1"/>
          <w:bCs w:val="1"/>
          <w:i w:val="1"/>
          <w:iCs w:val="1"/>
          <w:color w:val="auto"/>
        </w:rPr>
        <w:t>The Company</w:t>
      </w:r>
    </w:p>
    <w:p>
      <w:pPr>
        <w:ind w:right="320" w:firstLine="571"/>
        <w:spacing w:after="0" w:line="238" w:lineRule="auto"/>
        <w:rPr>
          <w:sz w:val="20"/>
          <w:szCs w:val="20"/>
          <w:color w:val="auto"/>
        </w:rPr>
      </w:pPr>
      <w:r>
        <w:rPr>
          <w:rFonts w:ascii="Arial" w:cs="Arial" w:eastAsia="Arial" w:hAnsi="Arial"/>
          <w:sz w:val="18"/>
          <w:szCs w:val="18"/>
          <w:color w:val="auto"/>
        </w:rPr>
        <w:t>MagnaChip Semiconductor LLC and its subsidiaries (successor company) (the “Company”) is a leading designer, developer and manufacturer of mixed-signal and digital multimedia semiconductors addressing the convergence of consumer electronics and communication devices.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operates in three segments—Display Solutions, Imaging Solutions and Semiconductor Manufacturing Services. The Display Solutions segment offers flat panel display drivers for the entire product range of small to large panel displays, including mobile phones, digital cameras, photo printers, games, monitors, and LCD TVs. The Imaging Solutions segment addresses a broad spectrum of consumer electronics products ranging from camera-equipped mobile handsets to personal computer webcams, offering VGA, 1.3, 2.1 and 3.1 megapixel CMOS image sensors. The Semiconductor Manufacturing Services segment uses the Company’s process technology and manufacturing facilities to manufacture semiconductor wafers for third parties based on their designs. The Company has five wafer fabrication facilities located in Cheongju and Gumi in the Republic of Korea.</w:t>
      </w:r>
    </w:p>
    <w:p>
      <w:pPr>
        <w:spacing w:after="0" w:line="155"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MagnaChip Semiconductor LLC was created on November 26, 2003 and was capitalized on September 10, 2004 under the laws of the State of Delaware. It was created with the sole purpose of acquiring the non-memory business (the “Business”) of Hynix Semiconductor Inc. (“Hynix”), which acquisition was completed with effect from October 1, 2004 (the “Original Acquisition”).</w:t>
      </w:r>
    </w:p>
    <w:p>
      <w:pPr>
        <w:spacing w:after="0" w:line="213" w:lineRule="exact"/>
        <w:rPr>
          <w:sz w:val="20"/>
          <w:szCs w:val="20"/>
          <w:color w:val="auto"/>
        </w:rPr>
      </w:pPr>
    </w:p>
    <w:p>
      <w:pPr>
        <w:ind w:right="7440" w:firstLine="8"/>
        <w:spacing w:after="0" w:line="341" w:lineRule="auto"/>
        <w:tabs>
          <w:tab w:leader="none" w:pos="19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Company in the preparation of the accompanying financial statements are summarized below.</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For the periods as of and prior to September 30, 2004, the accompanying consolidated financial statements are presented on a carve-out basis reflecting the assets, liabilities, revenues, expenses and changes in owner’s equity and cash flows that were directly attributable to the Business of Hynix (predecessor company), which was purchased on October 6, 2004. The Company has used October 1, 2004, as the effective date of the Original Acquisition since the financial results from October 1, 2004 onwards accrue to its benefit.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7" w:lineRule="exact"/>
        <w:rPr>
          <w:sz w:val="20"/>
          <w:szCs w:val="20"/>
          <w:color w:val="auto"/>
        </w:rPr>
      </w:pPr>
    </w:p>
    <w:p>
      <w:pPr>
        <w:ind w:right="720" w:firstLine="571"/>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9"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 xml:space="preserve">The Company has assessed in accordance with Statements of Financial Accounting Standards (“SFAS”) No. 52, </w:t>
      </w:r>
      <w:r>
        <w:rPr>
          <w:rFonts w:ascii="Arial" w:cs="Arial" w:eastAsia="Arial" w:hAnsi="Arial"/>
          <w:sz w:val="16"/>
          <w:szCs w:val="16"/>
          <w:i w:val="1"/>
          <w:iCs w:val="1"/>
          <w:color w:val="auto"/>
        </w:rPr>
        <w:t>Foreign 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Translation</w:t>
      </w:r>
      <w:r>
        <w:rPr>
          <w:rFonts w:ascii="Arial" w:cs="Arial" w:eastAsia="Arial" w:hAnsi="Arial"/>
          <w:sz w:val="16"/>
          <w:szCs w:val="16"/>
          <w:color w:val="auto"/>
        </w:rPr>
        <w:t>, the functional currency of each of its subsidiaries in Luxembourg, the Netherlands and the United Kingdom and has designated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109"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7"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- 40 years</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Building related structures</w:t>
            </w:r>
          </w:p>
        </w:tc>
        <w:tc>
          <w:tcPr>
            <w:tcW w:w="2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- 20 years</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- 10 years</w:t>
            </w: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Vehicles and others</w:t>
            </w:r>
          </w:p>
        </w:tc>
        <w:tc>
          <w:tcPr>
            <w:tcW w:w="2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54"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impairment is measured as the difference between the carrying value of the assets and the fair value of assets using the present value of the future net cash flows generated by the respective long-lived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79"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color w:val="auto"/>
        </w:rPr>
        <w:t xml:space="preserve">The Company recognizes restructuring charges in accordance with SFAS No. 146, </w:t>
      </w:r>
      <w:r>
        <w:rPr>
          <w:rFonts w:ascii="Arial" w:cs="Arial" w:eastAsia="Arial" w:hAnsi="Arial"/>
          <w:sz w:val="18"/>
          <w:szCs w:val="18"/>
          <w:i w:val="1"/>
          <w:iCs w:val="1"/>
          <w:color w:val="auto"/>
        </w:rPr>
        <w:t>Accounting for Costs Associated with 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Certain costs and expenses related to exit or disposal activities are recorded as restructuring charges when liabilities for those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are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Transactions</w:t>
      </w:r>
    </w:p>
    <w:p>
      <w:pPr>
        <w:spacing w:after="0" w:line="9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97"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Depreciation is calculated on a straight line basis over five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Goodwill is evaluated for impairment by computing the fair value and carrying value of the reporting unit to which the goodwill relates. Specifically, the Company uses the two-step method for evaluating goodwill for impairment as prescribed in SFAS No.142.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97"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estimated fair value of the Company’s debt was $612.6 million, $738.8 million and $750.0 million as of December 31, 2006, 2005 and 2004,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December 31, 2006, 97% of all employees of the Company were eligible for severance benefits.</w:t>
      </w:r>
    </w:p>
    <w:p>
      <w:pPr>
        <w:spacing w:after="0" w:line="15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15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w:t>
      </w:r>
    </w:p>
    <w:p>
      <w:pPr>
        <w:spacing w:after="0" w:line="15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the Company for shipping and handling are classified as selling expenses. The amounts charged to selling expenses are $1,332 thousand and $1,867 thousand for the year ended December 31, 2006 and 2005, $412 thousand for the three-month period ended December 31, 2004 (successor company) and $1,394 thousand for the nine-month period ended September 30, 2004 (predecessor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79" w:lineRule="exact"/>
        <w:rPr>
          <w:sz w:val="20"/>
          <w:szCs w:val="20"/>
          <w:color w:val="auto"/>
        </w:rPr>
      </w:pPr>
    </w:p>
    <w:p>
      <w:pPr>
        <w:ind w:right="160" w:firstLine="571"/>
        <w:spacing w:after="0" w:line="260" w:lineRule="auto"/>
        <w:rPr>
          <w:sz w:val="20"/>
          <w:szCs w:val="20"/>
          <w:color w:val="auto"/>
        </w:rPr>
      </w:pPr>
      <w:r>
        <w:rPr>
          <w:rFonts w:ascii="Arial" w:cs="Arial" w:eastAsia="Arial" w:hAnsi="Arial"/>
          <w:sz w:val="18"/>
          <w:szCs w:val="18"/>
          <w:color w:val="auto"/>
        </w:rPr>
        <w:t xml:space="preserve">The Company applies the provisions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This statement requires the recognition of all derivative instruments as either assets or liabilities measured at fair value.</w:t>
      </w:r>
    </w:p>
    <w:p>
      <w:pPr>
        <w:spacing w:after="0" w:line="13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Under the provisions of SFAS No. 133,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40"/>
          </w:cols>
          <w:pgMar w:left="240" w:top="459" w:right="3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In accordance with SFAS No. 133,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7"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Company expenses advertising costs as incurred. Advertising expense was approximately $81 thousand and $310 thousand for the years ended December 31, 2006 and 2005, $173 thousand for the three-month period ended December 31, 2004 (successor company), and $71 thousand for the nine-month period ended September 30, 2004 (predecessor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7"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Research and development costs are expensed as incurred and include wafer, masks, employee expense, contractor fees, building costs, utilities,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(Successor Company)</w:t>
      </w:r>
    </w:p>
    <w:p>
      <w:pPr>
        <w:spacing w:after="0" w:line="79"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consolidated statements of operations for prior periods. Under SFAS 123(R), unit-based compensation cost is measured at grant date, based on the fair value of the award, and is recognized as expense over the requisite service period. As permitted under SFAS No. 123(R), the Company elected to recognize compensation expense for all options with graded vesting based on the graded attribution method.</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 xml:space="preserve">Prior to 2006, the Company accounted for its unit-based compensation using the intrinsic value method prescribed in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provided the required pro forma disclosures of SFAS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As the exercise prices for all option grants were in excess of the fair value of the underlying units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grant dates, no compensation cost was recorded for the year ended December 31, 2005 and for the three months ended December 31, 2004.</w:t>
      </w:r>
    </w:p>
    <w:p>
      <w:pPr>
        <w:spacing w:after="0" w:line="15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Consistent with the valuation method for the disclosure-only provisions of FAS No. 123, 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unit because there is no public trading market for its common units.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(Predecessor Company)</w:t>
      </w:r>
    </w:p>
    <w:p>
      <w:pPr>
        <w:spacing w:after="0" w:line="9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 xml:space="preserve">Stock options under employee stock plans prior to the Original Acquisition were accounted for using the intrinsic value method prescribed by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As part of the presentation of the Business on a carve-out basis, stock compensation was allocated to the Business based on the employees that historically have worked in the Business. The compensation cost for the Business was $3,324 thousand for the nine-month period ended September 30, 2004.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79"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color w:val="auto"/>
        </w:rPr>
        <w:t xml:space="preserve">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36"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39"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Information</w:t>
      </w:r>
      <w:r>
        <w:rPr>
          <w:rFonts w:ascii="Arial" w:cs="Arial" w:eastAsia="Arial" w:hAnsi="Arial"/>
          <w:sz w:val="18"/>
          <w:szCs w:val="18"/>
          <w:color w:val="auto"/>
        </w:rPr>
        <w:t>, allocates resources to and assesses the performance of each segment using information about its revenue and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15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Prior to 2006, the Company had a single reportable segment. In 2006, subsequent to the appointment of our new CODM, the Company changed the manner in which the CODM reviewed the Company’s operational results and made significant business decisions to include disaggregated financial information of its three primary business units. Segment information for the years ended December 31, 2005 and 2004 was prepared in conformity with the current segment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7"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9"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 xml:space="preserve">In September 2006, the Financial Accounting Standards Board (“FASB”) issued SFAS No. 158, </w:t>
      </w:r>
      <w:r>
        <w:rPr>
          <w:rFonts w:ascii="Arial" w:cs="Arial" w:eastAsia="Arial" w:hAnsi="Arial"/>
          <w:sz w:val="18"/>
          <w:szCs w:val="18"/>
          <w:i w:val="1"/>
          <w:iCs w:val="1"/>
          <w:color w:val="auto"/>
        </w:rPr>
        <w:t>Employers’ Accounting for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Other Postretirement Plan </w:t>
      </w:r>
      <w:r>
        <w:rPr>
          <w:rFonts w:ascii="Arial" w:cs="Arial" w:eastAsia="Arial" w:hAnsi="Arial"/>
          <w:sz w:val="18"/>
          <w:szCs w:val="18"/>
          <w:color w:val="auto"/>
        </w:rPr>
        <w:t>—an amendment of SFAS No. 87, 88, 106 and 132(R). This Statement requires an employer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over funded or under funded status of a defined benefit post retirement plan (other than a multiemployer plan) as an asset or liability in its statement of financial position, and to recognize changes in that funded status in the year in which the changes occur through comprehensive income. SFAS 158 is effective for fiscal years ending after June 15, 2007. The Company does not expect that the implementation of SFAS No. 158 will have a material impact on its financial position and results of operations.</w:t>
      </w:r>
    </w:p>
    <w:p>
      <w:pPr>
        <w:spacing w:after="0" w:line="14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15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In September 2006, the Securities and Exchange Commission (“SEC”) issued Staff Accounting Bulletin (“SAB”) No. 108 which provides interpretive guidance on how the effects of the carryover or reversal of prior year misstatements should be considered in quantifying a current year misstatement. The guidance is applicable for fiscal years ending after November 15, 2006. The Company does not expect that adoption of SAB 108 will have a material impact on its consolidated financial statements.</w:t>
      </w:r>
    </w:p>
    <w:p>
      <w:pPr>
        <w:spacing w:after="0" w:line="13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 xml:space="preserve">In June 2006, the FASB issued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FIN 48 clarifies the accounting for uncertain income tax positions accounted for in accordance with SFAS No. 109. The Interpretation stipulates recognition and measurement criteria in addition to classification and interim period accounting. The Interpretation significantly expanded disclosure provisions for uncertain tax positions that are expected to be taken in a company’s tax return. FIN 48 is effective for fiscal years beginning after December 15, 2006. The Company is currently evaluating the impact that the adoption may have on its consolidated financial statements.</w:t>
      </w:r>
    </w:p>
    <w:p>
      <w:pPr>
        <w:spacing w:after="0" w:line="141"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 xml:space="preserve">In March 2006, the FASB issued SFAS No. 156, </w:t>
      </w:r>
      <w:r>
        <w:rPr>
          <w:rFonts w:ascii="Arial" w:cs="Arial" w:eastAsia="Arial" w:hAnsi="Arial"/>
          <w:sz w:val="18"/>
          <w:szCs w:val="18"/>
          <w:i w:val="1"/>
          <w:iCs w:val="1"/>
          <w:color w:val="auto"/>
        </w:rPr>
        <w:t>Accounting for Servicing of Financial Assets—</w:t>
      </w:r>
      <w:r>
        <w:rPr>
          <w:rFonts w:ascii="Arial" w:cs="Arial" w:eastAsia="Arial" w:hAnsi="Arial"/>
          <w:sz w:val="18"/>
          <w:szCs w:val="18"/>
          <w:color w:val="auto"/>
        </w:rPr>
        <w:t>an amendment of FASB Statement No.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addresses the accounting for recognized servicing assets and liabilities related to certain transfers of the servicer’s financial assets and for acquisitions or assumptions of obligations to service financial assets that do not relate to the financial assets of the servicer and its related parties. SFAS 156 requires that all recognized servicing assets and liabilities are initially measured at fair value, and subsequently measured at either fair value or by applying an amortization method for each class of recognized servicing assets and liabilities. SFAS 156 is effective in fiscal years beginning after September 15, 2006. The adoption of SFAS 156 is not expected to have a material impact on the Company’s consolidated financial statements.</w:t>
      </w:r>
    </w:p>
    <w:p>
      <w:pPr>
        <w:spacing w:after="0" w:line="137" w:lineRule="exact"/>
        <w:rPr>
          <w:sz w:val="20"/>
          <w:szCs w:val="20"/>
          <w:color w:val="auto"/>
        </w:rPr>
      </w:pPr>
    </w:p>
    <w:p>
      <w:pPr>
        <w:ind w:right="360" w:firstLine="571"/>
        <w:spacing w:after="0" w:line="247" w:lineRule="auto"/>
        <w:rPr>
          <w:sz w:val="20"/>
          <w:szCs w:val="20"/>
          <w:color w:val="auto"/>
        </w:rPr>
      </w:pPr>
      <w:r>
        <w:rPr>
          <w:rFonts w:ascii="Arial" w:cs="Arial" w:eastAsia="Arial" w:hAnsi="Arial"/>
          <w:sz w:val="18"/>
          <w:szCs w:val="18"/>
          <w:color w:val="auto"/>
        </w:rPr>
        <w:t xml:space="preserve">In February 2006, the FASB issued SFAS No. 155, </w:t>
      </w:r>
      <w:r>
        <w:rPr>
          <w:rFonts w:ascii="Arial" w:cs="Arial" w:eastAsia="Arial" w:hAnsi="Arial"/>
          <w:sz w:val="18"/>
          <w:szCs w:val="18"/>
          <w:i w:val="1"/>
          <w:iCs w:val="1"/>
          <w:color w:val="auto"/>
        </w:rPr>
        <w:t>Accounting for Certain Hybrid Financial Instruments—</w:t>
      </w:r>
      <w:r>
        <w:rPr>
          <w:rFonts w:ascii="Arial" w:cs="Arial" w:eastAsia="Arial" w:hAnsi="Arial"/>
          <w:sz w:val="18"/>
          <w:szCs w:val="18"/>
          <w:color w:val="auto"/>
        </w:rPr>
        <w:t>an amendment of FASB Statements No. 133 and 140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Statement amends SFAS No. 133 and SFAS No. 140, and improves the financial reporting of certain hybrid financial instruments by requiring more consistent accounting. Specifically, this Statement allows fair value remeasurement</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Original Acquisition</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On October 6, 2004, the Company completed its purchase of the Business, as outlined in the Business Transfer Agreement, as amended (the “BTA”) from Hynix, for cash, liabilities assumed, plus a warrant to purchase 5,079,254 common equity interests in the Company. In October 2005, the Company agreed to pay Hynix an additional $6,238 thousand in cash as a working capital settlement payment. This additional amount, which was paid in full subsequently in October 2005, was included as part of the purchase consideration and therefore acquisition costs of related assets were subsequently adjusted.</w:t>
      </w:r>
    </w:p>
    <w:p>
      <w:pPr>
        <w:spacing w:after="0" w:line="157"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A summary of purchase consideration including such subsequent working capital settlement as well as assets and liabilities acquired is as follows: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475,471</w:t>
            </w:r>
          </w:p>
        </w:tc>
        <w:tc>
          <w:tcPr>
            <w:tcW w:w="60" w:type="dxa"/>
            <w:vAlign w:val="bottom"/>
          </w:tcPr>
          <w:p>
            <w:pPr>
              <w:spacing w:after="0"/>
              <w:rPr>
                <w:sz w:val="17"/>
                <w:szCs w:val="17"/>
                <w:color w:val="auto"/>
              </w:rPr>
            </w:pP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Loan assumed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285,807</w:t>
            </w:r>
          </w:p>
        </w:tc>
        <w:tc>
          <w:tcPr>
            <w:tcW w:w="60" w:type="dxa"/>
            <w:vAlign w:val="bottom"/>
            <w:shd w:val="clear" w:color="auto" w:fill="CCEEFF"/>
          </w:tcPr>
          <w:p>
            <w:pPr>
              <w:spacing w:after="0"/>
              <w:rPr>
                <w:sz w:val="17"/>
                <w:szCs w:val="17"/>
                <w:color w:val="auto"/>
              </w:rPr>
            </w:pPr>
          </w:p>
        </w:tc>
      </w:tr>
      <w:tr>
        <w:trPr>
          <w:trHeight w:val="210"/>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Warrant to purchase common units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r>
      <w:tr>
        <w:trPr>
          <w:trHeight w:val="203"/>
        </w:trPr>
        <w:tc>
          <w:tcPr>
            <w:tcW w:w="7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763,378</w:t>
            </w:r>
          </w:p>
        </w:tc>
        <w:tc>
          <w:tcPr>
            <w:tcW w:w="60" w:type="dxa"/>
            <w:vAlign w:val="bottom"/>
            <w:shd w:val="clear" w:color="auto" w:fill="CCEEFF"/>
          </w:tcPr>
          <w:p>
            <w:pPr>
              <w:spacing w:after="0"/>
              <w:rPr>
                <w:sz w:val="17"/>
                <w:szCs w:val="17"/>
                <w:color w:val="auto"/>
              </w:rPr>
            </w:pPr>
          </w:p>
        </w:tc>
      </w:tr>
      <w:tr>
        <w:trPr>
          <w:trHeight w:val="311"/>
        </w:trPr>
        <w:tc>
          <w:tcPr>
            <w:tcW w:w="7680" w:type="dxa"/>
            <w:vAlign w:val="bottom"/>
          </w:tcPr>
          <w:p>
            <w:pPr>
              <w:spacing w:after="0"/>
              <w:rPr>
                <w:sz w:val="20"/>
                <w:szCs w:val="20"/>
                <w:color w:val="auto"/>
              </w:rPr>
            </w:pPr>
            <w:r>
              <w:rPr>
                <w:rFonts w:ascii="Arial" w:cs="Arial" w:eastAsia="Arial" w:hAnsi="Arial"/>
                <w:sz w:val="18"/>
                <w:szCs w:val="18"/>
                <w:color w:val="auto"/>
              </w:rPr>
              <w:t>Fair value of assets and liabilities acquired: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(173,517)</w:t>
            </w:r>
          </w:p>
        </w:tc>
      </w:tr>
      <w:tr>
        <w:trPr>
          <w:trHeight w:val="203"/>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(755,618)</w:t>
            </w:r>
          </w:p>
        </w:tc>
      </w:tr>
      <w:tr>
        <w:trPr>
          <w:trHeight w:val="203"/>
        </w:trPr>
        <w:tc>
          <w:tcPr>
            <w:tcW w:w="76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119,262</w:t>
            </w:r>
          </w:p>
        </w:tc>
        <w:tc>
          <w:tcPr>
            <w:tcW w:w="60" w:type="dxa"/>
            <w:vAlign w:val="bottom"/>
            <w:shd w:val="clear" w:color="auto" w:fill="CCEEFF"/>
          </w:tcPr>
          <w:p>
            <w:pPr>
              <w:spacing w:after="0"/>
              <w:rPr>
                <w:sz w:val="17"/>
                <w:szCs w:val="17"/>
                <w:color w:val="auto"/>
              </w:rPr>
            </w:pPr>
          </w:p>
        </w:tc>
      </w:tr>
      <w:tr>
        <w:trPr>
          <w:trHeight w:val="210"/>
        </w:trPr>
        <w:tc>
          <w:tcPr>
            <w:tcW w:w="7680" w:type="dxa"/>
            <w:vAlign w:val="bottom"/>
          </w:tcPr>
          <w:p>
            <w:pPr>
              <w:ind w:left="440"/>
              <w:spacing w:after="0" w:line="202" w:lineRule="exact"/>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46,495</w:t>
            </w:r>
          </w:p>
        </w:tc>
      </w:tr>
      <w:tr>
        <w:trPr>
          <w:trHeight w:val="203"/>
        </w:trPr>
        <w:tc>
          <w:tcPr>
            <w:tcW w:w="76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acquired in connection with this acquisition are included in non-current assets and summarized as below:</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8"/>
              </w:rPr>
              <w:t>Weighted average</w:t>
            </w:r>
          </w:p>
        </w:tc>
      </w:tr>
      <w:tr>
        <w:trPr>
          <w:trHeight w:val="179"/>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280" w:type="dxa"/>
            <w:vAlign w:val="bottom"/>
            <w:gridSpan w:val="3"/>
          </w:tcPr>
          <w:p>
            <w:pPr>
              <w:ind w:left="3220"/>
              <w:spacing w:after="0"/>
              <w:rPr>
                <w:sz w:val="20"/>
                <w:szCs w:val="20"/>
                <w:color w:val="auto"/>
              </w:rPr>
            </w:pPr>
            <w:r>
              <w:rPr>
                <w:rFonts w:ascii="Arial" w:cs="Arial" w:eastAsia="Arial" w:hAnsi="Arial"/>
                <w:sz w:val="14"/>
                <w:szCs w:val="14"/>
                <w:b w:val="1"/>
                <w:bCs w:val="1"/>
                <w:color w:val="auto"/>
                <w:w w:val="95"/>
              </w:rPr>
              <w:t>Acquisition cost</w:t>
            </w: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 period</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3480" w:type="dxa"/>
            <w:vAlign w:val="bottom"/>
            <w:gridSpan w:val="2"/>
            <w:shd w:val="clear" w:color="auto" w:fill="CCEEFF"/>
          </w:tcPr>
          <w:p>
            <w:pPr>
              <w:ind w:left="32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24,536</w:t>
            </w: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 years</w:t>
            </w:r>
          </w:p>
        </w:tc>
      </w:tr>
      <w:tr>
        <w:trPr>
          <w:trHeight w:val="203"/>
        </w:trPr>
        <w:tc>
          <w:tcPr>
            <w:tcW w:w="338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w:t>
            </w:r>
          </w:p>
        </w:tc>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174,134</w:t>
            </w:r>
          </w:p>
        </w:tc>
        <w:tc>
          <w:tcPr>
            <w:tcW w:w="8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7.0 years</w:t>
            </w: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Intellectual property assets</w:t>
            </w:r>
          </w:p>
        </w:tc>
        <w:tc>
          <w:tcPr>
            <w:tcW w:w="3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7,928</w:t>
            </w:r>
          </w:p>
        </w:tc>
        <w:tc>
          <w:tcPr>
            <w:tcW w:w="8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 years</w:t>
            </w: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480" w:type="dxa"/>
            <w:vAlign w:val="bottom"/>
            <w:gridSpan w:val="2"/>
          </w:tcPr>
          <w:p>
            <w:pPr>
              <w:ind w:left="3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206,598</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 years</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gridSpan w:val="2"/>
          </w:tcPr>
          <w:p>
            <w:pPr>
              <w:ind w:left="130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At the date of the Original Acquisition, the Company estimated the value of the acquired property, plant and equipment and the acquired intangible assets, to ascertain the fair value of these assets, and in addition, applied adjustments to the book value of the other assets and liabilities transferred from Hynix to calculate the total fair value of the assets and liabilities acquired. The Company also re-assessed the remaining useful lives of the acquired property, plant and equipment, and commenced depreciation on a straight-line basis, using the remaining useful lives of the acquired property, plant and equipment and acquired intangibles.</w:t>
      </w:r>
    </w:p>
    <w:p>
      <w:pPr>
        <w:spacing w:after="0" w:line="157"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The aggregate fair values obtained exceeded the total purchase consideration of $763,378 thousand, and this difference was applied to the Company’s intangible and non-current tangible assets on a pro-rata basis, such that the adjusted fair value of the assets and liabilities acquired equaled the total purchase consideration, with no residual negative goodwill.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Accounts receivable as of December 31, 2006 and 2005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65,203</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Notes receivable</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16,812</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25,115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440"/>
              <w:spacing w:after="0" w:line="202" w:lineRule="exact"/>
              <w:rPr>
                <w:sz w:val="20"/>
                <w:szCs w:val="20"/>
                <w:color w:val="auto"/>
              </w:rPr>
            </w:pPr>
            <w:r>
              <w:rPr>
                <w:rFonts w:ascii="Arial" w:cs="Arial" w:eastAsia="Arial" w:hAnsi="Arial"/>
                <w:sz w:val="18"/>
                <w:szCs w:val="18"/>
                <w:color w:val="auto"/>
              </w:rPr>
              <w:t>Allowances for doubtful accounts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(1,418)</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return reserve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(1,450)</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280" w:type="dxa"/>
            <w:vAlign w:val="bottom"/>
          </w:tcPr>
          <w:p>
            <w:pPr>
              <w:ind w:left="440"/>
              <w:spacing w:after="0" w:line="202" w:lineRule="exact"/>
              <w:rPr>
                <w:sz w:val="20"/>
                <w:szCs w:val="20"/>
                <w:color w:val="auto"/>
              </w:rPr>
            </w:pPr>
            <w:r>
              <w:rPr>
                <w:rFonts w:ascii="Arial" w:cs="Arial" w:eastAsia="Arial" w:hAnsi="Arial"/>
                <w:sz w:val="18"/>
                <w:szCs w:val="18"/>
                <w:color w:val="auto"/>
              </w:rPr>
              <w:t>Low yield compensation reserve</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(2,482)</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76,665</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gridSpan w:val="5"/>
            <w:vMerge w:val="restart"/>
          </w:tcPr>
          <w:p>
            <w:pPr>
              <w:ind w:left="580"/>
              <w:spacing w:after="0"/>
              <w:rPr>
                <w:sz w:val="20"/>
                <w:szCs w:val="20"/>
                <w:color w:val="auto"/>
              </w:rPr>
            </w:pPr>
            <w:r>
              <w:rPr>
                <w:rFonts w:ascii="Arial" w:cs="Arial" w:eastAsia="Arial" w:hAnsi="Arial"/>
                <w:sz w:val="18"/>
                <w:szCs w:val="18"/>
                <w:color w:val="auto"/>
              </w:rPr>
              <w:t>Changes in allowance for doubtful accounts for each period are as follows:</w:t>
            </w: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00" w:type="dxa"/>
            <w:vAlign w:val="bottom"/>
            <w:gridSpan w:val="5"/>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6"/>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3"/>
                <w:szCs w:val="13"/>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7"/>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96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79"/>
        </w:trPr>
        <w:tc>
          <w:tcPr>
            <w:tcW w:w="4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4"/>
          </w:tcPr>
          <w:p>
            <w:pPr>
              <w:jc w:val="right"/>
              <w:ind w:right="80"/>
              <w:spacing w:after="0" w:line="125" w:lineRule="exact"/>
              <w:rPr>
                <w:sz w:val="20"/>
                <w:szCs w:val="20"/>
                <w:color w:val="auto"/>
              </w:rPr>
            </w:pPr>
            <w:r>
              <w:rPr>
                <w:rFonts w:ascii="Arial" w:cs="Arial" w:eastAsia="Arial" w:hAnsi="Arial"/>
                <w:sz w:val="14"/>
                <w:szCs w:val="14"/>
                <w:b w:val="1"/>
                <w:bCs w:val="1"/>
                <w:color w:val="auto"/>
              </w:rPr>
              <w:t>(Successor Company)</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540" w:type="dxa"/>
            <w:vAlign w:val="bottom"/>
            <w:gridSpan w:val="2"/>
            <w:shd w:val="clear" w:color="auto" w:fill="CCEEFF"/>
          </w:tcPr>
          <w:p>
            <w:pPr>
              <w:jc w:val="center"/>
              <w:ind w:left="1232"/>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(617)</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(383)</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Bad debt expense</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(739)</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(340)</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3"/>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88"/>
              </w:rPr>
              <w:t>—</w:t>
            </w: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w w:val="99"/>
              </w:rPr>
              <w:t>(43)</w:t>
            </w:r>
          </w:p>
        </w:tc>
        <w:tc>
          <w:tcPr>
            <w:tcW w:w="18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(1,418)</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(617)</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(383)</w:t>
            </w:r>
          </w:p>
        </w:tc>
        <w:tc>
          <w:tcPr>
            <w:tcW w:w="180" w:type="dxa"/>
            <w:vAlign w:val="bottom"/>
            <w:tcBorders>
              <w:right w:val="single" w:sz="8" w:color="auto"/>
            </w:tcBorders>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Borders>
              <w:top w:val="single" w:sz="8" w:color="auto"/>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4280" w:type="dxa"/>
            <w:vAlign w:val="bottom"/>
          </w:tcPr>
          <w:p>
            <w:pPr>
              <w:spacing w:after="0"/>
              <w:rPr>
                <w:sz w:val="24"/>
                <w:szCs w:val="24"/>
                <w:color w:val="auto"/>
              </w:rPr>
            </w:pPr>
          </w:p>
        </w:tc>
        <w:tc>
          <w:tcPr>
            <w:tcW w:w="2320" w:type="dxa"/>
            <w:vAlign w:val="bottom"/>
            <w:gridSpan w:val="4"/>
          </w:tcPr>
          <w:p>
            <w:pPr>
              <w:jc w:val="center"/>
              <w:ind w:left="472"/>
              <w:spacing w:after="0"/>
              <w:rPr>
                <w:sz w:val="20"/>
                <w:szCs w:val="20"/>
                <w:color w:val="auto"/>
              </w:rPr>
            </w:pPr>
            <w:r>
              <w:rPr>
                <w:rFonts w:ascii="Arial" w:cs="Arial" w:eastAsia="Arial" w:hAnsi="Arial"/>
                <w:sz w:val="18"/>
                <w:szCs w:val="18"/>
                <w:color w:val="auto"/>
                <w:w w:val="97"/>
              </w:rPr>
              <w:t>F-18</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right"/>
        <w:ind w:righ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cash return reserve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5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gridSpan w:val="6"/>
          </w:tcPr>
          <w:p>
            <w:pPr>
              <w:jc w:val="right"/>
              <w:ind w:right="88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5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14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5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5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4"/>
          </w:tcPr>
          <w:p>
            <w:pPr>
              <w:jc w:val="right"/>
              <w:ind w:right="20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(3,000)</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(2,156)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(815)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Addition to (reversal of) reserve</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(8,131)</w:t>
            </w:r>
          </w:p>
        </w:tc>
        <w:tc>
          <w:tcPr>
            <w:tcW w:w="180" w:type="dxa"/>
            <w:vAlign w:val="bottom"/>
          </w:tcPr>
          <w:p>
            <w:pPr>
              <w:spacing w:after="0"/>
              <w:rPr>
                <w:sz w:val="17"/>
                <w:szCs w:val="17"/>
                <w:color w:val="auto"/>
              </w:rPr>
            </w:pPr>
          </w:p>
        </w:tc>
        <w:tc>
          <w:tcPr>
            <w:tcW w:w="142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(3,660)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(1,895)</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2,475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w:t>
            </w:r>
          </w:p>
        </w:tc>
        <w:tc>
          <w:tcPr>
            <w:tcW w:w="60" w:type="dxa"/>
            <w:vAlign w:val="bottom"/>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(64)</w:t>
            </w:r>
          </w:p>
        </w:tc>
        <w:tc>
          <w:tcPr>
            <w:tcW w:w="180" w:type="dxa"/>
            <w:vAlign w:val="bottom"/>
          </w:tcPr>
          <w:p>
            <w:pPr>
              <w:spacing w:after="0"/>
              <w:rPr>
                <w:sz w:val="17"/>
                <w:szCs w:val="17"/>
                <w:color w:val="auto"/>
              </w:rPr>
            </w:pPr>
          </w:p>
        </w:tc>
        <w:tc>
          <w:tcPr>
            <w:tcW w:w="1420" w:type="dxa"/>
            <w:vAlign w:val="bottom"/>
            <w:tcBorders>
              <w:right w:val="single" w:sz="8" w:color="auto"/>
            </w:tcBorders>
            <w:gridSpan w:val="2"/>
          </w:tcPr>
          <w:p>
            <w:pPr>
              <w:jc w:val="right"/>
              <w:ind w:right="620"/>
              <w:spacing w:after="0" w:line="202" w:lineRule="exact"/>
              <w:rPr>
                <w:sz w:val="20"/>
                <w:szCs w:val="20"/>
                <w:color w:val="auto"/>
              </w:rPr>
            </w:pPr>
            <w:r>
              <w:rPr>
                <w:rFonts w:ascii="Arial" w:cs="Arial" w:eastAsia="Arial" w:hAnsi="Arial"/>
                <w:sz w:val="18"/>
                <w:szCs w:val="18"/>
                <w:color w:val="auto"/>
              </w:rPr>
              <w:t>(156)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7"/>
        </w:trPr>
        <w:tc>
          <w:tcPr>
            <w:tcW w:w="5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(1,450)</w:t>
            </w: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20" w:type="dxa"/>
            <w:vAlign w:val="bottom"/>
            <w:tcBorders>
              <w:right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(2,156)</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r>
      <w:tr>
        <w:trPr>
          <w:trHeight w:val="20"/>
        </w:trPr>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low yield compensation reserve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4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4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4"/>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4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4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4"/>
          </w:tcPr>
          <w:p>
            <w:pPr>
              <w:jc w:val="right"/>
              <w:ind w:right="12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(2,666)</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(2,911)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(2,874)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Addition to (reversal of) reserve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(4,117)</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(4,747)</w:t>
            </w:r>
          </w:p>
        </w:tc>
        <w:tc>
          <w:tcPr>
            <w:tcW w:w="1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(2,260)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(4,430)</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5,059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w:t>
            </w:r>
          </w:p>
        </w:tc>
        <w:tc>
          <w:tcPr>
            <w:tcW w:w="66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6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(67)</w:t>
            </w:r>
          </w:p>
        </w:tc>
        <w:tc>
          <w:tcPr>
            <w:tcW w:w="18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(310)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7"/>
        </w:trPr>
        <w:tc>
          <w:tcPr>
            <w:tcW w:w="4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(2,482)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(2,666)</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(2,911)</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(2,874)</w:t>
            </w:r>
          </w:p>
        </w:tc>
      </w:tr>
      <w:tr>
        <w:trPr>
          <w:trHeight w:val="20"/>
        </w:trPr>
        <w:tc>
          <w:tcPr>
            <w:tcW w:w="4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as of December 31, 2006 and 2005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4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4560" w:type="dxa"/>
            <w:vAlign w:val="bottom"/>
            <w:gridSpan w:val="2"/>
            <w:shd w:val="clear" w:color="auto" w:fill="CCEEFF"/>
          </w:tcPr>
          <w:p>
            <w:pPr>
              <w:ind w:left="43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16,169</w:t>
            </w:r>
          </w:p>
        </w:tc>
        <w:tc>
          <w:tcPr>
            <w:tcW w:w="58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Semi-finished goods and work-in-process</w:t>
            </w:r>
          </w:p>
        </w:tc>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39,492</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60,095</w:t>
            </w: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11,774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Materials in-transit</w:t>
            </w:r>
          </w:p>
        </w:tc>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2,063</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1,966</w:t>
            </w: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(11,652)</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(7,612)</w:t>
            </w: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Inventories, net</w:t>
            </w:r>
          </w:p>
        </w:tc>
        <w:tc>
          <w:tcPr>
            <w:tcW w:w="4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4560" w:type="dxa"/>
            <w:vAlign w:val="bottom"/>
            <w:gridSpan w:val="2"/>
          </w:tcPr>
          <w:p>
            <w:pPr>
              <w:ind w:left="1160"/>
              <w:spacing w:after="0"/>
              <w:rPr>
                <w:sz w:val="20"/>
                <w:szCs w:val="20"/>
                <w:color w:val="auto"/>
              </w:rPr>
            </w:pPr>
            <w:r>
              <w:rPr>
                <w:rFonts w:ascii="Arial" w:cs="Arial" w:eastAsia="Arial" w:hAnsi="Arial"/>
                <w:sz w:val="18"/>
                <w:szCs w:val="18"/>
                <w:color w:val="auto"/>
              </w:rPr>
              <w:t>F-19</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valuation allowances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6"/>
          </w:tcPr>
          <w:p>
            <w:pPr>
              <w:jc w:val="right"/>
              <w:ind w:right="780"/>
              <w:spacing w:after="0" w:line="149" w:lineRule="exact"/>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3"/>
                <w:szCs w:val="13"/>
                <w:color w:val="auto"/>
              </w:rPr>
            </w:pPr>
          </w:p>
        </w:tc>
        <w:tc>
          <w:tcPr>
            <w:tcW w:w="1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980" w:type="dxa"/>
            <w:vAlign w:val="bottom"/>
            <w:gridSpan w:val="4"/>
          </w:tcPr>
          <w:p>
            <w:pPr>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4"/>
          </w:tcPr>
          <w:p>
            <w:pPr>
              <w:jc w:val="right"/>
              <w:ind w:right="14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(7,612)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(6,274)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(6,651)</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Loss on valuation</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(10,212)</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(2,816)</w:t>
            </w:r>
          </w:p>
        </w:tc>
        <w:tc>
          <w:tcPr>
            <w:tcW w:w="18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(6,339)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(7,728)</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1,627</w:t>
            </w:r>
          </w:p>
        </w:tc>
        <w:tc>
          <w:tcPr>
            <w:tcW w:w="180" w:type="dxa"/>
            <w:vAlign w:val="bottom"/>
            <w:shd w:val="clear" w:color="auto" w:fill="CCEEFF"/>
          </w:tcPr>
          <w:p>
            <w:pPr>
              <w:spacing w:after="0"/>
              <w:rPr>
                <w:sz w:val="17"/>
                <w:szCs w:val="17"/>
                <w:color w:val="auto"/>
              </w:rPr>
            </w:pPr>
          </w:p>
        </w:tc>
        <w:tc>
          <w:tcPr>
            <w:tcW w:w="1340" w:type="dxa"/>
            <w:vAlign w:val="bottom"/>
            <w:tcBorders>
              <w:right w:val="single" w:sz="8" w:color="auto"/>
            </w:tcBorders>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383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60" w:type="dxa"/>
            <w:vAlign w:val="bottom"/>
            <w:shd w:val="clear" w:color="auto" w:fill="CCEEFF"/>
          </w:tcPr>
          <w:p>
            <w:pPr>
              <w:spacing w:after="0"/>
              <w:rPr>
                <w:sz w:val="17"/>
                <w:szCs w:val="17"/>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(149)</w:t>
            </w:r>
          </w:p>
        </w:tc>
        <w:tc>
          <w:tcPr>
            <w:tcW w:w="18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(318)</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(11,652)</w:t>
            </w: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(7,612)</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(6,274)</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(6,685)</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as of December 31, 2006 and 2005 are comprised of the following:</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Buildings and related structures</w:t>
            </w:r>
          </w:p>
        </w:tc>
        <w:tc>
          <w:tcPr>
            <w:tcW w:w="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162,383</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149,236</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369,683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472,388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and others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42,772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32,438</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574,838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654,062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(252,814)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(181,806)</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12,481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11,492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in-progress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7"/>
                <w:szCs w:val="17"/>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336,279</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Aggregate depreciation expenses totaled $153,245 thousand and $157,678 thousand for the years ended December 31, 2006 and 2005, $34,421 thousand for the three-month period ended December 31, 2004 (successor company) and $261,640 thousand for the nine-month period ended September 30, 2004 (predecessor company), respectively. In addition, capitalized interest costs totaled $64 thousand and $144 thousand for the years ended December 31, 2006 and 2005, $53 thousand for the three-month period ended December 31, 2004 (successor company) and $334 thousand for the nine-month period ended September 30, 2004 (predecessor company), respectively.</w:t>
      </w:r>
    </w:p>
    <w:p>
      <w:pPr>
        <w:spacing w:after="0" w:line="157"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Property, plant and equipment are pledged as collateral for our senior secured revolving credit facility and our Second Priority Senior Secured Notes to a maximum of $780 million as of December 31,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at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21,289</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23,911</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170,209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193,958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Intellectual property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9,742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10,969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(76,606)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(52,544)</w:t>
            </w:r>
          </w:p>
        </w:tc>
      </w:tr>
      <w:tr>
        <w:trPr>
          <w:trHeight w:val="20"/>
        </w:trPr>
        <w:tc>
          <w:tcPr>
            <w:tcW w:w="7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139,729</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Aggregate amortization expenses for intangible assets totaled $35,315 thousand and $45,251 thousand for the years ended December 31, 2006 and 2005, $11,434 thousand for the three-month period ended December 31, 2004 (successor company) and $5,222 thousand for the nine-month period ended September 30, 2004 (predecessor company), respectively. The estimated aggregate amortization expense of intangible assets for the next five years is $29,334 thousand in 2007, $26,477 thousand in 2008, $17,725 thousand in 2009, $16,252 thousand in 2010 and $13,602 thousand in 2011.</w:t>
      </w:r>
    </w:p>
    <w:p>
      <w:pPr>
        <w:spacing w:after="0" w:line="157"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Intangible assets are pledged as collateral for our senior secured revolving credit facility and our Second Priority Senior Secured Notes as of December 31,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Product Warranties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warranty liabilities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vMerge w:val="restart"/>
          </w:tcPr>
          <w:p>
            <w:pPr>
              <w:jc w:val="right"/>
              <w:ind w:right="1072"/>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2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5"/>
            <w:vMerge w:val="restart"/>
          </w:tcPr>
          <w:p>
            <w:pPr>
              <w:jc w:val="right"/>
              <w:ind w:right="1012"/>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79"/>
        </w:trPr>
        <w:tc>
          <w:tcPr>
            <w:tcW w:w="4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2005</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8"/>
              </w:rPr>
              <w:t>Company)</w:t>
            </w: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62"/>
              <w:spacing w:after="0" w:line="125" w:lineRule="exact"/>
              <w:rPr>
                <w:sz w:val="20"/>
                <w:szCs w:val="20"/>
                <w:color w:val="auto"/>
              </w:rPr>
            </w:pPr>
            <w:r>
              <w:rPr>
                <w:rFonts w:ascii="Arial" w:cs="Arial" w:eastAsia="Arial" w:hAnsi="Arial"/>
                <w:sz w:val="14"/>
                <w:szCs w:val="14"/>
                <w:b w:val="1"/>
                <w:bCs w:val="1"/>
                <w:color w:val="auto"/>
              </w:rPr>
              <w:t>(Successor</w:t>
            </w: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$ 1,448</w:t>
            </w:r>
          </w:p>
        </w:tc>
        <w:tc>
          <w:tcPr>
            <w:tcW w:w="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7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Addition to (reversal of) warranty reserve</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(340)</w:t>
            </w:r>
          </w:p>
        </w:tc>
        <w:tc>
          <w:tcPr>
            <w:tcW w:w="160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rPr>
              <w:t>1,362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right w:val="single" w:sz="8" w:color="auto"/>
            </w:tcBorders>
            <w:gridSpan w:val="2"/>
          </w:tcPr>
          <w:p>
            <w:pPr>
              <w:jc w:val="right"/>
              <w:ind w:right="680"/>
              <w:spacing w:after="0" w:line="202" w:lineRule="exact"/>
              <w:rPr>
                <w:sz w:val="20"/>
                <w:szCs w:val="20"/>
                <w:color w:val="auto"/>
              </w:rPr>
            </w:pPr>
            <w:r>
              <w:rPr>
                <w:rFonts w:ascii="Arial" w:cs="Arial" w:eastAsia="Arial" w:hAnsi="Arial"/>
                <w:sz w:val="18"/>
                <w:szCs w:val="18"/>
                <w:color w:val="auto"/>
              </w:rPr>
              <w:t>(977)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made</w:t>
            </w: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(647)</w:t>
            </w:r>
          </w:p>
        </w:tc>
        <w:tc>
          <w:tcPr>
            <w:tcW w:w="1600" w:type="dxa"/>
            <w:vAlign w:val="bottom"/>
            <w:gridSpan w:val="3"/>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(1,804)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(477)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0"/>
        </w:trPr>
        <w:tc>
          <w:tcPr>
            <w:tcW w:w="448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7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$ 1,036</w:t>
            </w:r>
          </w:p>
        </w:tc>
        <w:tc>
          <w:tcPr>
            <w:tcW w:w="2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1,448</w:t>
            </w:r>
          </w:p>
        </w:tc>
        <w:tc>
          <w:tcPr>
            <w:tcW w:w="74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99" w:lineRule="exact"/>
        <w:rPr>
          <w:sz w:val="20"/>
          <w:szCs w:val="20"/>
          <w:color w:val="auto"/>
        </w:rPr>
      </w:pPr>
    </w:p>
    <w:p>
      <w:pPr>
        <w:ind w:right="160" w:firstLine="571"/>
        <w:spacing w:after="0" w:line="281"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 $500 million aggregate principal amount of Second Priority Senior Secured Notes consisting of $300 million aggregate principal</w:t>
      </w:r>
    </w:p>
    <w:p>
      <w:pPr>
        <w:spacing w:after="0" w:line="1"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 xml:space="preserve">amount of Floating Rate Second Priority Senior Secured Notes and $200 million aggregate principal amount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At the same time, such subsidiaries issued $250 million aggregate principal amount of 8% Senior Subordinated Notes.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jc w:val="both"/>
        <w:ind w:right="60" w:firstLine="571"/>
        <w:spacing w:after="0" w:line="238"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long-term borrowings as of December 31, 2006 and 2005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8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Annual interest rate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2011</w:t>
            </w:r>
          </w:p>
        </w:tc>
        <w:tc>
          <w:tcPr>
            <w:tcW w:w="2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 month LIBOR + 3.250</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2011</w:t>
            </w:r>
          </w:p>
        </w:tc>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97"/>
              </w:rPr>
              <w:t>6.875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2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8.000</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r>
      <w:tr>
        <w:trPr>
          <w:trHeight w:val="210"/>
        </w:trPr>
        <w:tc>
          <w:tcPr>
            <w:tcW w:w="6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senior secured revolving credit facility and Second Priority Senior Secured Notes are collateralized by substantially all of the assets of the Company. These notes will be paid in full upon maturity.</w:t>
      </w:r>
    </w:p>
    <w:p>
      <w:pPr>
        <w:spacing w:after="0" w:line="155" w:lineRule="exact"/>
        <w:rPr>
          <w:sz w:val="20"/>
          <w:szCs w:val="20"/>
          <w:color w:val="auto"/>
        </w:rPr>
      </w:pPr>
    </w:p>
    <w:p>
      <w:pPr>
        <w:ind w:right="220" w:firstLine="571"/>
        <w:spacing w:after="0" w:line="275"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2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of December 31, 2006, the Company and all of its subsidiaries except for MagnaChip Semiconductor (Shanghai) Company Limited have jointly and severally guaranteed each series of the Second Priority Senior Secured Notes on a second priority senior secured basis. As of December 31, 2006,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56" w:lineRule="exact"/>
        <w:rPr>
          <w:sz w:val="20"/>
          <w:szCs w:val="20"/>
          <w:color w:val="auto"/>
        </w:rPr>
      </w:pPr>
    </w:p>
    <w:p>
      <w:pPr>
        <w:ind w:right="220" w:firstLine="571"/>
        <w:spacing w:after="0" w:line="234" w:lineRule="auto"/>
        <w:rPr>
          <w:sz w:val="20"/>
          <w:szCs w:val="20"/>
          <w:color w:val="auto"/>
        </w:rPr>
      </w:pPr>
      <w:r>
        <w:rPr>
          <w:rFonts w:ascii="Arial" w:cs="Arial" w:eastAsia="Arial" w:hAnsi="Arial"/>
          <w:sz w:val="18"/>
          <w:szCs w:val="18"/>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$3,701 thousand, $3,432 thousand and</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$167 thousand for the years ended December 31, 2006 and 2005, and the three-month period ended December 31, 2004, respectively. The remaining capitalized costs as of December 31, 2006, 2005 and 2004 were $21,860 thousand, $25,113 thousand and $27,812 thousand, respectively. In addition, in connection with the repayment of the assumed debt from Hynix, the Company wrote off $4,084 thousand of previously capitalized financing fees for the three-month period ended December 31, 2004. These amounts have all been included in interest expense in the accompanying statement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On December 29, 2006, the Company entered into the Fifth Amendment to Credit Agreement (as amended, the “Credit Agreement”), dated as of December 29, 2006 (the “Fifth Amendment”), with MagnaChip Semiconductor S.A. and MagnaChip Semiconductor Finance Company, as borrowers, the Subsidiary Guarantors party thereto, the Lenders party thereto (the “Lenders”), and UBS AG, Stamford Branch, as administrative agent and collateral agent (the “Agent”).</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Under the Fifth Amendment, among other things, (i) the Company agreed to furnish to the Agent and the Lenders (a) monthly liquidity and flash revenue reports along with an officer’s certificate, (b) monthly narrative reports and management’s discussion and analysis regarding the Company’s consolidated financial condition and results of operations, and (c) monthly reports regarding the cash accounts maintained by the Company and its subsidiaries; and (ii) the existing financial covenants set forth in Section 6.10 of the Credit Agreement were revised and additional financial covenants related to minimum EBITDA and liquidity requirements were added. The foregoing description does not purport to be complete and is qualified in its entirety by reference to the text of the Fifth Amendment, which is referenced herein as Exhibit 10.3.e to this report and is incorporated herein by reference.</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and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7"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(the “Notes”). Under the terms of the Swap, the Company receives a variable interest rate equal to the 3-month LIBOR rate plus 3.25%. In exchange, the Company pays interest at a fixed rate of 7.34%. The Swap effectively replaces the variable interest rate on the notes with a fixed interest rate through the expiration date of the Swap on June 15, 2008.</w:t>
      </w:r>
    </w:p>
    <w:p>
      <w:pPr>
        <w:spacing w:after="0" w:line="139"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 xml:space="preserve">The Swap qualifies as a cash flow hedge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since at both the inception of the hedge and on an ongoing basis, the hedging relationship was and is expected to be highly effective in achieving offsetting cash flows attributable to the hedged risk during the term of the hedge.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 and there was no hedge ineffectiveness for the years ended December 31, 2006 and 2005.</w:t>
      </w:r>
    </w:p>
    <w:p>
      <w:pPr>
        <w:spacing w:after="0" w:line="159" w:lineRule="exact"/>
        <w:rPr>
          <w:sz w:val="20"/>
          <w:szCs w:val="20"/>
          <w:color w:val="auto"/>
        </w:rPr>
      </w:pPr>
    </w:p>
    <w:p>
      <w:pPr>
        <w:jc w:val="both"/>
        <w:ind w:right="420" w:firstLine="571"/>
        <w:spacing w:after="0" w:line="238" w:lineRule="auto"/>
        <w:rPr>
          <w:sz w:val="20"/>
          <w:szCs w:val="20"/>
          <w:color w:val="auto"/>
        </w:rPr>
      </w:pPr>
      <w:r>
        <w:rPr>
          <w:rFonts w:ascii="Arial" w:cs="Arial" w:eastAsia="Arial" w:hAnsi="Arial"/>
          <w:sz w:val="18"/>
          <w:szCs w:val="18"/>
          <w:color w:val="auto"/>
        </w:rPr>
        <w:t>The fair value of the Swap was estimated applying a discounted cash flow model using expected net cash flows from the fixed interest outflows and variable interest inflows during the term of the Swap. The resulting $4,521 thousand of derivative asset and $4,534 thousand of derivative assets were recorded as non-current assets in the accompanying consolidated financial statements as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December 31, 2006 and 2005, respectively. Changes in fair value of the Swap are recorded under other comprehensive income in the accompanying condensed consolidated financial statements. The Company recorded a decrease in the fair value of $193 thousand and an increase in the fair value of $4,534 thousand for the years ended December 31, 2006 and 2005, respectively. The Company recognized interest income of $2,944 thousand and interest expense of $550 thousand for the years ended December 31, 2006 and 2005, respectively, which represents the differences between fixed and variable rates.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severance benefits for each period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59"/>
        </w:trPr>
        <w:tc>
          <w:tcPr>
            <w:tcW w:w="6120" w:type="dxa"/>
            <w:vAlign w:val="bottom"/>
          </w:tcPr>
          <w:p>
            <w:pPr>
              <w:spacing w:after="0"/>
              <w:rPr>
                <w:sz w:val="13"/>
                <w:szCs w:val="13"/>
                <w:color w:val="auto"/>
              </w:rPr>
            </w:pPr>
          </w:p>
        </w:tc>
        <w:tc>
          <w:tcPr>
            <w:tcW w:w="2420" w:type="dxa"/>
            <w:vAlign w:val="bottom"/>
            <w:gridSpan w:val="6"/>
          </w:tcPr>
          <w:p>
            <w:pPr>
              <w:jc w:val="right"/>
              <w:ind w:right="6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3"/>
                <w:szCs w:val="13"/>
                <w:color w:val="auto"/>
              </w:rPr>
            </w:pPr>
          </w:p>
        </w:tc>
        <w:tc>
          <w:tcPr>
            <w:tcW w:w="17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18"/>
        </w:trPr>
        <w:tc>
          <w:tcPr>
            <w:tcW w:w="6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gridSpan w:val="4"/>
          </w:tcPr>
          <w:p>
            <w:pPr>
              <w:ind w:left="20"/>
              <w:spacing w:after="0" w:line="118"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3"/>
          </w:tcPr>
          <w:p>
            <w:pPr>
              <w:jc w:val="center"/>
              <w:ind w:right="80"/>
              <w:spacing w:after="0" w:line="118" w:lineRule="exact"/>
              <w:rPr>
                <w:sz w:val="20"/>
                <w:szCs w:val="20"/>
                <w:color w:val="auto"/>
              </w:rPr>
            </w:pPr>
            <w:r>
              <w:rPr>
                <w:rFonts w:ascii="Arial" w:cs="Arial" w:eastAsia="Arial" w:hAnsi="Arial"/>
                <w:sz w:val="12"/>
                <w:szCs w:val="12"/>
                <w:b w:val="1"/>
                <w:bCs w:val="1"/>
                <w:color w:val="auto"/>
              </w:rPr>
              <w:t>September 30,</w:t>
            </w:r>
          </w:p>
        </w:tc>
      </w:tr>
      <w:tr>
        <w:trPr>
          <w:trHeight w:val="179"/>
        </w:trPr>
        <w:tc>
          <w:tcPr>
            <w:tcW w:w="6120" w:type="dxa"/>
            <w:vAlign w:val="bottom"/>
          </w:tcPr>
          <w:p>
            <w:pPr>
              <w:spacing w:after="0"/>
              <w:rPr>
                <w:sz w:val="15"/>
                <w:szCs w:val="15"/>
                <w:color w:val="auto"/>
              </w:rPr>
            </w:pP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5"/>
        </w:trPr>
        <w:tc>
          <w:tcPr>
            <w:tcW w:w="6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4"/>
          </w:tcPr>
          <w:p>
            <w:pPr>
              <w:jc w:val="right"/>
              <w:ind w:right="40"/>
              <w:spacing w:after="0" w:line="125" w:lineRule="exact"/>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6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$ 56,967</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52,925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47,082</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11,497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16,583</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80"/>
              <w:spacing w:after="0" w:line="202" w:lineRule="exact"/>
              <w:rPr>
                <w:sz w:val="20"/>
                <w:szCs w:val="20"/>
                <w:color w:val="auto"/>
              </w:rPr>
            </w:pPr>
            <w:r>
              <w:rPr>
                <w:rFonts w:ascii="Arial" w:cs="Arial" w:eastAsia="Arial" w:hAnsi="Arial"/>
                <w:sz w:val="18"/>
                <w:szCs w:val="18"/>
                <w:color w:val="auto"/>
              </w:rPr>
              <w:t>3,397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15,352</w:t>
            </w:r>
          </w:p>
        </w:tc>
        <w:tc>
          <w:tcPr>
            <w:tcW w:w="6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Transferred from acquired company</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Severance payments</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(8,589)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(13,831)</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20"/>
              <w:spacing w:after="0" w:line="202" w:lineRule="exact"/>
              <w:rPr>
                <w:sz w:val="20"/>
                <w:szCs w:val="20"/>
                <w:color w:val="auto"/>
              </w:rPr>
            </w:pPr>
            <w:r>
              <w:rPr>
                <w:rFonts w:ascii="Arial" w:cs="Arial" w:eastAsia="Arial" w:hAnsi="Arial"/>
                <w:sz w:val="18"/>
                <w:szCs w:val="18"/>
                <w:color w:val="auto"/>
              </w:rPr>
              <w:t>(2,898)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(6,837)</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foreign currency translation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5,344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60" w:type="dxa"/>
            <w:vAlign w:val="bottom"/>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64,642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56,967</w:t>
            </w:r>
          </w:p>
        </w:tc>
        <w:tc>
          <w:tcPr>
            <w:tcW w:w="18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52,925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50,003</w:t>
            </w:r>
          </w:p>
        </w:tc>
        <w:tc>
          <w:tcPr>
            <w:tcW w:w="60" w:type="dxa"/>
            <w:vAlign w:val="bottom"/>
          </w:tcPr>
          <w:p>
            <w:pPr>
              <w:spacing w:after="0"/>
              <w:rPr>
                <w:sz w:val="18"/>
                <w:szCs w:val="18"/>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Cumulative contributions to the National Pension Fund</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(1,234)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(1,304)</w:t>
            </w:r>
          </w:p>
        </w:tc>
      </w:tr>
      <w:tr>
        <w:trPr>
          <w:trHeight w:val="203"/>
        </w:trPr>
        <w:tc>
          <w:tcPr>
            <w:tcW w:w="6120" w:type="dxa"/>
            <w:vAlign w:val="bottom"/>
          </w:tcPr>
          <w:p>
            <w:pPr>
              <w:ind w:left="440"/>
              <w:spacing w:after="0" w:line="202" w:lineRule="exact"/>
              <w:rPr>
                <w:sz w:val="20"/>
                <w:szCs w:val="20"/>
                <w:color w:val="auto"/>
              </w:rPr>
            </w:pPr>
            <w:r>
              <w:rPr>
                <w:rFonts w:ascii="Arial" w:cs="Arial" w:eastAsia="Arial" w:hAnsi="Arial"/>
                <w:sz w:val="18"/>
                <w:szCs w:val="18"/>
                <w:color w:val="auto"/>
              </w:rPr>
              <w:t>Group severance insurance plan</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(943)</w:t>
            </w:r>
          </w:p>
        </w:tc>
        <w:tc>
          <w:tcPr>
            <w:tcW w:w="18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520"/>
              <w:spacing w:after="0" w:line="202" w:lineRule="exact"/>
              <w:rPr>
                <w:sz w:val="20"/>
                <w:szCs w:val="20"/>
                <w:color w:val="auto"/>
              </w:rPr>
            </w:pPr>
            <w:r>
              <w:rPr>
                <w:rFonts w:ascii="Arial" w:cs="Arial" w:eastAsia="Arial" w:hAnsi="Arial"/>
                <w:sz w:val="18"/>
                <w:szCs w:val="18"/>
                <w:color w:val="auto"/>
              </w:rPr>
              <w:t>(977)</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(1,202)</w:t>
            </w:r>
          </w:p>
        </w:tc>
      </w:tr>
      <w:tr>
        <w:trPr>
          <w:trHeight w:val="27"/>
        </w:trPr>
        <w:tc>
          <w:tcPr>
            <w:tcW w:w="6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$ 62,836</w:t>
            </w:r>
          </w:p>
        </w:tc>
        <w:tc>
          <w:tcPr>
            <w:tcW w:w="4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55,124</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50,714</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47,497</w:t>
            </w:r>
          </w:p>
        </w:tc>
        <w:tc>
          <w:tcPr>
            <w:tcW w:w="60" w:type="dxa"/>
            <w:vAlign w:val="bottom"/>
            <w:shd w:val="clear" w:color="auto" w:fill="CCEEFF"/>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The severance benefits are funded approximately 2.79%, 3.24% and 4.18% as of December 31, 2006, 2005 and 2004, respectively, through severance insurance deposits for the payment of severance benefits, and the account is deducted from accrued severance benefits. In addition, the Company expects to pay the following future benefits to its employees upon their normal retirement ages:</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3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Severance benefit</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2007 – 2008</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 2016</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1,511</w:t>
            </w:r>
          </w:p>
        </w:tc>
      </w:tr>
    </w:tbl>
    <w:p>
      <w:pPr>
        <w:spacing w:after="0" w:line="16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Unit</w:t>
      </w:r>
    </w:p>
    <w:p>
      <w:pPr>
        <w:spacing w:after="0" w:line="99" w:lineRule="exact"/>
        <w:rPr>
          <w:sz w:val="20"/>
          <w:szCs w:val="20"/>
          <w:color w:val="auto"/>
        </w:rPr>
      </w:pPr>
    </w:p>
    <w:p>
      <w:pPr>
        <w:ind w:right="180" w:firstLine="571"/>
        <w:spacing w:after="0" w:line="273" w:lineRule="auto"/>
        <w:rPr>
          <w:sz w:val="20"/>
          <w:szCs w:val="20"/>
          <w:color w:val="auto"/>
        </w:rPr>
      </w:pPr>
      <w:r>
        <w:rPr>
          <w:rFonts w:ascii="Arial" w:cs="Arial" w:eastAsia="Arial" w:hAnsi="Arial"/>
          <w:sz w:val="16"/>
          <w:szCs w:val="16"/>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Each Series A and Series B unit has a stated value of $1,000 per unit. As the Series A and B units are redeemable at the option of the holders, the Company classified the Series A and B units outside of permanent equity. All of Series A were redeemed by cash on December 27, 2004 and parts of Series B were redeemed by cash on December 15, 2004 and December 27, 2004.</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Changes in Series B for the years ended December 31, 2006 and 2005 and for the three months ended December 31, 2004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December 31, 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2006</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2005</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Series A</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Beginning of period</w:t>
            </w:r>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49,727</w:t>
            </w:r>
          </w:p>
        </w:tc>
        <w:tc>
          <w:tcPr>
            <w:tcW w:w="4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Issuance</w:t>
            </w: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Redemption</w:t>
            </w:r>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(50,091)</w:t>
            </w:r>
          </w:p>
        </w:tc>
        <w:tc>
          <w:tcPr>
            <w:tcW w:w="1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Accrual of preferred dividends</w:t>
            </w:r>
          </w:p>
        </w:tc>
        <w:tc>
          <w:tcPr>
            <w:tcW w:w="70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Series B</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Beginning of period</w:t>
            </w:r>
          </w:p>
        </w:tc>
        <w:tc>
          <w:tcPr>
            <w:tcW w:w="700" w:type="dxa"/>
            <w:vAlign w:val="bottom"/>
          </w:tcPr>
          <w:p>
            <w:pPr>
              <w:ind w:left="160"/>
              <w:spacing w:after="0" w:line="202" w:lineRule="exact"/>
              <w:rPr>
                <w:sz w:val="20"/>
                <w:szCs w:val="20"/>
                <w:color w:val="auto"/>
              </w:rPr>
            </w:pPr>
            <w:r>
              <w:rPr>
                <w:rFonts w:ascii="Arial" w:cs="Arial" w:eastAsia="Arial" w:hAnsi="Arial"/>
                <w:sz w:val="18"/>
                <w:szCs w:val="18"/>
                <w:color w:val="auto"/>
                <w:w w:val="94"/>
              </w:rPr>
              <w:t>93,997</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106,462</w:t>
            </w:r>
          </w:p>
        </w:tc>
        <w:tc>
          <w:tcPr>
            <w:tcW w:w="220" w:type="dxa"/>
            <w:vAlign w:val="bottom"/>
          </w:tcPr>
          <w:p>
            <w:pPr>
              <w:spacing w:after="0"/>
              <w:rPr>
                <w:sz w:val="17"/>
                <w:szCs w:val="17"/>
                <w:color w:val="auto"/>
              </w:rPr>
            </w:pPr>
          </w:p>
        </w:tc>
        <w:tc>
          <w:tcPr>
            <w:tcW w:w="7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93,997</w:t>
            </w:r>
          </w:p>
        </w:tc>
        <w:tc>
          <w:tcPr>
            <w:tcW w:w="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96,534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447,420</w:t>
            </w:r>
          </w:p>
        </w:tc>
        <w:tc>
          <w:tcPr>
            <w:tcW w:w="4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447,420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Issuance</w:t>
            </w: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3,272</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Redemption</w:t>
            </w:r>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(356,695)</w:t>
            </w:r>
          </w:p>
        </w:tc>
        <w:tc>
          <w:tcPr>
            <w:tcW w:w="18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(365,770)</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Accrual of preferred dividends</w:t>
            </w:r>
          </w:p>
        </w:tc>
        <w:tc>
          <w:tcPr>
            <w:tcW w:w="70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10,912</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700" w:type="dxa"/>
            <w:vAlign w:val="bottom"/>
          </w:tcPr>
          <w:p>
            <w:pPr>
              <w:ind w:left="160"/>
              <w:spacing w:after="0"/>
              <w:rPr>
                <w:sz w:val="20"/>
                <w:szCs w:val="20"/>
                <w:color w:val="auto"/>
              </w:rPr>
            </w:pPr>
            <w:r>
              <w:rPr>
                <w:rFonts w:ascii="Arial" w:cs="Arial" w:eastAsia="Arial" w:hAnsi="Arial"/>
                <w:sz w:val="18"/>
                <w:szCs w:val="18"/>
                <w:color w:val="auto"/>
                <w:w w:val="94"/>
              </w:rPr>
              <w:t>93,997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117,374</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93,997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106,462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93,997</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7"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In the event of liquidation, the holders of Series B are entitled to receive after all creditors of the Company have been paid in full but before any amounts are paid to the holders of any units ranking junior to the Series B with respect to dividends or upon liquidation (including the common units),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and no more. If the net assets of the Company are insufficient to 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24" w:lineRule="exact"/>
        <w:rPr>
          <w:sz w:val="20"/>
          <w:szCs w:val="20"/>
          <w:color w:val="auto"/>
        </w:rPr>
      </w:pPr>
    </w:p>
    <w:p>
      <w:pPr>
        <w:ind w:firstLine="571"/>
        <w:spacing w:after="0" w:line="221" w:lineRule="auto"/>
        <w:rPr>
          <w:sz w:val="20"/>
          <w:szCs w:val="20"/>
          <w:color w:val="auto"/>
        </w:rPr>
      </w:pPr>
      <w:r>
        <w:rPr>
          <w:rFonts w:ascii="Arial" w:cs="Arial" w:eastAsia="Arial" w:hAnsi="Arial"/>
          <w:sz w:val="18"/>
          <w:szCs w:val="18"/>
          <w:color w:val="auto"/>
        </w:rPr>
        <w:t>If any outstanding Series B remain outstanding on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96" w:lineRule="exact"/>
        <w:rPr>
          <w:sz w:val="20"/>
          <w:szCs w:val="20"/>
          <w:color w:val="auto"/>
        </w:rPr>
      </w:pPr>
    </w:p>
    <w:p>
      <w:pPr>
        <w:ind w:right="500" w:firstLine="571"/>
        <w:spacing w:after="0" w:line="238" w:lineRule="auto"/>
        <w:rPr>
          <w:sz w:val="20"/>
          <w:szCs w:val="20"/>
          <w:color w:val="auto"/>
        </w:rPr>
      </w:pPr>
      <w:r>
        <w:rPr>
          <w:rFonts w:ascii="Arial" w:cs="Arial" w:eastAsia="Arial" w:hAnsi="Arial"/>
          <w:sz w:val="18"/>
          <w:szCs w:val="18"/>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Warrant</w:t>
      </w:r>
    </w:p>
    <w:p>
      <w:pPr>
        <w:spacing w:after="0" w:line="97"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In connection with the Original Acquisition, the Company issued a warrant, which is recorded as additional paid in capital, to Hynix, which enables Hynix to purchase 5,079,254 common units of the Company. The value of each warrant to purchase one common unit is $0.414, which was estimated using the Black-Scholes option pricing model using the following assumptions: fair value of $1.00 per unit; exercise price of $1.00 per unit; risk free rate of interest of 2.50%; volatility of 86%; dividend rate of 0%; and term of 2 years. This warrant expired unexercised in accordance with its terms on October 6, 2006.</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99" w:lineRule="exact"/>
        <w:rPr>
          <w:sz w:val="20"/>
          <w:szCs w:val="20"/>
          <w:color w:val="auto"/>
        </w:rPr>
      </w:pPr>
    </w:p>
    <w:p>
      <w:pPr>
        <w:jc w:val="both"/>
        <w:ind w:right="180" w:firstLine="571"/>
        <w:spacing w:after="0" w:line="264" w:lineRule="auto"/>
        <w:rPr>
          <w:sz w:val="20"/>
          <w:szCs w:val="20"/>
          <w:color w:val="auto"/>
        </w:rPr>
      </w:pPr>
      <w:r>
        <w:rPr>
          <w:rFonts w:ascii="Arial" w:cs="Arial" w:eastAsia="Arial" w:hAnsi="Arial"/>
          <w:sz w:val="16"/>
          <w:szCs w:val="16"/>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term of options in no event exceed ten years from the date of grant. As of December 31, 2006, an aggregate maximum of 7,890,864 common units were authorized and reserved for all future and outstanding grants of options.</w:t>
      </w:r>
    </w:p>
    <w:p>
      <w:pPr>
        <w:spacing w:after="0" w:line="15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55" w:lineRule="exact"/>
        <w:rPr>
          <w:sz w:val="20"/>
          <w:szCs w:val="20"/>
          <w:color w:val="auto"/>
        </w:rPr>
      </w:pPr>
    </w:p>
    <w:p>
      <w:pPr>
        <w:ind w:firstLine="571"/>
        <w:spacing w:after="0" w:line="266" w:lineRule="auto"/>
        <w:rPr>
          <w:sz w:val="20"/>
          <w:szCs w:val="20"/>
          <w:color w:val="auto"/>
        </w:rPr>
      </w:pPr>
      <w:r>
        <w:rPr>
          <w:rFonts w:ascii="Arial" w:cs="Arial" w:eastAsia="Arial" w:hAnsi="Arial"/>
          <w:sz w:val="16"/>
          <w:szCs w:val="16"/>
          <w:color w:val="auto"/>
        </w:rPr>
        <w:t xml:space="preserve">During the three months ended December 31, 2004, restricted units were issued upon the exercise of certain options to purchase restricted common units at the exercise price of $1 per unit, which was considered to be the fair value of the underlying common units on the date of grant. Such options were fully vested and immediately exercisable at the time of grant. Restricted units issued are subject to restrictions which generally lapse in installments over a four-year period. Under the terms and conditions of these restricted common units, the restricted units are subject to forfeiture upon the termination of the restricted unitholder’s employment with the Company. Upon termination, the Company may repurchase all, or any portion of the restricted common units for either $1.00 per unit (the exercise price) or the fair market value of the restricted common units at the time of repurchase. If the termination is for Cause, as defined in the Service Agreements entered into with each restricted unitholder, the repurchase price per unit will be $1. However, if the termination is for any other reason, then the Company may repurchase all or any portion of the restricted common units for which the restricted period has not lapsed as of the date of termination for a repurchase price per unit of $1, and may repurchase all or any portion of the restricted common units for which the restricted period has lapsed as of the date of termination for a repurchase price per unit equal to fair market value. Termination for “Cause” is defined in the Service Agreements to mean a termination of the restricted unitholder’s employment with the Company because of (a) a failure by the restricted unitholder to substantially perform the restricted unitholder’s customary duties 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 Prior to the adoption of SFAS 123(R), the Company accounted for its unit awards under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Using the intrinsic value method prescribed by APB 25, the Company did not record any compensation expense because the fair market value of the common unit underlying the options was equal to the exercise price of the options on the date of grant. Because these awards were considered to be fully vested on grant date, there was no compensation expense to record after the adoption of SFAS 123(R).</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The following summarizes unit option and restricted unit activities for the year ended December 31, 2006. At the date of grant, all options had an exercise price at or above the fair value of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6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5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average exercise</w:t>
            </w:r>
          </w:p>
        </w:tc>
        <w:tc>
          <w:tcPr>
            <w:tcW w:w="6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52"/>
        </w:trPr>
        <w:tc>
          <w:tcPr>
            <w:tcW w:w="5620" w:type="dxa"/>
            <w:vAlign w:val="bottom"/>
          </w:tcPr>
          <w:p>
            <w:pPr>
              <w:spacing w:after="0"/>
              <w:rPr>
                <w:sz w:val="13"/>
                <w:szCs w:val="13"/>
                <w:color w:val="auto"/>
              </w:rPr>
            </w:pPr>
          </w:p>
        </w:tc>
        <w:tc>
          <w:tcPr>
            <w:tcW w:w="166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7"/>
              </w:rPr>
              <w:t>Number of</w:t>
            </w:r>
          </w:p>
        </w:tc>
        <w:tc>
          <w:tcPr>
            <w:tcW w:w="11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price (in US</w:t>
            </w:r>
          </w:p>
        </w:tc>
        <w:tc>
          <w:tcPr>
            <w:tcW w:w="64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remaining</w:t>
            </w:r>
          </w:p>
        </w:tc>
      </w:tr>
      <w:tr>
        <w:trPr>
          <w:trHeight w:val="176"/>
        </w:trPr>
        <w:tc>
          <w:tcPr>
            <w:tcW w:w="5620" w:type="dxa"/>
            <w:vAlign w:val="bottom"/>
          </w:tcPr>
          <w:p>
            <w:pPr>
              <w:spacing w:after="0"/>
              <w:rPr>
                <w:sz w:val="15"/>
                <w:szCs w:val="15"/>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restricted stock</w:t>
            </w: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dollars)</w:t>
            </w:r>
          </w:p>
        </w:tc>
        <w:tc>
          <w:tcPr>
            <w:tcW w:w="6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life</w:t>
            </w: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2006</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1,726,062</w:t>
            </w:r>
          </w:p>
        </w:tc>
        <w:tc>
          <w:tcPr>
            <w:tcW w:w="6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3,780,643</w:t>
            </w:r>
          </w:p>
        </w:tc>
        <w:tc>
          <w:tcPr>
            <w:tcW w:w="6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6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6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w w:val="94"/>
              </w:rPr>
              <w:t>2,107,500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1.6</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46,063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1.9</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Forfeited / Repurchased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409,348</w:t>
            </w:r>
          </w:p>
        </w:tc>
        <w:tc>
          <w:tcPr>
            <w:tcW w:w="660" w:type="dxa"/>
            <w:vAlign w:val="bottom"/>
          </w:tcPr>
          <w:p>
            <w:pPr>
              <w:spacing w:after="0"/>
              <w:rPr>
                <w:sz w:val="17"/>
                <w:szCs w:val="17"/>
                <w:color w:val="auto"/>
              </w:rPr>
            </w:pPr>
          </w:p>
        </w:tc>
        <w:tc>
          <w:tcPr>
            <w:tcW w:w="14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772,552</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1.5</w:t>
            </w: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Released from restriction</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517,936</w:t>
            </w:r>
          </w:p>
        </w:tc>
        <w:tc>
          <w:tcPr>
            <w:tcW w:w="6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000" w:type="dxa"/>
            <w:vAlign w:val="bottom"/>
          </w:tcPr>
          <w:p>
            <w:pPr>
              <w:jc w:val="right"/>
              <w:spacing w:after="0"/>
              <w:rPr>
                <w:sz w:val="20"/>
                <w:szCs w:val="20"/>
                <w:color w:val="auto"/>
              </w:rPr>
            </w:pPr>
            <w:r>
              <w:rPr>
                <w:rFonts w:ascii="Arial" w:cs="Arial" w:eastAsia="Arial" w:hAnsi="Arial"/>
                <w:sz w:val="18"/>
                <w:szCs w:val="18"/>
                <w:color w:val="auto"/>
              </w:rPr>
              <w:t>798,778</w:t>
            </w:r>
          </w:p>
        </w:tc>
        <w:tc>
          <w:tcPr>
            <w:tcW w:w="6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5,069,528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64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Arial" w:cs="Arial" w:eastAsia="Arial" w:hAnsi="Arial"/>
                <w:sz w:val="18"/>
                <w:szCs w:val="18"/>
                <w:color w:val="auto"/>
                <w:w w:val="94"/>
              </w:rPr>
              <w:t>8.6 years</w:t>
            </w:r>
          </w:p>
        </w:tc>
      </w:tr>
      <w:tr>
        <w:trPr>
          <w:trHeight w:val="20"/>
        </w:trPr>
        <w:tc>
          <w:tcPr>
            <w:tcW w:w="5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December 31, 2006</w:t>
            </w:r>
          </w:p>
        </w:tc>
        <w:tc>
          <w:tcPr>
            <w:tcW w:w="166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4"/>
              </w:rPr>
              <w:t>1,588,000</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4"/>
              </w:rPr>
              <w:t>7.9 years</w:t>
            </w:r>
          </w:p>
        </w:tc>
      </w:tr>
    </w:tbl>
    <w:p>
      <w:pPr>
        <w:spacing w:after="0" w:line="16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Total unit option related compensation expense pursuant to SFAS No. 123(R) for the year ended December 31, 2006 was $243 thousand. As of December 31, 2006, there was $358 thousand of total unrecognized compensation cost related to unvested options, which is expected to be recognized over a weighted average future period of 1.2 years. Total fair value of options vested for the year ended December 31, 2006 is $167 thousand.</w:t>
      </w:r>
    </w:p>
    <w:p>
      <w:pPr>
        <w:spacing w:after="0" w:line="15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40" w:type="dxa"/>
            <w:vAlign w:val="bottom"/>
          </w:tcPr>
          <w:p>
            <w:pPr>
              <w:spacing w:after="0"/>
              <w:rPr>
                <w:sz w:val="15"/>
                <w:szCs w:val="15"/>
                <w:color w:val="auto"/>
              </w:rPr>
            </w:pPr>
          </w:p>
        </w:tc>
        <w:tc>
          <w:tcPr>
            <w:tcW w:w="2640" w:type="dxa"/>
            <w:vAlign w:val="bottom"/>
            <w:gridSpan w:val="4"/>
          </w:tcPr>
          <w:p>
            <w:pPr>
              <w:ind w:left="80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Three months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ended</w:t>
            </w:r>
          </w:p>
        </w:tc>
        <w:tc>
          <w:tcPr>
            <w:tcW w:w="4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1060" w:type="dxa"/>
            <w:vAlign w:val="bottom"/>
            <w:vMerge w:val="restart"/>
          </w:tcPr>
          <w:p>
            <w:pPr>
              <w:jc w:val="center"/>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5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780" w:type="dxa"/>
            <w:vAlign w:val="bottom"/>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25"/>
        </w:trPr>
        <w:tc>
          <w:tcPr>
            <w:tcW w:w="5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7"/>
              </w:rPr>
              <w:t>(Successor Company)</w:t>
            </w:r>
          </w:p>
        </w:tc>
        <w:tc>
          <w:tcPr>
            <w:tcW w:w="10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65"/>
        </w:trPr>
        <w:tc>
          <w:tcPr>
            <w:tcW w:w="5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Grant-date fair value of option (in US dollars)</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$0.22</w:t>
            </w:r>
          </w:p>
        </w:tc>
        <w:tc>
          <w:tcPr>
            <w:tcW w:w="1320" w:type="dxa"/>
            <w:vAlign w:val="bottom"/>
            <w:gridSpan w:val="2"/>
            <w:shd w:val="clear" w:color="auto" w:fill="CCEEFF"/>
          </w:tcPr>
          <w:p>
            <w:pPr>
              <w:jc w:val="center"/>
              <w:ind w:left="277"/>
              <w:spacing w:after="0" w:line="202" w:lineRule="exact"/>
              <w:rPr>
                <w:sz w:val="20"/>
                <w:szCs w:val="20"/>
                <w:color w:val="auto"/>
              </w:rPr>
            </w:pPr>
            <w:r>
              <w:rPr>
                <w:rFonts w:ascii="Arial" w:cs="Arial" w:eastAsia="Arial" w:hAnsi="Arial"/>
                <w:sz w:val="18"/>
                <w:szCs w:val="18"/>
                <w:color w:val="auto"/>
                <w:w w:val="97"/>
              </w:rPr>
              <w:t>$0.22</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$0.38</w:t>
            </w:r>
          </w:p>
        </w:tc>
        <w:tc>
          <w:tcPr>
            <w:tcW w:w="460" w:type="dxa"/>
            <w:vAlign w:val="bottom"/>
            <w:tcBorders>
              <w:right w:val="single" w:sz="8" w:color="auto"/>
            </w:tcBorders>
            <w:shd w:val="clear" w:color="auto" w:fill="CCEEFF"/>
          </w:tcPr>
          <w:p>
            <w:pPr>
              <w:spacing w:after="0"/>
              <w:rPr>
                <w:sz w:val="17"/>
                <w:szCs w:val="17"/>
                <w:color w:val="auto"/>
              </w:rPr>
            </w:pPr>
          </w:p>
        </w:tc>
        <w:tc>
          <w:tcPr>
            <w:tcW w:w="1380" w:type="dxa"/>
            <w:vAlign w:val="bottom"/>
            <w:gridSpan w:val="2"/>
            <w:shd w:val="clear" w:color="auto" w:fill="CCEEFF"/>
          </w:tcPr>
          <w:p>
            <w:pPr>
              <w:jc w:val="center"/>
              <w:ind w:left="252"/>
              <w:spacing w:after="0" w:line="202" w:lineRule="exact"/>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term</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5"/>
              </w:rPr>
              <w:t>2.3 Years</w:t>
            </w:r>
          </w:p>
        </w:tc>
        <w:tc>
          <w:tcPr>
            <w:tcW w:w="340" w:type="dxa"/>
            <w:vAlign w:val="bottom"/>
          </w:tcPr>
          <w:p>
            <w:pPr>
              <w:spacing w:after="0"/>
              <w:rPr>
                <w:sz w:val="17"/>
                <w:szCs w:val="17"/>
                <w:color w:val="auto"/>
              </w:rPr>
            </w:pPr>
          </w:p>
        </w:tc>
        <w:tc>
          <w:tcPr>
            <w:tcW w:w="132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2.1 Years</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3"/>
              </w:rPr>
              <w:t>2.2 Years</w:t>
            </w:r>
          </w:p>
        </w:tc>
        <w:tc>
          <w:tcPr>
            <w:tcW w:w="4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5"/>
              </w:rPr>
              <w:t>3.5 Years</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CEEFF"/>
          </w:tcPr>
          <w:p>
            <w:pPr>
              <w:jc w:val="right"/>
              <w:ind w:right="162"/>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2"/>
              <w:spacing w:after="0" w:line="202" w:lineRule="exact"/>
              <w:rPr>
                <w:sz w:val="20"/>
                <w:szCs w:val="20"/>
                <w:color w:val="auto"/>
              </w:rPr>
            </w:pPr>
            <w:r>
              <w:rPr>
                <w:rFonts w:ascii="Arial" w:cs="Arial" w:eastAsia="Arial" w:hAnsi="Arial"/>
                <w:sz w:val="18"/>
                <w:szCs w:val="18"/>
                <w:color w:val="auto"/>
              </w:rPr>
              <w:t>2.6%</w:t>
            </w:r>
          </w:p>
        </w:tc>
        <w:tc>
          <w:tcPr>
            <w:tcW w:w="460" w:type="dxa"/>
            <w:vAlign w:val="bottom"/>
            <w:tcBorders>
              <w:right w:val="single" w:sz="8" w:color="auto"/>
            </w:tcBorders>
            <w:shd w:val="clear" w:color="auto" w:fill="CCEEFF"/>
          </w:tcPr>
          <w:p>
            <w:pPr>
              <w:spacing w:after="0"/>
              <w:rPr>
                <w:sz w:val="17"/>
                <w:szCs w:val="17"/>
                <w:color w:val="auto"/>
              </w:rPr>
            </w:pPr>
          </w:p>
        </w:tc>
        <w:tc>
          <w:tcPr>
            <w:tcW w:w="13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7"/>
              </w:rPr>
              <w:t>46.7%</w:t>
            </w:r>
          </w:p>
        </w:tc>
        <w:tc>
          <w:tcPr>
            <w:tcW w:w="1320" w:type="dxa"/>
            <w:vAlign w:val="bottom"/>
            <w:gridSpan w:val="2"/>
          </w:tcPr>
          <w:p>
            <w:pPr>
              <w:jc w:val="center"/>
              <w:ind w:left="257"/>
              <w:spacing w:after="0" w:line="202" w:lineRule="exact"/>
              <w:rPr>
                <w:sz w:val="20"/>
                <w:szCs w:val="20"/>
                <w:color w:val="auto"/>
              </w:rPr>
            </w:pPr>
            <w:r>
              <w:rPr>
                <w:rFonts w:ascii="Arial" w:cs="Arial" w:eastAsia="Arial" w:hAnsi="Arial"/>
                <w:sz w:val="18"/>
                <w:szCs w:val="18"/>
                <w:color w:val="auto"/>
                <w:w w:val="97"/>
              </w:rPr>
              <w:t>57.8%</w:t>
            </w:r>
          </w:p>
        </w:tc>
        <w:tc>
          <w:tcPr>
            <w:tcW w:w="34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7"/>
              </w:rPr>
              <w:t>64.8%</w:t>
            </w:r>
          </w:p>
        </w:tc>
        <w:tc>
          <w:tcPr>
            <w:tcW w:w="460" w:type="dxa"/>
            <w:vAlign w:val="bottom"/>
            <w:tcBorders>
              <w:right w:val="single" w:sz="8" w:color="auto"/>
            </w:tcBorders>
          </w:tcPr>
          <w:p>
            <w:pPr>
              <w:spacing w:after="0"/>
              <w:rPr>
                <w:sz w:val="17"/>
                <w:szCs w:val="17"/>
                <w:color w:val="auto"/>
              </w:rPr>
            </w:pPr>
          </w:p>
        </w:tc>
        <w:tc>
          <w:tcPr>
            <w:tcW w:w="1380" w:type="dxa"/>
            <w:vAlign w:val="bottom"/>
            <w:gridSpan w:val="2"/>
          </w:tcPr>
          <w:p>
            <w:pPr>
              <w:jc w:val="center"/>
              <w:ind w:left="252"/>
              <w:spacing w:after="0" w:line="202" w:lineRule="exact"/>
              <w:rPr>
                <w:sz w:val="20"/>
                <w:szCs w:val="20"/>
                <w:color w:val="auto"/>
              </w:rPr>
            </w:pPr>
            <w:r>
              <w:rPr>
                <w:rFonts w:ascii="Arial" w:cs="Arial" w:eastAsia="Arial" w:hAnsi="Arial"/>
                <w:sz w:val="18"/>
                <w:szCs w:val="18"/>
                <w:color w:val="auto"/>
                <w:w w:val="98"/>
              </w:rPr>
              <w:t>144.5%</w:t>
            </w: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total cash received from employees as a result of option exercises was $88 thousand, $112 thousand and $2,456 thousand for the years ended December 31, 2006 and 2005 and for the three months ended December 31, 2004, respectively. None of the options exercised during these periods had any intrinsic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The following presents pro forma net loss and per unit data as if the fair value based method had been applied to account for the unit-based compensation for the year ended December 31, 2005, three months ended December 31, 2004 and nine months ended September 30, 2004: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r>
      <w:tr>
        <w:trPr>
          <w:trHeight w:val="149"/>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r>
      <w:tr>
        <w:trPr>
          <w:trHeight w:val="149"/>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r>
      <w:tr>
        <w:trPr>
          <w:trHeight w:val="178"/>
        </w:trPr>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r>
      <w:tr>
        <w:trPr>
          <w:trHeight w:val="126"/>
        </w:trPr>
        <w:tc>
          <w:tcPr>
            <w:tcW w:w="6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Borders>
              <w:right w:val="single" w:sz="8" w:color="auto"/>
            </w:tcBorders>
            <w:gridSpan w:val="6"/>
          </w:tcPr>
          <w:p>
            <w:pPr>
              <w:jc w:val="right"/>
              <w:ind w:right="1020"/>
              <w:spacing w:after="0" w:line="126" w:lineRule="exact"/>
              <w:rPr>
                <w:sz w:val="20"/>
                <w:szCs w:val="20"/>
                <w:color w:val="auto"/>
              </w:rPr>
            </w:pPr>
            <w:r>
              <w:rPr>
                <w:rFonts w:ascii="Arial" w:cs="Arial" w:eastAsia="Arial" w:hAnsi="Arial"/>
                <w:sz w:val="14"/>
                <w:szCs w:val="14"/>
                <w:b w:val="1"/>
                <w:bCs w:val="1"/>
                <w:color w:val="auto"/>
              </w:rPr>
              <w:t>(Successor Company)</w:t>
            </w:r>
          </w:p>
        </w:tc>
        <w:tc>
          <w:tcPr>
            <w:tcW w:w="420" w:type="dxa"/>
            <w:vAlign w:val="bottom"/>
          </w:tcPr>
          <w:p>
            <w:pPr>
              <w:spacing w:after="0"/>
              <w:rPr>
                <w:sz w:val="10"/>
                <w:szCs w:val="10"/>
                <w:color w:val="auto"/>
              </w:rPr>
            </w:pPr>
          </w:p>
        </w:tc>
        <w:tc>
          <w:tcPr>
            <w:tcW w:w="9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r>
      <w:tr>
        <w:trPr>
          <w:trHeight w:val="165"/>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as reported</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(100,898)</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(5,825)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units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9,928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00"/>
              <w:spacing w:after="0" w:line="202" w:lineRule="exact"/>
              <w:rPr>
                <w:sz w:val="20"/>
                <w:szCs w:val="20"/>
                <w:color w:val="auto"/>
              </w:rPr>
            </w:pPr>
            <w:r>
              <w:rPr>
                <w:rFonts w:ascii="Arial" w:cs="Arial" w:eastAsia="Arial" w:hAnsi="Arial"/>
                <w:sz w:val="18"/>
                <w:szCs w:val="18"/>
                <w:color w:val="auto"/>
              </w:rPr>
              <w:t>13,428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 (owner)</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(110,826)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(19,253)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43,237</w:t>
            </w:r>
          </w:p>
        </w:tc>
        <w:tc>
          <w:tcPr>
            <w:tcW w:w="60" w:type="dxa"/>
            <w:vAlign w:val="bottom"/>
            <w:shd w:val="clear" w:color="auto" w:fill="CCEEFF"/>
          </w:tcPr>
          <w:p>
            <w:pPr>
              <w:spacing w:after="0"/>
              <w:rPr>
                <w:sz w:val="17"/>
                <w:szCs w:val="17"/>
                <w:color w:val="auto"/>
              </w:rPr>
            </w:pPr>
          </w:p>
        </w:tc>
      </w:tr>
      <w:tr>
        <w:trPr>
          <w:trHeight w:val="206"/>
        </w:trPr>
        <w:tc>
          <w:tcPr>
            <w:tcW w:w="6880" w:type="dxa"/>
            <w:vAlign w:val="bottom"/>
          </w:tcPr>
          <w:p>
            <w:pPr>
              <w:spacing w:after="0" w:line="206" w:lineRule="exact"/>
              <w:rPr>
                <w:sz w:val="20"/>
                <w:szCs w:val="20"/>
                <w:color w:val="auto"/>
              </w:rPr>
            </w:pPr>
            <w:r>
              <w:rPr>
                <w:rFonts w:ascii="Arial" w:cs="Arial" w:eastAsia="Arial" w:hAnsi="Arial"/>
                <w:sz w:val="18"/>
                <w:szCs w:val="18"/>
                <w:color w:val="auto"/>
              </w:rPr>
              <w:t>Add: unit(stock)-based compensation expense included in reported net income (loss),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6880" w:type="dxa"/>
            <w:vAlign w:val="bottom"/>
          </w:tcPr>
          <w:p>
            <w:pPr>
              <w:ind w:left="220"/>
              <w:spacing w:after="0" w:line="200" w:lineRule="exact"/>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80"/>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3,324</w:t>
            </w:r>
          </w:p>
        </w:tc>
        <w:tc>
          <w:tcPr>
            <w:tcW w:w="60" w:type="dxa"/>
            <w:vAlign w:val="bottom"/>
          </w:tcPr>
          <w:p>
            <w:pPr>
              <w:spacing w:after="0"/>
              <w:rPr>
                <w:sz w:val="17"/>
                <w:szCs w:val="17"/>
                <w:color w:val="auto"/>
              </w:rPr>
            </w:pPr>
          </w:p>
        </w:tc>
      </w:tr>
      <w:tr>
        <w:trPr>
          <w:trHeight w:val="206"/>
        </w:trPr>
        <w:tc>
          <w:tcPr>
            <w:tcW w:w="6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Deduct: unit(stock)-based compensation expense determined under the fair value</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68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method, net of tax</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40"/>
              <w:spacing w:after="0" w:line="200" w:lineRule="exact"/>
              <w:rPr>
                <w:sz w:val="20"/>
                <w:szCs w:val="20"/>
                <w:color w:val="auto"/>
              </w:rPr>
            </w:pPr>
            <w:r>
              <w:rPr>
                <w:rFonts w:ascii="Arial" w:cs="Arial" w:eastAsia="Arial" w:hAnsi="Arial"/>
                <w:sz w:val="18"/>
                <w:szCs w:val="18"/>
                <w:color w:val="auto"/>
              </w:rPr>
              <w:t>(995)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(5,614)</w:t>
            </w:r>
          </w:p>
        </w:tc>
      </w:tr>
      <w:tr>
        <w:trPr>
          <w:trHeight w:val="20"/>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(111,237)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(20,248)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40,947</w:t>
            </w:r>
          </w:p>
        </w:tc>
        <w:tc>
          <w:tcPr>
            <w:tcW w:w="6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reported loss per unit</w:t>
            </w:r>
          </w:p>
        </w:tc>
        <w:tc>
          <w:tcPr>
            <w:tcW w:w="40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(2.10)</w:t>
            </w:r>
          </w:p>
        </w:tc>
        <w:tc>
          <w:tcPr>
            <w:tcW w:w="4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(0.38)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80" w:type="dxa"/>
            <w:vAlign w:val="bottom"/>
          </w:tcPr>
          <w:p>
            <w:pPr>
              <w:spacing w:after="0" w:line="202" w:lineRule="exact"/>
              <w:rPr>
                <w:sz w:val="20"/>
                <w:szCs w:val="20"/>
                <w:color w:val="auto"/>
              </w:rPr>
            </w:pPr>
            <w:r>
              <w:rPr>
                <w:rFonts w:ascii="Arial" w:cs="Arial" w:eastAsia="Arial" w:hAnsi="Arial"/>
                <w:sz w:val="18"/>
                <w:szCs w:val="18"/>
                <w:color w:val="auto"/>
              </w:rPr>
              <w:t>Pro forma loss per unit</w:t>
            </w:r>
          </w:p>
        </w:tc>
        <w:tc>
          <w:tcPr>
            <w:tcW w:w="4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(2.10)</w:t>
            </w:r>
          </w:p>
        </w:tc>
        <w:tc>
          <w:tcPr>
            <w:tcW w:w="4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(0.40)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65"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pro forma presentation for the nine months ended September 30, 2004 is based on stock options granted by Hynix before the Original Acquisition. However, none of these options were transferred as part of the Original Acquisition.</w:t>
      </w:r>
    </w:p>
    <w:p>
      <w:pPr>
        <w:spacing w:after="0" w:line="214" w:lineRule="exact"/>
        <w:rPr>
          <w:sz w:val="20"/>
          <w:szCs w:val="20"/>
          <w:color w:val="auto"/>
        </w:rPr>
      </w:pPr>
    </w:p>
    <w:p>
      <w:pPr>
        <w:ind w:right="7720" w:firstLine="8"/>
        <w:spacing w:after="0" w:line="384" w:lineRule="auto"/>
        <w:tabs>
          <w:tab w:leader="none" w:pos="293"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2006 Restructuring and Impairment Charges</w:t>
      </w:r>
    </w:p>
    <w:p>
      <w:pPr>
        <w:ind w:right="60" w:firstLine="571"/>
        <w:spacing w:after="0" w:line="238" w:lineRule="auto"/>
        <w:rPr>
          <w:sz w:val="20"/>
          <w:szCs w:val="20"/>
          <w:color w:val="auto"/>
        </w:rPr>
      </w:pPr>
      <w:r>
        <w:rPr>
          <w:rFonts w:ascii="Arial" w:cs="Arial" w:eastAsia="Arial" w:hAnsi="Arial"/>
          <w:sz w:val="18"/>
          <w:szCs w:val="18"/>
          <w:color w:val="auto"/>
        </w:rPr>
        <w:t xml:space="preserve">During the year ended December 31, 2006, the Company recorded restructuring and impairment charges totaling $94,266 thousand, which included $92,858 thousand of impairment charges under SFAS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and $1,408 thousand of restructuring charges under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impairment charges of $92,540 thousand recorded during 2006 related to certain fixed assets and technology and customer-based intangible asset (the “asset group”) comprising our Imaging Solution business. At the end of fiscal year 2005, the capacity utilization of the Fab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w:t>
      </w:r>
    </w:p>
    <w:p>
      <w:pPr>
        <w:spacing w:after="0" w:line="155"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impairment charge was measured as the excess of the carrying value of the asset group over its fair value. The fair value of the asset group was estimated using a present value technique, where expected future cash flows from the use and eventual disposal of the asset group were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discounted by an interest rate commensurate with the risk of the cash flows. The net book value of the asset group before the impairment charges was approximately $185,985 thousand.</w:t>
      </w:r>
    </w:p>
    <w:p>
      <w:pPr>
        <w:spacing w:after="0" w:line="155"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In addition, the Company recorded an impairment charges in the amount of $318 thousand related to the disposition of certain assets previously designated as assets held-for-sale and $1,408 thousand of restructuring charges in connection with the termination of certain of our management and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Restructuring and Impairment Charges</w:t>
      </w:r>
    </w:p>
    <w:p>
      <w:pPr>
        <w:spacing w:after="0" w:line="97"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During the year ended December 31, 2005, the Company recorded $36,234 thousand of restructuring and impairment charges which included $33,576 thousand of asset impairments and $2,658 thousand of restructuring.</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an effort to focus on its major business segments—Display Solutions, Imaging Solutions and Semiconductor Manufacturing Services, the Company made a strategic decision to divest its Application Processor business. Based on such decision, the Company recognized impairment charges on certain tangible and intangible assets related to the divesture. The impairment charge was measured as the excess of the carrying value of the asset group over the fair value measured at the selling price of the assets.</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In addition, the Company took a total of $2,658 thousand of restructuring charges which included early retirement costs and other related costs associated with the sale of Application Processor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 Expenses</w:t>
      </w:r>
    </w:p>
    <w:p>
      <w:pPr>
        <w:spacing w:after="0" w:line="9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Company’s income tax expenses are composed of domestic and foreign income taxes depending on the relevant tax jurisdiction. For the Predecessor Company “Domestic” refers to the income before taxes, current income taxes and deferred income taxes generated or incurred in Korea. For the Successor Company, however, it refers to the income before taxes, current income taxes and deferred income taxes generated or incurred in the US, in which the ultimate parent of the Company resides.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income tax expense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81"/>
        </w:trPr>
        <w:tc>
          <w:tcPr>
            <w:tcW w:w="6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6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0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31"/>
        </w:trPr>
        <w:tc>
          <w:tcPr>
            <w:tcW w:w="60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gridSpan w:val="4"/>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tcPr>
          <w:p>
            <w:pPr>
              <w:jc w:val="right"/>
              <w:ind w:right="20"/>
              <w:spacing w:after="0" w:line="125" w:lineRule="exact"/>
              <w:rPr>
                <w:sz w:val="20"/>
                <w:szCs w:val="20"/>
                <w:color w:val="auto"/>
              </w:rPr>
            </w:pPr>
            <w:r>
              <w:rPr>
                <w:rFonts w:ascii="Arial" w:cs="Arial" w:eastAsia="Arial" w:hAnsi="Arial"/>
                <w:sz w:val="14"/>
                <w:szCs w:val="14"/>
                <w:b w:val="1"/>
                <w:bCs w:val="1"/>
                <w:color w:val="auto"/>
                <w:w w:val="98"/>
              </w:rPr>
              <w:t>(Successor Company)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5,862</w:t>
            </w: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(3,528)</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3,136</w:t>
            </w:r>
          </w:p>
        </w:tc>
        <w:tc>
          <w:tcPr>
            <w:tcW w:w="5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48,660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5"/>
              </w:rPr>
              <w:t>(225,914)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(95,554)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(2,236)</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(220,052)</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(99,082)</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taxes expenses (benefits)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5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14,041</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6,459</w:t>
            </w: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6,725</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expenses (benefits)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440"/>
              <w:spacing w:after="0" w:line="202" w:lineRule="exact"/>
              <w:rPr>
                <w:sz w:val="20"/>
                <w:szCs w:val="20"/>
                <w:color w:val="auto"/>
              </w:rPr>
            </w:pPr>
            <w:r>
              <w:rPr>
                <w:rFonts w:ascii="Arial" w:cs="Arial" w:eastAsia="Arial" w:hAnsi="Arial"/>
                <w:sz w:val="18"/>
                <w:szCs w:val="18"/>
                <w:color w:val="auto"/>
              </w:rPr>
              <w:t>Domestic</w:t>
            </w:r>
          </w:p>
        </w:tc>
        <w:tc>
          <w:tcPr>
            <w:tcW w:w="12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5"/>
              </w:rPr>
              <w:t>(12,216)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(12,216)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expenses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4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5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ultimate parent of the Company is a limited liability company, a non-taxable entity for US tax purposes and thus the statutory income tax rate shall be zero. A substantial portion of the income tax expenses above is incurred from MagnaChip Korea, which is the principal operating entity within the Company. The statutory income tax rate of MagnaChip Korea, including tax surcharges, applicable to the Company was approximately 27.5% in 2006 and 2005, which was reduced from 29.7% in 2004 in accordance with the Corporate Income Tax Law as amended on December 31, 2003. MagnaChip Korea is eligible for tax exemption where its corporate income tax is reduced by 50% from 2004 to 2006 and 30% from 2007 to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60" w:firstLine="571"/>
        <w:spacing w:after="0" w:line="237" w:lineRule="auto"/>
        <w:rPr>
          <w:sz w:val="20"/>
          <w:szCs w:val="20"/>
          <w:color w:val="auto"/>
        </w:rPr>
      </w:pPr>
      <w:r>
        <w:rPr>
          <w:rFonts w:ascii="Arial" w:cs="Arial" w:eastAsia="Arial" w:hAnsi="Arial"/>
          <w:sz w:val="18"/>
          <w:szCs w:val="18"/>
          <w:color w:val="auto"/>
        </w:rPr>
        <w:t>The income tax rate used to calculate the tax provision by the Predecessor Company was the statutory income tax rate of Korea, which was 29.7%. For the Successor Company, the statutory income tax rate is zero as its ultimate parent is a non-taxable US entity. The provision for domestic and foreign income taxes incurred is different from the amount calculated by applying the statutory tax rate to the net income before income taxes. The significant items causing this difference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0" w:type="dxa"/>
            <w:vAlign w:val="bottom"/>
            <w:gridSpan w:val="5"/>
            <w:vMerge w:val="restart"/>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7"/>
                <w:szCs w:val="7"/>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68"/>
        </w:trPr>
        <w:tc>
          <w:tcPr>
            <w:tcW w:w="4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6"/>
            <w:vMerge w:val="continue"/>
          </w:tcPr>
          <w:p>
            <w:pPr>
              <w:spacing w:after="0"/>
              <w:rPr>
                <w:sz w:val="8"/>
                <w:szCs w:val="8"/>
                <w:color w:val="auto"/>
              </w:rPr>
            </w:pPr>
          </w:p>
        </w:tc>
        <w:tc>
          <w:tcPr>
            <w:tcW w:w="2040" w:type="dxa"/>
            <w:vAlign w:val="bottom"/>
            <w:gridSpan w:val="6"/>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1"/>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40" w:type="dxa"/>
            <w:vAlign w:val="bottom"/>
            <w:gridSpan w:val="6"/>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4"/>
          </w:tcPr>
          <w:p>
            <w:pPr>
              <w:jc w:val="right"/>
              <w:ind w:right="80"/>
              <w:spacing w:after="0" w:line="125" w:lineRule="exact"/>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computed at statutory rate</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1,850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(161)</w:t>
            </w: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statutory tax rate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5,125</w:t>
            </w:r>
          </w:p>
        </w:tc>
        <w:tc>
          <w:tcPr>
            <w:tcW w:w="2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Adjustment for overseas tax rate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(58,493)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8"/>
              </w:rPr>
              <w:t>(27,745)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(1,492)</w:t>
            </w: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Exemption</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(5,447)</w:t>
            </w: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52,866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28,826</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8,700</w:t>
            </w:r>
          </w:p>
        </w:tc>
        <w:tc>
          <w:tcPr>
            <w:tcW w:w="24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statutory income taxes</w:t>
            </w:r>
          </w:p>
        </w:tc>
        <w:tc>
          <w:tcPr>
            <w:tcW w:w="1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24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720" w:type="dxa"/>
            <w:vAlign w:val="bottom"/>
            <w:tcBorders>
              <w:top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top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460" w:type="dxa"/>
            <w:vAlign w:val="bottom"/>
            <w:gridSpan w:val="15"/>
          </w:tcPr>
          <w:p>
            <w:pPr>
              <w:ind w:left="580"/>
              <w:spacing w:after="0"/>
              <w:rPr>
                <w:sz w:val="20"/>
                <w:szCs w:val="20"/>
                <w:color w:val="auto"/>
              </w:rPr>
            </w:pPr>
            <w:r>
              <w:rPr>
                <w:rFonts w:ascii="Arial" w:cs="Arial" w:eastAsia="Arial" w:hAnsi="Arial"/>
                <w:sz w:val="18"/>
                <w:szCs w:val="18"/>
                <w:color w:val="auto"/>
              </w:rPr>
              <w:t>A summary of the composition of net deferred income tax assets (liabilities) at December 31, 2006 and 2005 are as follows: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7,587</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1,030</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warranties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Other reserves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Severance benefits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7,802</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34,712</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33,749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NOL carry-forwards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46,537</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Tax credit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15,752</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10,163</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815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125,294</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(100,016)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(42,695)</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25,278</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consideration</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tcBorders>
              <w:right w:val="single" w:sz="8" w:color="CCEEFF"/>
            </w:tcBorders>
            <w:gridSpan w:val="4"/>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Foreign currency gain</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4"/>
          </w:tcPr>
          <w:p>
            <w:pPr>
              <w:ind w:left="4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15,048</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15,111</w:t>
            </w:r>
          </w:p>
        </w:tc>
        <w:tc>
          <w:tcPr>
            <w:tcW w:w="40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Net deferred tax asset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10,167</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valuation allowance for deferred tax assets for the year ended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160" w:type="dxa"/>
            <w:vAlign w:val="bottom"/>
            <w:gridSpan w:val="3"/>
          </w:tcPr>
          <w:p>
            <w:pPr>
              <w:ind w:left="2260"/>
              <w:spacing w:after="0"/>
              <w:rPr>
                <w:sz w:val="20"/>
                <w:szCs w:val="20"/>
                <w:color w:val="auto"/>
              </w:rPr>
            </w:pPr>
            <w:r>
              <w:rPr>
                <w:rFonts w:ascii="Arial" w:cs="Arial" w:eastAsia="Arial" w:hAnsi="Arial"/>
                <w:sz w:val="14"/>
                <w:szCs w:val="14"/>
                <w:b w:val="1"/>
                <w:bCs w:val="1"/>
                <w:color w:val="auto"/>
                <w:w w:val="96"/>
              </w:rPr>
              <w:t>December 31,</w:t>
            </w: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December 31,</w:t>
            </w:r>
          </w:p>
        </w:tc>
      </w:tr>
      <w:tr>
        <w:trPr>
          <w:trHeight w:val="178"/>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420" w:type="dxa"/>
            <w:vAlign w:val="bottom"/>
            <w:gridSpan w:val="2"/>
            <w:shd w:val="clear" w:color="auto" w:fill="CCEEFF"/>
          </w:tcPr>
          <w:p>
            <w:pPr>
              <w:ind w:left="22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42,695</w:t>
            </w:r>
          </w:p>
        </w:tc>
        <w:tc>
          <w:tcPr>
            <w:tcW w:w="74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8,700</w:t>
            </w: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Transferred from acquired company</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4,179</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 to expenses</w:t>
            </w: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52,866</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28,826</w:t>
            </w:r>
          </w:p>
        </w:tc>
      </w:tr>
      <w:tr>
        <w:trPr>
          <w:trHeight w:val="210"/>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Effect on foreign currency translation</w:t>
            </w: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4,455</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420" w:type="dxa"/>
            <w:vAlign w:val="bottom"/>
            <w:gridSpan w:val="2"/>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100,016</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42,695</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$10,167 thousand as of December 31, 2006 and $12,216 thousand as of December 31, 2005. Accordingly, the Company recorded a valuation allowance of $100,016 thousand and $42,695 thousand on its net deferred tax assets for 2006 and 2005, respectively.</w:t>
      </w:r>
    </w:p>
    <w:p>
      <w:pPr>
        <w:spacing w:after="0" w:line="155" w:lineRule="exact"/>
        <w:rPr>
          <w:sz w:val="20"/>
          <w:szCs w:val="20"/>
          <w:color w:val="auto"/>
        </w:rPr>
      </w:pPr>
    </w:p>
    <w:p>
      <w:pPr>
        <w:ind w:right="60" w:firstLine="571"/>
        <w:spacing w:after="0" w:line="275" w:lineRule="auto"/>
        <w:rPr>
          <w:sz w:val="20"/>
          <w:szCs w:val="20"/>
          <w:color w:val="auto"/>
        </w:rPr>
      </w:pPr>
      <w:r>
        <w:rPr>
          <w:rFonts w:ascii="Arial" w:cs="Arial" w:eastAsia="Arial" w:hAnsi="Arial"/>
          <w:sz w:val="16"/>
          <w:szCs w:val="16"/>
          <w:color w:val="auto"/>
        </w:rPr>
        <w:t>At December 31, 2006, the Company had approximately $209,881 thousand of net operating loss carry-forwards available to offset future taxable income, which expires in varying amounts starting from 2007 to 2011. Majority of net operating loss is related to MagnaChip Korea. The Company also has Korean and Dutch tax credit carry-forwards of approximately $9,319 thousand and $7,544 thousand, respectively. The Korean tax credits expire at various dates starting from 2010 to 2011, and the Dutch credits are carried forward to be used for an indefinite period of time.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and Segment Information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0"/>
                <w:szCs w:val="10"/>
                <w:color w:val="auto"/>
              </w:rPr>
            </w:pPr>
          </w:p>
        </w:tc>
        <w:tc>
          <w:tcPr>
            <w:tcW w:w="9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4"/>
          </w:tcPr>
          <w:p>
            <w:pPr>
              <w:ind w:left="8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273,656</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326,027</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60,352</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60,479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163,326</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58,069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142,050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342,416</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345,437</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88,295</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67,802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5"/>
              </w:rPr>
              <w:t>102,866</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36,866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230,475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segment net sales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744,353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937,656</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243,582</w:t>
            </w:r>
          </w:p>
        </w:tc>
        <w:tc>
          <w:tcPr>
            <w:tcW w:w="540" w:type="dxa"/>
            <w:vAlign w:val="bottom"/>
            <w:tcBorders>
              <w:right w:val="single" w:sz="8" w:color="auto"/>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841,588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35,603</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66,534</w:t>
            </w: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4,566</w:t>
            </w:r>
          </w:p>
        </w:tc>
        <w:tc>
          <w:tcPr>
            <w:tcW w:w="540" w:type="dxa"/>
            <w:vAlign w:val="bottom"/>
            <w:tcBorders>
              <w:right w:val="single" w:sz="8" w:color="auto"/>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(4,008)</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25,423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40"/>
              <w:spacing w:after="0" w:line="202" w:lineRule="exact"/>
              <w:rPr>
                <w:sz w:val="20"/>
                <w:szCs w:val="20"/>
                <w:color w:val="auto"/>
              </w:rPr>
            </w:pPr>
            <w:r>
              <w:rPr>
                <w:rFonts w:ascii="Arial" w:cs="Arial" w:eastAsia="Arial" w:hAnsi="Arial"/>
                <w:sz w:val="18"/>
                <w:szCs w:val="18"/>
                <w:color w:val="auto"/>
              </w:rPr>
              <w:t>12,695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56,659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45,712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110,389</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19,143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440"/>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22,134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6,311</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2,717</w:t>
            </w:r>
          </w:p>
        </w:tc>
        <w:tc>
          <w:tcPr>
            <w:tcW w:w="5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13,679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segment gross profit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99,441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208,657</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39,121</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summary of net sales by region, based on the location of the customer: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3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5"/>
              </w:rPr>
              <w:t>Three months</w:t>
            </w:r>
          </w:p>
        </w:tc>
        <w:tc>
          <w:tcPr>
            <w:tcW w:w="4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52"/>
        </w:trPr>
        <w:tc>
          <w:tcPr>
            <w:tcW w:w="6180" w:type="dxa"/>
            <w:vAlign w:val="bottom"/>
          </w:tcPr>
          <w:p>
            <w:pPr>
              <w:spacing w:after="0"/>
              <w:rPr>
                <w:sz w:val="13"/>
                <w:szCs w:val="13"/>
                <w:color w:val="auto"/>
              </w:rPr>
            </w:pPr>
          </w:p>
        </w:tc>
        <w:tc>
          <w:tcPr>
            <w:tcW w:w="23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right"/>
              <w:ind w:right="800"/>
              <w:spacing w:after="0" w:line="152"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9"/>
              <w:spacing w:after="0" w:line="152"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3"/>
          </w:tcPr>
          <w:p>
            <w:pPr>
              <w:jc w:val="right"/>
              <w:ind w:right="56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4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20" w:type="dxa"/>
            <w:vAlign w:val="bottom"/>
            <w:gridSpan w:val="3"/>
          </w:tcPr>
          <w:p>
            <w:pPr>
              <w:ind w:left="180"/>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65"/>
        </w:trPr>
        <w:tc>
          <w:tcPr>
            <w:tcW w:w="6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$ 413,670</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$ 512,366</w:t>
            </w:r>
          </w:p>
        </w:tc>
        <w:tc>
          <w:tcPr>
            <w:tcW w:w="4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127,208</w:t>
            </w:r>
          </w:p>
        </w:tc>
        <w:tc>
          <w:tcPr>
            <w:tcW w:w="56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455,616</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172,981</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251,173</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63,094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203,791</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78,321</w:t>
            </w:r>
          </w:p>
        </w:tc>
        <w:tc>
          <w:tcPr>
            <w:tcW w:w="162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97,841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38,000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143,190</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62,357</w:t>
            </w:r>
          </w:p>
        </w:tc>
        <w:tc>
          <w:tcPr>
            <w:tcW w:w="162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56,907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560"/>
              <w:spacing w:after="0" w:line="202" w:lineRule="exact"/>
              <w:rPr>
                <w:sz w:val="20"/>
                <w:szCs w:val="20"/>
                <w:color w:val="auto"/>
              </w:rPr>
            </w:pPr>
            <w:r>
              <w:rPr>
                <w:rFonts w:ascii="Arial" w:cs="Arial" w:eastAsia="Arial" w:hAnsi="Arial"/>
                <w:sz w:val="18"/>
                <w:szCs w:val="18"/>
                <w:color w:val="auto"/>
              </w:rPr>
              <w:t>11,677</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17,024</w:t>
            </w:r>
          </w:p>
        </w:tc>
        <w:tc>
          <w:tcPr>
            <w:tcW w:w="4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19,369</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3,603</w:t>
            </w:r>
          </w:p>
        </w:tc>
        <w:tc>
          <w:tcPr>
            <w:tcW w:w="5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21,603</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$ 744,353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$ 937,656</w:t>
            </w:r>
          </w:p>
        </w:tc>
        <w:tc>
          <w:tcPr>
            <w:tcW w:w="400" w:type="dxa"/>
            <w:vAlign w:val="bottom"/>
          </w:tcPr>
          <w:p>
            <w:pPr>
              <w:spacing w:after="0"/>
              <w:rPr>
                <w:sz w:val="18"/>
                <w:szCs w:val="18"/>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243,582</w:t>
            </w:r>
          </w:p>
        </w:tc>
        <w:tc>
          <w:tcPr>
            <w:tcW w:w="560" w:type="dxa"/>
            <w:vAlign w:val="bottom"/>
            <w:tcBorders>
              <w:right w:val="single" w:sz="8" w:color="auto"/>
            </w:tcBorders>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841,588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Over 99% of the Company’ property, plant and equipment are located in Korea as of December 31, 2006.</w:t>
      </w:r>
    </w:p>
    <w:p>
      <w:pPr>
        <w:spacing w:after="0" w:line="158"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Net sales from the Company’s top ten largest customers accounted for 66%, 63%, 62% and 63%, for the years ended December 31, 2006 and 2005, three months ended December 31, 2004, and nine months ended September 30, 2004, respectively.</w:t>
      </w:r>
    </w:p>
    <w:p>
      <w:pPr>
        <w:spacing w:after="0" w:line="155"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The Company recorded $193.1 million, $216.5 million and $27.2 million of sales to one customer within its Display Solutions segment, which represents greater than 10% of net sales, for the years ended December 31, 2006 and 2005 and the three months ended December 31, 2004,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right="8300" w:firstLine="8"/>
        <w:spacing w:after="0" w:line="384" w:lineRule="auto"/>
        <w:tabs>
          <w:tab w:leader="none" w:pos="293"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Agreements with Hynix</w:t>
      </w:r>
    </w:p>
    <w:p>
      <w:pPr>
        <w:ind w:right="100" w:firstLine="571"/>
        <w:spacing w:after="0" w:line="236" w:lineRule="auto"/>
        <w:rPr>
          <w:sz w:val="20"/>
          <w:szCs w:val="20"/>
          <w:color w:val="auto"/>
        </w:rPr>
      </w:pPr>
      <w:r>
        <w:rPr>
          <w:rFonts w:ascii="Arial" w:cs="Arial" w:eastAsia="Arial" w:hAnsi="Arial"/>
          <w:sz w:val="18"/>
          <w:szCs w:val="18"/>
          <w:color w:val="auto"/>
        </w:rPr>
        <w:t>In connection with the Original Acquisition, the Company entered into several definitive agreements with Hynix regarding key materials, campus facilities, research and development equipment and information technology, factory automation, wafer foundry services, and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services under these agreements generally lasts for one to five years from the date of the Original Acquisition. The obligation to provide certain services lasts indefinitely.</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Upon the closing of the Original Acquisition, MagnaChip Korea and Hynix also entered into lease agreements under which MagnaChip Korea leases from Hynix (i) certain exclusive-use space plus common- and joint-use space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leased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7"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The Company leases land, office building and equipments under various operating lease agreements that expire through 2034. Rental expenses were approximately $12,008 thousand and $13,913 thousand for the years ended December 31, 2006 and 2005, $2,910 thousand for the three-month period ended December 31, 2004 (successor company) and $2,318 thousand and $1,556 thousand for the nine-month period ended September 30, 2004 (predecessor company), respectively.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2006, the minimum aggregate rental payments due under non-cancelable lease contracts are as follows: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900" w:type="dxa"/>
            <w:vAlign w:val="bottom"/>
            <w:shd w:val="clear" w:color="auto" w:fill="CCEEFF"/>
          </w:tcPr>
          <w:p>
            <w:pPr>
              <w:jc w:val="right"/>
              <w:ind w:right="7412"/>
              <w:spacing w:after="0"/>
              <w:rPr>
                <w:sz w:val="20"/>
                <w:szCs w:val="20"/>
                <w:color w:val="auto"/>
              </w:rPr>
            </w:pPr>
            <w:r>
              <w:rPr>
                <w:rFonts w:ascii="Arial" w:cs="Arial" w:eastAsia="Arial" w:hAnsi="Arial"/>
                <w:sz w:val="18"/>
                <w:szCs w:val="18"/>
                <w:color w:val="auto"/>
                <w:w w:val="94"/>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$11,934</w:t>
            </w:r>
          </w:p>
        </w:tc>
      </w:tr>
      <w:tr>
        <w:trPr>
          <w:trHeight w:val="203"/>
        </w:trPr>
        <w:tc>
          <w:tcPr>
            <w:tcW w:w="7900" w:type="dxa"/>
            <w:vAlign w:val="bottom"/>
          </w:tcPr>
          <w:p>
            <w:pPr>
              <w:jc w:val="right"/>
              <w:ind w:right="7412"/>
              <w:spacing w:after="0" w:line="202" w:lineRule="exact"/>
              <w:rPr>
                <w:sz w:val="20"/>
                <w:szCs w:val="20"/>
                <w:color w:val="auto"/>
              </w:rPr>
            </w:pPr>
            <w:r>
              <w:rPr>
                <w:rFonts w:ascii="Arial" w:cs="Arial" w:eastAsia="Arial" w:hAnsi="Arial"/>
                <w:sz w:val="18"/>
                <w:szCs w:val="18"/>
                <w:color w:val="auto"/>
                <w:w w:val="94"/>
              </w:rPr>
              <w:t>2008</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11,935</w:t>
            </w:r>
          </w:p>
        </w:tc>
      </w:tr>
      <w:tr>
        <w:trPr>
          <w:trHeight w:val="203"/>
        </w:trPr>
        <w:tc>
          <w:tcPr>
            <w:tcW w:w="7900" w:type="dxa"/>
            <w:vAlign w:val="bottom"/>
            <w:shd w:val="clear" w:color="auto" w:fill="CCEEFF"/>
          </w:tcPr>
          <w:p>
            <w:pPr>
              <w:jc w:val="right"/>
              <w:ind w:right="7412"/>
              <w:spacing w:after="0" w:line="202" w:lineRule="exact"/>
              <w:rPr>
                <w:sz w:val="20"/>
                <w:szCs w:val="20"/>
                <w:color w:val="auto"/>
              </w:rPr>
            </w:pPr>
            <w:r>
              <w:rPr>
                <w:rFonts w:ascii="Arial" w:cs="Arial" w:eastAsia="Arial" w:hAnsi="Arial"/>
                <w:sz w:val="18"/>
                <w:szCs w:val="18"/>
                <w:color w:val="auto"/>
                <w:w w:val="94"/>
              </w:rPr>
              <w:t>2009</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11,936</w:t>
            </w:r>
          </w:p>
        </w:tc>
      </w:tr>
      <w:tr>
        <w:trPr>
          <w:trHeight w:val="203"/>
        </w:trPr>
        <w:tc>
          <w:tcPr>
            <w:tcW w:w="7900" w:type="dxa"/>
            <w:vAlign w:val="bottom"/>
          </w:tcPr>
          <w:p>
            <w:pPr>
              <w:jc w:val="right"/>
              <w:ind w:right="7412"/>
              <w:spacing w:after="0" w:line="202" w:lineRule="exact"/>
              <w:rPr>
                <w:sz w:val="20"/>
                <w:szCs w:val="20"/>
                <w:color w:val="auto"/>
              </w:rPr>
            </w:pPr>
            <w:r>
              <w:rPr>
                <w:rFonts w:ascii="Arial" w:cs="Arial" w:eastAsia="Arial" w:hAnsi="Arial"/>
                <w:sz w:val="18"/>
                <w:szCs w:val="18"/>
                <w:color w:val="auto"/>
                <w:w w:val="94"/>
              </w:rPr>
              <w:t>2010</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11,937</w:t>
            </w:r>
          </w:p>
        </w:tc>
      </w:tr>
      <w:tr>
        <w:trPr>
          <w:trHeight w:val="203"/>
        </w:trPr>
        <w:tc>
          <w:tcPr>
            <w:tcW w:w="7900" w:type="dxa"/>
            <w:vAlign w:val="bottom"/>
            <w:shd w:val="clear" w:color="auto" w:fill="CCEEFF"/>
          </w:tcPr>
          <w:p>
            <w:pPr>
              <w:jc w:val="right"/>
              <w:ind w:right="7412"/>
              <w:spacing w:after="0" w:line="202" w:lineRule="exact"/>
              <w:rPr>
                <w:sz w:val="20"/>
                <w:szCs w:val="20"/>
                <w:color w:val="auto"/>
              </w:rPr>
            </w:pPr>
            <w:r>
              <w:rPr>
                <w:rFonts w:ascii="Arial" w:cs="Arial" w:eastAsia="Arial" w:hAnsi="Arial"/>
                <w:sz w:val="18"/>
                <w:szCs w:val="18"/>
                <w:color w:val="auto"/>
                <w:w w:val="94"/>
              </w:rPr>
              <w:t>2011</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11,939</w:t>
            </w:r>
          </w:p>
        </w:tc>
      </w:tr>
      <w:tr>
        <w:trPr>
          <w:trHeight w:val="221"/>
        </w:trPr>
        <w:tc>
          <w:tcPr>
            <w:tcW w:w="7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$59,681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97"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An advisory agreement was entered into as of October 6, 2004 by and between the Company and advisors including CVC Management LLC (“CVC Management”), CVC Capital Partners Asia Limited (“CVC Capital”) and Francisco Partners Management LLC (“Francisco Partners”). The Company is to pay each of CVC Management and Francisco Partners an annual advisory fee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Company financial performances, the advisors agreed to waive the advisory fee in exchange for an extension of the initial term of the advisory agreements for a period of one year and, therefore, the Company did not accrue any expenses.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Undrawn line of credit</w:t>
      </w:r>
    </w:p>
    <w:p>
      <w:pPr>
        <w:spacing w:after="0" w:line="97"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The undrawn portion of the new senior secured credit line was $93,792 thousand, $82,956 thousand and $86,295 thousand as of December 31, 2006, 2005 and 2004,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9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As of December 31, 2006 and 2005, the Company has provided guarantees for bank loans that employees borrowed to participate in the issuance of new shares of Hynix in 1999. The outstanding balances of guarantees for payments provided by the Company amounted to approximately $248 thousand and $304 thousand as of December 31, 2006 and 2005,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9"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Funds related to CVC, Francisco Partners and CVC Asia Pacific own 34.1%, 34.1% and 18.3%, respectively, of the common units, and 35.9%, 35.9% and 19.3%, respectively, of the Series B units outstanding at December 31, 2006. Refer to “Item 12. Security Ownership of Certain Beneficial Owners and Management and Related Stockholder Matters” for details of ownership of each party.</w:t>
      </w:r>
    </w:p>
    <w:p>
      <w:pPr>
        <w:spacing w:after="0" w:line="154" w:lineRule="exact"/>
        <w:rPr>
          <w:sz w:val="20"/>
          <w:szCs w:val="20"/>
          <w:color w:val="auto"/>
        </w:rPr>
      </w:pPr>
    </w:p>
    <w:p>
      <w:pPr>
        <w:ind w:right="620" w:firstLine="571"/>
        <w:spacing w:after="0" w:line="239" w:lineRule="auto"/>
        <w:rPr>
          <w:sz w:val="20"/>
          <w:szCs w:val="20"/>
          <w:color w:val="auto"/>
        </w:rPr>
      </w:pPr>
      <w:r>
        <w:rPr>
          <w:rFonts w:ascii="Arial" w:cs="Arial" w:eastAsia="Arial" w:hAnsi="Arial"/>
          <w:sz w:val="18"/>
          <w:szCs w:val="18"/>
          <w:color w:val="auto"/>
        </w:rPr>
        <w:t>Hyundai Display Technology, Hyundai Information Technology and Hyundai ASTEC were all subsidiaries of Hynix. As a result of the Original Acquisition, these companies were all excluded from related parties of the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Transactions between the Company and its related parties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Nine months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ended</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5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December 31,</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60" w:type="dxa"/>
            <w:vAlign w:val="bottom"/>
            <w:gridSpan w:val="4"/>
          </w:tcPr>
          <w:p>
            <w:pPr>
              <w:jc w:val="center"/>
              <w:ind w:left="79"/>
              <w:spacing w:after="0" w:line="125" w:lineRule="exact"/>
              <w:rPr>
                <w:sz w:val="20"/>
                <w:szCs w:val="20"/>
                <w:color w:val="auto"/>
              </w:rPr>
            </w:pPr>
            <w:r>
              <w:rPr>
                <w:rFonts w:ascii="Arial" w:cs="Arial" w:eastAsia="Arial" w:hAnsi="Arial"/>
                <w:sz w:val="14"/>
                <w:szCs w:val="14"/>
                <w:b w:val="1"/>
                <w:bCs w:val="1"/>
                <w:color w:val="auto"/>
                <w:w w:val="96"/>
              </w:rPr>
              <w:t>(Successor Company)</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Hynix</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163,760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Hynix</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Hyundai Information Technology</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Hyundai ASTEC</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Other related parties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Advisory Fee</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Citigroup Venture Capital</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w:t>
            </w:r>
          </w:p>
        </w:tc>
        <w:tc>
          <w:tcPr>
            <w:tcW w:w="4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w:t>
            </w: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440"/>
              <w:spacing w:after="0" w:line="202" w:lineRule="exact"/>
              <w:rPr>
                <w:sz w:val="20"/>
                <w:szCs w:val="20"/>
                <w:color w:val="auto"/>
              </w:rPr>
            </w:pPr>
            <w:r>
              <w:rPr>
                <w:rFonts w:ascii="Arial" w:cs="Arial" w:eastAsia="Arial" w:hAnsi="Arial"/>
                <w:sz w:val="18"/>
                <w:szCs w:val="18"/>
                <w:color w:val="auto"/>
              </w:rPr>
              <w:t>Francisco Partners</w:t>
            </w:r>
          </w:p>
        </w:tc>
        <w:tc>
          <w:tcPr>
            <w:tcW w:w="180" w:type="dxa"/>
            <w:vAlign w:val="bottom"/>
          </w:tcPr>
          <w:p>
            <w:pPr>
              <w:spacing w:after="0"/>
              <w:rPr>
                <w:sz w:val="17"/>
                <w:szCs w:val="17"/>
                <w:color w:val="auto"/>
              </w:rPr>
            </w:pPr>
          </w:p>
        </w:tc>
        <w:tc>
          <w:tcPr>
            <w:tcW w:w="70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1,397</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66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CVC Asia Pacific</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660" w:type="dxa"/>
            <w:vAlign w:val="bottom"/>
            <w:tcBorders>
              <w:right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3,545</w:t>
            </w:r>
          </w:p>
        </w:tc>
        <w:tc>
          <w:tcPr>
            <w:tcW w:w="420" w:type="dxa"/>
            <w:vAlign w:val="bottom"/>
          </w:tcPr>
          <w:p>
            <w:pPr>
              <w:spacing w:after="0"/>
              <w:rPr>
                <w:sz w:val="18"/>
                <w:szCs w:val="18"/>
                <w:color w:val="auto"/>
              </w:rPr>
            </w:pP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66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Loans to employees as of December 31, 2006 and 2005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740" w:type="dxa"/>
            <w:vAlign w:val="bottom"/>
            <w:gridSpan w:val="3"/>
          </w:tcPr>
          <w:p>
            <w:pPr>
              <w:ind w:left="2840"/>
              <w:spacing w:after="0"/>
              <w:rPr>
                <w:sz w:val="20"/>
                <w:szCs w:val="20"/>
                <w:color w:val="auto"/>
              </w:rPr>
            </w:pPr>
            <w:r>
              <w:rPr>
                <w:rFonts w:ascii="Arial" w:cs="Arial" w:eastAsia="Arial" w:hAnsi="Arial"/>
                <w:sz w:val="14"/>
                <w:szCs w:val="14"/>
                <w:b w:val="1"/>
                <w:bCs w:val="1"/>
                <w:color w:val="auto"/>
                <w:w w:val="96"/>
              </w:rPr>
              <w:t>December 31,</w:t>
            </w:r>
          </w:p>
        </w:tc>
        <w:tc>
          <w:tcPr>
            <w:tcW w:w="1800" w:type="dxa"/>
            <w:vAlign w:val="bottom"/>
            <w:gridSpan w:val="3"/>
          </w:tcPr>
          <w:p>
            <w:pPr>
              <w:ind w:left="920"/>
              <w:spacing w:after="0"/>
              <w:rPr>
                <w:sz w:val="20"/>
                <w:szCs w:val="20"/>
                <w:color w:val="auto"/>
              </w:rPr>
            </w:pPr>
            <w:r>
              <w:rPr>
                <w:rFonts w:ascii="Arial" w:cs="Arial" w:eastAsia="Arial" w:hAnsi="Arial"/>
                <w:sz w:val="14"/>
                <w:szCs w:val="14"/>
                <w:b w:val="1"/>
                <w:bCs w:val="1"/>
                <w:color w:val="auto"/>
                <w:w w:val="94"/>
              </w:rPr>
              <w:t>December 31,</w:t>
            </w: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2005</w:t>
            </w: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jc w:val="center"/>
              <w:ind w:right="2772"/>
              <w:spacing w:after="0" w:line="196" w:lineRule="exact"/>
              <w:rPr>
                <w:sz w:val="20"/>
                <w:szCs w:val="20"/>
                <w:color w:val="auto"/>
              </w:rPr>
            </w:pPr>
            <w:r>
              <w:rPr>
                <w:rFonts w:ascii="Arial" w:cs="Arial" w:eastAsia="Arial" w:hAnsi="Arial"/>
                <w:sz w:val="18"/>
                <w:szCs w:val="18"/>
                <w:color w:val="auto"/>
                <w:w w:val="96"/>
              </w:rPr>
              <w:t>Short-term loans</w:t>
            </w:r>
          </w:p>
        </w:tc>
        <w:tc>
          <w:tcPr>
            <w:tcW w:w="3040" w:type="dxa"/>
            <w:vAlign w:val="bottom"/>
            <w:gridSpan w:val="2"/>
            <w:shd w:val="clear" w:color="auto" w:fill="CCEEFF"/>
          </w:tcPr>
          <w:p>
            <w:pPr>
              <w:ind w:left="284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1100" w:type="dxa"/>
            <w:vAlign w:val="bottom"/>
            <w:gridSpan w:val="2"/>
            <w:shd w:val="clear" w:color="auto" w:fill="CCEEFF"/>
          </w:tcPr>
          <w:p>
            <w:pPr>
              <w:ind w:left="9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10"/>
        </w:trPr>
        <w:tc>
          <w:tcPr>
            <w:tcW w:w="4160" w:type="dxa"/>
            <w:vAlign w:val="bottom"/>
            <w:gridSpan w:val="2"/>
          </w:tcPr>
          <w:p>
            <w:pPr>
              <w:jc w:val="center"/>
              <w:ind w:right="2792"/>
              <w:spacing w:after="0" w:line="202" w:lineRule="exact"/>
              <w:rPr>
                <w:sz w:val="20"/>
                <w:szCs w:val="20"/>
                <w:color w:val="auto"/>
              </w:rPr>
            </w:pPr>
            <w:r>
              <w:rPr>
                <w:rFonts w:ascii="Arial" w:cs="Arial" w:eastAsia="Arial" w:hAnsi="Arial"/>
                <w:sz w:val="18"/>
                <w:szCs w:val="18"/>
                <w:color w:val="auto"/>
                <w:w w:val="98"/>
              </w:rPr>
              <w:t>Long-term loans</w:t>
            </w:r>
          </w:p>
        </w:tc>
        <w:tc>
          <w:tcPr>
            <w:tcW w:w="2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w:t>
            </w: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jc w:val="center"/>
              <w:ind w:right="2852"/>
              <w:spacing w:after="0" w:line="202" w:lineRule="exact"/>
              <w:rPr>
                <w:sz w:val="20"/>
                <w:szCs w:val="20"/>
                <w:color w:val="auto"/>
              </w:rPr>
            </w:pPr>
            <w:r>
              <w:rPr>
                <w:rFonts w:ascii="Arial" w:cs="Arial" w:eastAsia="Arial" w:hAnsi="Arial"/>
                <w:sz w:val="18"/>
                <w:szCs w:val="18"/>
                <w:color w:val="auto"/>
                <w:w w:val="89"/>
              </w:rPr>
              <w:t>Total</w:t>
            </w:r>
          </w:p>
        </w:tc>
        <w:tc>
          <w:tcPr>
            <w:tcW w:w="3040" w:type="dxa"/>
            <w:vAlign w:val="bottom"/>
            <w:gridSpan w:val="2"/>
            <w:shd w:val="clear" w:color="auto" w:fill="CCEEFF"/>
          </w:tcPr>
          <w:p>
            <w:pPr>
              <w:ind w:left="28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110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illustrates the computation of basic and diluted loss per common unit:</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Three months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160"/>
              <w:spacing w:after="0" w:line="118"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6"/>
              </w:rPr>
              <w:t>(Successor Company)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(229,310)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(100,898)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3"/>
        </w:trPr>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preferred unitholders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(10,912)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(9,928)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(240,222)</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(110,826)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common units outstanding</w:t>
            </w:r>
          </w:p>
        </w:tc>
        <w:tc>
          <w:tcPr>
            <w:tcW w:w="1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52,911,734</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52,898,497</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50,061,910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unit</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(4.54)</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40" w:type="dxa"/>
            <w:vAlign w:val="bottom"/>
            <w:gridSpan w:val="2"/>
          </w:tcPr>
          <w:p>
            <w:pPr>
              <w:jc w:val="right"/>
              <w:ind w:right="319"/>
              <w:spacing w:after="0"/>
              <w:rPr>
                <w:sz w:val="20"/>
                <w:szCs w:val="20"/>
                <w:color w:val="auto"/>
              </w:rPr>
            </w:pPr>
            <w:r>
              <w:rPr>
                <w:rFonts w:ascii="Arial" w:cs="Arial" w:eastAsia="Arial" w:hAnsi="Arial"/>
                <w:sz w:val="18"/>
                <w:szCs w:val="18"/>
                <w:color w:val="auto"/>
              </w:rPr>
              <w:t>F-37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following outstanding redeemable convertible preferred unit issued, stock-options granted and warrants issued were excluded from the computation of diluted loss per unit as they would have an anti-dilutive effects on the calculation:</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December 31,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65"/>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2004</w:t>
            </w: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(Successor Company)</w:t>
            </w:r>
          </w:p>
        </w:tc>
        <w:tc>
          <w:tcPr>
            <w:tcW w:w="9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units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93,997</w:t>
            </w: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5,069,528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3,780,643</w:t>
            </w: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1,146,178</w:t>
            </w: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59" w:right="2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Below are condensed consolidating balance sheets as of December 31, 2006 and 2005, condensed consolidating statements of operations and of cash flows for the year ended December 31, 2006 and 2005 and for the three months ended December 31, 2004 of those entities that guarantee the Senior Subordinated Notes, those that do not, MagnaChip Semiconductor LLC, and the co-issuers.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718,126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352,152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(325,926)</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744,352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636,349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313,699</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(305,137)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644,911</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81,777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38,453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99,441</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87,677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135,361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17,828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(21,937)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94,041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94,266</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(223,574)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9,558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(213,754)</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(16,094)</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(6,298)</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 loss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8,808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(223,536)</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(6,536)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(220,052)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8,932</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8"/>
                <w:szCs w:val="18"/>
                <w:color w:val="auto"/>
              </w:rPr>
            </w:pP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8,638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(15,468)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(229,209)</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(243,820)</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(224,982)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(229,310)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(240,222)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(240,222)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F-39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LLC (Parent)</w:t>
            </w:r>
          </w:p>
        </w:tc>
        <w:tc>
          <w:tcPr>
            <w:tcW w:w="4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Co-Issuers</w:t>
            </w:r>
          </w:p>
        </w:tc>
        <w:tc>
          <w:tcPr>
            <w:tcW w:w="400" w:type="dxa"/>
            <w:vAlign w:val="bottom"/>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Non-Guarantors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4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80" w:type="dxa"/>
            <w:vAlign w:val="bottom"/>
          </w:tcPr>
          <w:p>
            <w:pPr>
              <w:spacing w:after="0"/>
              <w:rPr>
                <w:sz w:val="14"/>
                <w:szCs w:val="14"/>
                <w:color w:val="auto"/>
              </w:rPr>
            </w:pPr>
          </w:p>
        </w:tc>
      </w:tr>
      <w:tr>
        <w:trPr>
          <w:trHeight w:val="196"/>
        </w:trPr>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914,445</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$ 431,339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5"/>
              </w:rPr>
              <w:t>(408,128)</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937,656</w:t>
            </w:r>
          </w:p>
        </w:tc>
        <w:tc>
          <w:tcPr>
            <w:tcW w:w="80" w:type="dxa"/>
            <w:vAlign w:val="bottom"/>
            <w:shd w:val="clear" w:color="auto" w:fill="CCEEFF"/>
          </w:tcPr>
          <w:p>
            <w:pPr>
              <w:spacing w:after="0"/>
              <w:rPr>
                <w:sz w:val="17"/>
                <w:szCs w:val="17"/>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723,844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406,669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(401,514)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728,999</w:t>
            </w:r>
          </w:p>
        </w:tc>
        <w:tc>
          <w:tcPr>
            <w:tcW w:w="80" w:type="dxa"/>
            <w:vAlign w:val="bottom"/>
          </w:tcPr>
          <w:p>
            <w:pPr>
              <w:spacing w:after="0"/>
              <w:rPr>
                <w:sz w:val="17"/>
                <w:szCs w:val="17"/>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208,657</w:t>
            </w:r>
          </w:p>
        </w:tc>
        <w:tc>
          <w:tcPr>
            <w:tcW w:w="80" w:type="dxa"/>
            <w:vAlign w:val="bottom"/>
            <w:shd w:val="clear" w:color="auto" w:fill="CCEEFF"/>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107,326</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123,211</w:t>
            </w:r>
          </w:p>
        </w:tc>
        <w:tc>
          <w:tcPr>
            <w:tcW w:w="80" w:type="dxa"/>
            <w:vAlign w:val="bottom"/>
          </w:tcPr>
          <w:p>
            <w:pPr>
              <w:spacing w:after="0"/>
              <w:rPr>
                <w:sz w:val="18"/>
                <w:szCs w:val="18"/>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101,318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11,018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107,590</w:t>
            </w:r>
          </w:p>
        </w:tc>
        <w:tc>
          <w:tcPr>
            <w:tcW w:w="80" w:type="dxa"/>
            <w:vAlign w:val="bottom"/>
            <w:shd w:val="clear" w:color="auto" w:fill="CCEEFF"/>
          </w:tcPr>
          <w:p>
            <w:pPr>
              <w:spacing w:after="0"/>
              <w:rPr>
                <w:sz w:val="17"/>
                <w:szCs w:val="17"/>
                <w:color w:val="auto"/>
              </w:rPr>
            </w:pPr>
          </w:p>
        </w:tc>
      </w:tr>
      <w:tr>
        <w:trPr>
          <w:trHeight w:val="210"/>
        </w:trPr>
        <w:tc>
          <w:tcPr>
            <w:tcW w:w="37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80" w:type="dxa"/>
            <w:vAlign w:val="bottom"/>
          </w:tcPr>
          <w:p>
            <w:pPr>
              <w:spacing w:after="0"/>
              <w:rPr>
                <w:sz w:val="18"/>
                <w:szCs w:val="18"/>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(54,277)</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(58,378)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Other income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(13,731)</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(35,577)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(40,704)</w:t>
            </w:r>
          </w:p>
        </w:tc>
      </w:tr>
      <w:tr>
        <w:trPr>
          <w:trHeight w:val="206"/>
        </w:trPr>
        <w:tc>
          <w:tcPr>
            <w:tcW w:w="3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w:t>
            </w: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7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loss of related equity investment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(15,607)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6,750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(99,082)</w:t>
            </w: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8"/>
                <w:szCs w:val="18"/>
                <w:color w:val="auto"/>
              </w:rPr>
            </w:pPr>
          </w:p>
        </w:tc>
      </w:tr>
      <w:tr>
        <w:trPr>
          <w:trHeight w:val="206"/>
        </w:trPr>
        <w:tc>
          <w:tcPr>
            <w:tcW w:w="37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7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(15,770)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5,097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(100,898)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(100,364)</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(78,445)</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(86,985)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265,794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(100,898)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(100,898)</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74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9,928</w:t>
            </w:r>
          </w:p>
        </w:tc>
        <w:tc>
          <w:tcPr>
            <w:tcW w:w="100" w:type="dxa"/>
            <w:vAlign w:val="bottom"/>
          </w:tcPr>
          <w:p>
            <w:pPr>
              <w:spacing w:after="0"/>
              <w:rPr>
                <w:sz w:val="17"/>
                <w:szCs w:val="17"/>
                <w:color w:val="auto"/>
              </w:rPr>
            </w:pPr>
          </w:p>
        </w:tc>
        <w:tc>
          <w:tcPr>
            <w:tcW w:w="10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9,928</w:t>
            </w:r>
          </w:p>
        </w:tc>
        <w:tc>
          <w:tcPr>
            <w:tcW w:w="80" w:type="dxa"/>
            <w:vAlign w:val="bottom"/>
          </w:tcPr>
          <w:p>
            <w:pPr>
              <w:spacing w:after="0"/>
              <w:rPr>
                <w:sz w:val="17"/>
                <w:szCs w:val="17"/>
                <w:color w:val="auto"/>
              </w:rPr>
            </w:pPr>
          </w:p>
        </w:tc>
      </w:tr>
      <w:tr>
        <w:trPr>
          <w:trHeight w:val="27"/>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(110,826)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(110,826)</w:t>
            </w:r>
          </w:p>
        </w:tc>
      </w:tr>
      <w:tr>
        <w:trPr>
          <w:trHeight w:val="20"/>
        </w:trPr>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F-40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MagnaChip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424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LLC (Parent)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Co-Issuers</w:t>
            </w:r>
          </w:p>
        </w:tc>
        <w:tc>
          <w:tcPr>
            <w:tcW w:w="40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Non-Guarantors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60" w:type="dxa"/>
            <w:vAlign w:val="bottom"/>
          </w:tcPr>
          <w:p>
            <w:pPr>
              <w:spacing w:after="0"/>
              <w:rPr>
                <w:sz w:val="14"/>
                <w:szCs w:val="14"/>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241,149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$116,639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5"/>
              </w:rPr>
              <w:t>(114,206)</w:t>
            </w:r>
          </w:p>
        </w:tc>
        <w:tc>
          <w:tcPr>
            <w:tcW w:w="34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243,582</w:t>
            </w: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203,089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114,063</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5"/>
              </w:rPr>
              <w:t>(112,691)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204,461</w:t>
            </w:r>
          </w:p>
        </w:tc>
        <w:tc>
          <w:tcPr>
            <w:tcW w:w="60" w:type="dxa"/>
            <w:vAlign w:val="bottom"/>
          </w:tcPr>
          <w:p>
            <w:pPr>
              <w:spacing w:after="0"/>
              <w:rPr>
                <w:sz w:val="17"/>
                <w:szCs w:val="17"/>
                <w:color w:val="auto"/>
              </w:rPr>
            </w:pP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38,060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39,121</w:t>
            </w:r>
          </w:p>
        </w:tc>
        <w:tc>
          <w:tcPr>
            <w:tcW w:w="6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27,174</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29,784</w:t>
            </w:r>
          </w:p>
        </w:tc>
        <w:tc>
          <w:tcPr>
            <w:tcW w:w="60" w:type="dxa"/>
            <w:vAlign w:val="bottom"/>
          </w:tcPr>
          <w:p>
            <w:pPr>
              <w:spacing w:after="0"/>
              <w:rPr>
                <w:sz w:val="18"/>
                <w:szCs w:val="18"/>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22,058</w:t>
            </w:r>
          </w:p>
        </w:tc>
        <w:tc>
          <w:tcPr>
            <w:tcW w:w="60" w:type="dxa"/>
            <w:vAlign w:val="bottom"/>
            <w:shd w:val="clear" w:color="auto" w:fill="CCEEFF"/>
          </w:tcPr>
          <w:p>
            <w:pPr>
              <w:spacing w:after="0"/>
              <w:rPr>
                <w:sz w:val="17"/>
                <w:szCs w:val="17"/>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(11,172)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(12,721)</w:t>
            </w: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11,908</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7,857</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(8,732)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13,621</w:t>
            </w:r>
          </w:p>
        </w:tc>
        <w:tc>
          <w:tcPr>
            <w:tcW w:w="60" w:type="dxa"/>
            <w:vAlign w:val="bottom"/>
            <w:shd w:val="clear" w:color="auto" w:fill="CCEEFF"/>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Income (loss) before income taxes, equity in</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4240" w:type="dxa"/>
            <w:vAlign w:val="bottom"/>
          </w:tcPr>
          <w:p>
            <w:pPr>
              <w:ind w:left="220"/>
              <w:spacing w:after="0" w:line="200" w:lineRule="exact"/>
              <w:rPr>
                <w:sz w:val="20"/>
                <w:szCs w:val="20"/>
                <w:color w:val="auto"/>
              </w:rPr>
            </w:pPr>
            <w:r>
              <w:rPr>
                <w:rFonts w:ascii="Arial" w:cs="Arial" w:eastAsia="Arial" w:hAnsi="Arial"/>
                <w:sz w:val="18"/>
                <w:szCs w:val="18"/>
                <w:color w:val="auto"/>
              </w:rPr>
              <w:t>earnings (loss) of related equity investment</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2,586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11,888</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(3,315)</w:t>
            </w:r>
          </w:p>
        </w:tc>
        <w:tc>
          <w:tcPr>
            <w:tcW w:w="130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(8,744)</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(1,515)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900</w:t>
            </w: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6,725</w:t>
            </w:r>
          </w:p>
        </w:tc>
        <w:tc>
          <w:tcPr>
            <w:tcW w:w="60" w:type="dxa"/>
            <w:vAlign w:val="bottom"/>
            <w:shd w:val="clear" w:color="auto" w:fill="CCEEFF"/>
          </w:tcPr>
          <w:p>
            <w:pPr>
              <w:spacing w:after="0"/>
              <w:rPr>
                <w:sz w:val="17"/>
                <w:szCs w:val="17"/>
                <w:color w:val="auto"/>
              </w:rPr>
            </w:pPr>
          </w:p>
        </w:tc>
      </w:tr>
      <w:tr>
        <w:trPr>
          <w:trHeight w:val="213"/>
        </w:trPr>
        <w:tc>
          <w:tcPr>
            <w:tcW w:w="4240" w:type="dxa"/>
            <w:vAlign w:val="bottom"/>
          </w:tcPr>
          <w:p>
            <w:pPr>
              <w:spacing w:after="0"/>
              <w:rPr>
                <w:sz w:val="20"/>
                <w:szCs w:val="20"/>
                <w:color w:val="auto"/>
              </w:rPr>
            </w:pPr>
            <w:r>
              <w:rPr>
                <w:rFonts w:ascii="Arial" w:cs="Arial" w:eastAsia="Arial" w:hAnsi="Arial"/>
                <w:sz w:val="18"/>
                <w:szCs w:val="18"/>
                <w:color w:val="auto"/>
              </w:rPr>
              <w:t>Income (loss) before equity in earnings (loss) of</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4240" w:type="dxa"/>
            <w:vAlign w:val="bottom"/>
          </w:tcPr>
          <w:p>
            <w:pPr>
              <w:ind w:left="220"/>
              <w:spacing w:after="0" w:line="200" w:lineRule="exact"/>
              <w:rPr>
                <w:sz w:val="20"/>
                <w:szCs w:val="20"/>
                <w:color w:val="auto"/>
              </w:rPr>
            </w:pPr>
            <w:r>
              <w:rPr>
                <w:rFonts w:ascii="Arial" w:cs="Arial" w:eastAsia="Arial" w:hAnsi="Arial"/>
                <w:sz w:val="18"/>
                <w:szCs w:val="18"/>
                <w:color w:val="auto"/>
              </w:rPr>
              <w:t>related Investment</w:t>
            </w: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2,586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11,888</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line="200" w:lineRule="exact"/>
              <w:rPr>
                <w:sz w:val="20"/>
                <w:szCs w:val="20"/>
                <w:color w:val="auto"/>
              </w:rPr>
            </w:pPr>
            <w:r>
              <w:rPr>
                <w:rFonts w:ascii="Arial" w:cs="Arial" w:eastAsia="Arial" w:hAnsi="Arial"/>
                <w:sz w:val="18"/>
                <w:szCs w:val="18"/>
                <w:color w:val="auto"/>
              </w:rPr>
              <w:t>(9,364)</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(1,515)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(5,825)</w:t>
            </w:r>
          </w:p>
        </w:tc>
      </w:tr>
      <w:tr>
        <w:trPr>
          <w:trHeight w:val="27"/>
        </w:trPr>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5"/>
              </w:rPr>
              <w:t>(20,581)</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(9,420)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38,412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(8,693)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 (18,784)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(5,825)</w:t>
            </w:r>
          </w:p>
        </w:tc>
      </w:tr>
      <w:tr>
        <w:trPr>
          <w:trHeight w:val="20"/>
        </w:trPr>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13,428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13,428</w:t>
            </w:r>
          </w:p>
        </w:tc>
        <w:tc>
          <w:tcPr>
            <w:tcW w:w="60" w:type="dxa"/>
            <w:vAlign w:val="bottom"/>
            <w:shd w:val="clear" w:color="auto" w:fill="CCEEFF"/>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(19,253)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(8,693)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 (18,784)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36,897</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(19,253)</w:t>
            </w:r>
          </w:p>
        </w:tc>
      </w:tr>
      <w:tr>
        <w:trPr>
          <w:trHeight w:val="20"/>
        </w:trPr>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ind w:right="820"/>
              <w:spacing w:after="0"/>
              <w:rPr>
                <w:sz w:val="20"/>
                <w:szCs w:val="20"/>
                <w:color w:val="auto"/>
              </w:rPr>
            </w:pPr>
            <w:r>
              <w:rPr>
                <w:rFonts w:ascii="Arial" w:cs="Arial" w:eastAsia="Arial" w:hAnsi="Arial"/>
                <w:sz w:val="18"/>
                <w:szCs w:val="18"/>
                <w:color w:val="auto"/>
              </w:rPr>
              <w:t>F-41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86,488</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34,971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55,676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5,244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28,133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15,862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12,843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(21,829)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379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17,472</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232,859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87,356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(94,002)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334,809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117,101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22,628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(167,545)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(246,126)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(77,489)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491,160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791,648</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633,987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21,349</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41,972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(167,166)</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584,343</w:t>
            </w: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726,741</w:t>
            </w:r>
          </w:p>
        </w:tc>
        <w:tc>
          <w:tcPr>
            <w:tcW w:w="3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677,654</w:t>
            </w:r>
          </w:p>
        </w:tc>
        <w:tc>
          <w:tcPr>
            <w:tcW w:w="20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(1,051,519)</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67,002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3,135</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22,040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142,689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(93,964)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62,550</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827,430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(1,542,641)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117,374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136,229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(265,055)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(338,112)</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(323,358)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(412,488)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1,073,958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31,351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(284,541)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(169,131)</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(100,689)</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(221,302)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491,122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FOR THE YEARS ENDED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 2005 AND 2004—(Continued)</w:t>
      </w: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841</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63,435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22,089</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2,837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131,669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55,057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82,348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35,013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7,792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20,097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(54,119)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22,382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9,987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(28,284)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35,222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23,941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298,068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110,944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(158,385)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309,790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484,019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485,077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165,369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(38,942)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(130,945)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774,199</w:t>
            </w:r>
          </w:p>
        </w:tc>
        <w:tc>
          <w:tcPr>
            <w:tcW w:w="3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621,311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(1,395,510)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24,153</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45,370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60,978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783,351</w:t>
            </w: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992,826</w:t>
            </w:r>
          </w:p>
        </w:tc>
        <w:tc>
          <w:tcPr>
            <w:tcW w:w="3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914,595</w:t>
            </w:r>
          </w:p>
        </w:tc>
        <w:tc>
          <w:tcPr>
            <w:tcW w:w="200" w:type="dxa"/>
            <w:vAlign w:val="bottom"/>
          </w:tcPr>
          <w:p>
            <w:pPr>
              <w:spacing w:after="0"/>
              <w:rPr>
                <w:sz w:val="13"/>
                <w:szCs w:val="13"/>
                <w:color w:val="auto"/>
              </w:rPr>
            </w:pP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(1,711,103)</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1,040,647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94,581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74,003</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(74,673)</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440</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68,703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(54,119)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3,139</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24,560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26,331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(25,062)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162</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3,746</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3,741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191,590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129,094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(157,076)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168,349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621,311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774,199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(1,395,510)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54,854</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5,272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753,741</w:t>
            </w: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873,027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931,750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(1,578,849)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980,669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106,462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106,462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106,462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53,092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102,986</w:t>
            </w:r>
          </w:p>
        </w:tc>
        <w:tc>
          <w:tcPr>
            <w:tcW w:w="3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58,364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(200,355)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1,027</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155,212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(130,092)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(102,930)</w:t>
            </w:r>
          </w:p>
        </w:tc>
        <w:tc>
          <w:tcPr>
            <w:tcW w:w="32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(99,666)</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(172,038)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374,634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28,347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28,527</w:t>
            </w:r>
          </w:p>
        </w:tc>
        <w:tc>
          <w:tcPr>
            <w:tcW w:w="3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25,248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(78,305)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(46,484)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29,610</w:t>
            </w:r>
          </w:p>
        </w:tc>
        <w:tc>
          <w:tcPr>
            <w:tcW w:w="3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119,799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(17,155)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(132,254)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60,978</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783,351</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992,826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914,595</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(1,711,103)</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1,040,647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(229,310)</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(235,182)</w:t>
            </w: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(223,692)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(240,450)</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699,324</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184,430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11,478</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(17,449)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(54,564)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17,825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92,858</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Unit/stock-based compensation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229,209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243,820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224,982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(698,011)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53,839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32,884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(11,283)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1,954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(34,451)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(33,851)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(29,954)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6,521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9,752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(9,678)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(8,589)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35,167</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(5,235)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30,470</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(38,194)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(2,085)</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2,819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(1,485)</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6,226</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9,173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63,435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3"/>
                <w:szCs w:val="13"/>
                <w:color w:val="auto"/>
              </w:rPr>
            </w:pP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LLC (Parent)</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(100,898)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(94,215)</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(89,854)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(81,888)</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265,957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196,669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16,486</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21,841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(16,288)</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(21,433)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33,576</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100,364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78,445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(265,794)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(31,412)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(3,312)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63,970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(19,536)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17,802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(12,935)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29,438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(62,561)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(17,802)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(5,591)</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1,878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(4,968)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(31,266)</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83,209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(62,113)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(2,174)</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Acquisition of business, net of cash acquired of $4,620 for the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year ended December 31, 2005</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(9,897)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Increase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long-term inter-company loans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Decrease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2,045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(51,917)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(11,330)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(64,072)</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(757)</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 paid</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2,395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33,764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28,178</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29,671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209</w:t>
            </w:r>
          </w:p>
        </w:tc>
        <w:tc>
          <w:tcPr>
            <w:tcW w:w="3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841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63,435</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22,089</w:t>
            </w:r>
          </w:p>
        </w:tc>
        <w:tc>
          <w:tcPr>
            <w:tcW w:w="180" w:type="dxa"/>
            <w:vAlign w:val="bottom"/>
          </w:tcPr>
          <w:p>
            <w:pPr>
              <w:spacing w:after="0"/>
              <w:rPr>
                <w:sz w:val="13"/>
                <w:szCs w:val="13"/>
                <w:color w:val="auto"/>
              </w:rPr>
            </w:pPr>
          </w:p>
        </w:tc>
        <w:tc>
          <w:tcPr>
            <w:tcW w:w="32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2004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MagnaChip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LLC (Parent)</w:t>
            </w:r>
          </w:p>
        </w:tc>
        <w:tc>
          <w:tcPr>
            <w:tcW w:w="1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(5,825)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(8,693)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(18,784)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36,897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45,847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(7,914)</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(32,733)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7,384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8,411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20,581</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9,420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(38,412)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(55,968)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(42,559)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55,257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36,137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(1,172)</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(810)</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(55,266)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(1,651)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(34,196)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56,392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(55,257)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121,181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(7,428)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1,128</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16,257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6,235</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(5,909)</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(1,815)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5,909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6,965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2,877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(2,898)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(1,003)</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(1,276)</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38,535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17,285</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(23,261)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business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(488,152)</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Increase in restricted cash</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(12,350)</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 (purchase) of related investment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(26,026)</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(194,015)</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199,318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Decrease (increase) of intercompany loans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291,824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(398,250)</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(619,991)</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726,417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312,547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(424,276)</w:t>
            </w:r>
          </w:p>
        </w:tc>
        <w:tc>
          <w:tcPr>
            <w:tcW w:w="300" w:type="dxa"/>
            <w:vAlign w:val="bottom"/>
          </w:tcPr>
          <w:p>
            <w:pPr>
              <w:spacing w:after="0"/>
              <w:rPr>
                <w:sz w:val="13"/>
                <w:szCs w:val="13"/>
                <w:color w:val="auto"/>
              </w:rPr>
            </w:pPr>
          </w:p>
        </w:tc>
        <w:tc>
          <w:tcPr>
            <w:tcW w:w="10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(525,897)</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(814,092)</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925,735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(525,983)</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Proceeds from issuance of Senior Secured and Subordinated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Notes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41,000</w:t>
            </w:r>
          </w:p>
        </w:tc>
        <w:tc>
          <w:tcPr>
            <w:tcW w:w="3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721</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50,212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(91,213)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663,878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669,396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(1,287,407)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1,429</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203,208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26,351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(230,988)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redeemable convertible preferred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(332,824)</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(321,030)</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653,854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long-term borrowings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(347,718)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Redemption of redeemable convertible preferred units</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(406,786)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(406,786)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preferred dividends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420"/>
              <w:spacing w:after="0" w:line="149" w:lineRule="exact"/>
              <w:rPr>
                <w:sz w:val="20"/>
                <w:szCs w:val="20"/>
                <w:color w:val="auto"/>
              </w:rPr>
            </w:pPr>
            <w:r>
              <w:rPr>
                <w:rFonts w:ascii="Arial" w:cs="Arial" w:eastAsia="Arial" w:hAnsi="Arial"/>
                <w:sz w:val="14"/>
                <w:szCs w:val="14"/>
                <w:color w:val="auto"/>
              </w:rPr>
              <w:t>Debt issuance costs paid</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(22,020)</w:t>
            </w:r>
          </w:p>
        </w:tc>
        <w:tc>
          <w:tcPr>
            <w:tcW w:w="3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(5,615)</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(22,476)</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22,476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tcPr>
          <w:p>
            <w:pPr>
              <w:spacing w:after="0"/>
              <w:rPr>
                <w:sz w:val="13"/>
                <w:szCs w:val="13"/>
                <w:color w:val="auto"/>
              </w:rPr>
            </w:pPr>
          </w:p>
        </w:tc>
        <w:tc>
          <w:tcPr>
            <w:tcW w:w="10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(411,221)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415,109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514,458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424,929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(933,278)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7,624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(127,597)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(10,443)</w:t>
            </w:r>
          </w:p>
        </w:tc>
        <w:tc>
          <w:tcPr>
            <w:tcW w:w="3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29,662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(380,106)</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(488,484)</w:t>
            </w: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13,644</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403,244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546,880</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2,386</w:t>
            </w:r>
          </w:p>
        </w:tc>
        <w:tc>
          <w:tcPr>
            <w:tcW w:w="180" w:type="dxa"/>
            <w:vAlign w:val="bottom"/>
          </w:tcPr>
          <w:p>
            <w:pPr>
              <w:spacing w:after="0"/>
              <w:rPr>
                <w:sz w:val="13"/>
                <w:szCs w:val="13"/>
                <w:color w:val="auto"/>
              </w:rPr>
            </w:pP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3,201</w:t>
            </w: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29,671</w:t>
            </w:r>
          </w:p>
        </w:tc>
        <w:tc>
          <w:tcPr>
            <w:tcW w:w="3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23,138</w:t>
            </w:r>
          </w:p>
        </w:tc>
        <w:tc>
          <w:tcPr>
            <w:tcW w:w="3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61,934</w:t>
            </w: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124,342</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94,100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57,846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7,050</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10,775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298,201</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281,022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115,496</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47,541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742,260</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121,221</w:t>
            </w:r>
          </w:p>
        </w:tc>
        <w:tc>
          <w:tcPr>
            <w:tcW w:w="400" w:type="dxa"/>
            <w:vAlign w:val="bottom"/>
          </w:tcPr>
          <w:p>
            <w:pPr>
              <w:spacing w:after="0"/>
              <w:rPr>
                <w:sz w:val="17"/>
                <w:szCs w:val="17"/>
                <w:color w:val="auto"/>
              </w:rPr>
            </w:pPr>
          </w:p>
        </w:tc>
        <w:tc>
          <w:tcPr>
            <w:tcW w:w="46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31,713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30,181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23,647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50,601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238,878</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72,307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1,068,224</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937,220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Series A redeemable convertible preferred units, $1,000 par value; 60,000 units authorized, 50,091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units issued and 0 unit outstanding at September 30, 2007 and December 31, 2006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820" w:type="dxa"/>
            <w:vAlign w:val="bottom"/>
          </w:tcPr>
          <w:p>
            <w:pPr>
              <w:ind w:left="440"/>
              <w:spacing w:after="0" w:line="206" w:lineRule="exact"/>
              <w:rPr>
                <w:sz w:val="20"/>
                <w:szCs w:val="20"/>
                <w:color w:val="auto"/>
              </w:rPr>
            </w:pPr>
            <w:r>
              <w:rPr>
                <w:rFonts w:ascii="Arial" w:cs="Arial" w:eastAsia="Arial" w:hAnsi="Arial"/>
                <w:sz w:val="18"/>
                <w:szCs w:val="18"/>
                <w:color w:val="auto"/>
              </w:rPr>
              <w:t>Series B redeemable convertible preferred units, $1,000 par value; 550,000 units authorized,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660"/>
              <w:spacing w:after="0" w:line="202" w:lineRule="exact"/>
              <w:rPr>
                <w:sz w:val="20"/>
                <w:szCs w:val="20"/>
                <w:color w:val="auto"/>
              </w:rPr>
            </w:pPr>
            <w:r>
              <w:rPr>
                <w:rFonts w:ascii="Arial" w:cs="Arial" w:eastAsia="Arial" w:hAnsi="Arial"/>
                <w:sz w:val="18"/>
                <w:szCs w:val="18"/>
                <w:color w:val="auto"/>
              </w:rPr>
              <w:t>450,692 units issued and 93,997 units outstanding at September 30, 2007 and December 31,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ind w:left="660"/>
              <w:spacing w:after="0" w:line="200" w:lineRule="exact"/>
              <w:rPr>
                <w:sz w:val="20"/>
                <w:szCs w:val="20"/>
                <w:color w:val="auto"/>
              </w:rPr>
            </w:pPr>
            <w:r>
              <w:rPr>
                <w:rFonts w:ascii="Arial" w:cs="Arial" w:eastAsia="Arial" w:hAnsi="Arial"/>
                <w:sz w:val="18"/>
                <w:szCs w:val="18"/>
                <w:color w:val="auto"/>
              </w:rPr>
              <w:t>2006</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126,237</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117,374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redeemable convertible preferred units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126,237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8"/>
                <w:szCs w:val="18"/>
                <w:color w:val="auto"/>
              </w:rPr>
              <w:t>Unitholders’ equity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Common units, $1 par value; 65,000,000 units authorized, 52,831,722 and 52,720,784 units issued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2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and outstanding at September 30, 2007 and December 31, 2006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52,832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2,698</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(531,803)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(370,314)</w:t>
            </w:r>
          </w:p>
        </w:tc>
        <w:tc>
          <w:tcPr>
            <w:tcW w:w="0" w:type="dxa"/>
            <w:vAlign w:val="bottom"/>
          </w:tcPr>
          <w:p>
            <w:pPr>
              <w:spacing w:after="0"/>
              <w:rPr>
                <w:sz w:val="1"/>
                <w:szCs w:val="1"/>
                <w:color w:val="auto"/>
              </w:rPr>
            </w:pPr>
          </w:p>
        </w:tc>
      </w:tr>
      <w:tr>
        <w:trPr>
          <w:trHeight w:val="203"/>
        </w:trPr>
        <w:tc>
          <w:tcPr>
            <w:tcW w:w="8820" w:type="dxa"/>
            <w:vAlign w:val="bottom"/>
          </w:tcPr>
          <w:p>
            <w:pPr>
              <w:ind w:left="440"/>
              <w:spacing w:after="0" w:line="202" w:lineRule="exact"/>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24,072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30,601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(452,201)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(284,541)</w:t>
            </w:r>
          </w:p>
        </w:tc>
        <w:tc>
          <w:tcPr>
            <w:tcW w:w="0" w:type="dxa"/>
            <w:vAlign w:val="bottom"/>
          </w:tcPr>
          <w:p>
            <w:pPr>
              <w:spacing w:after="0"/>
              <w:rPr>
                <w:sz w:val="1"/>
                <w:szCs w:val="1"/>
                <w:color w:val="auto"/>
              </w:rPr>
            </w:pPr>
          </w:p>
        </w:tc>
      </w:tr>
      <w:tr>
        <w:trPr>
          <w:trHeight w:val="210"/>
        </w:trPr>
        <w:tc>
          <w:tcPr>
            <w:tcW w:w="8820" w:type="dxa"/>
            <w:vAlign w:val="bottom"/>
          </w:tcPr>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742,260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25"/>
        </w:trPr>
        <w:tc>
          <w:tcPr>
            <w:tcW w:w="64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380"/>
              <w:spacing w:after="0" w:line="125" w:lineRule="exact"/>
              <w:rPr>
                <w:sz w:val="20"/>
                <w:szCs w:val="20"/>
                <w:color w:val="auto"/>
              </w:rPr>
            </w:pPr>
            <w:r>
              <w:rPr>
                <w:rFonts w:ascii="Arial" w:cs="Arial" w:eastAsia="Arial" w:hAnsi="Arial"/>
                <w:sz w:val="14"/>
                <w:szCs w:val="14"/>
                <w:b w:val="1"/>
                <w:bCs w:val="1"/>
                <w:color w:val="auto"/>
                <w:w w:val="98"/>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4"/>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r>
      <w:tr>
        <w:trPr>
          <w:trHeight w:val="165"/>
        </w:trPr>
        <w:tc>
          <w:tcPr>
            <w:tcW w:w="6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545,881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582,039</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471,861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500,579</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74,020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66,368</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101,089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95,868</w:t>
            </w:r>
          </w:p>
        </w:tc>
        <w:tc>
          <w:tcPr>
            <w:tcW w:w="60" w:type="dxa"/>
            <w:vAlign w:val="bottom"/>
            <w:shd w:val="clear" w:color="auto" w:fill="CCEEFF"/>
          </w:tcPr>
          <w:p>
            <w:pPr>
              <w:spacing w:after="0"/>
              <w:rPr>
                <w:sz w:val="17"/>
                <w:szCs w:val="17"/>
                <w:color w:val="auto"/>
              </w:rPr>
            </w:pPr>
          </w:p>
        </w:tc>
      </w:tr>
      <w:tr>
        <w:trPr>
          <w:trHeight w:val="210"/>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93,948</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(111,057)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(174,724)</w:t>
            </w: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Other income (expenses)</w:t>
            </w: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(44,704)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(43,031)</w:t>
            </w:r>
          </w:p>
        </w:tc>
      </w:tr>
      <w:tr>
        <w:trPr>
          <w:trHeight w:val="210"/>
        </w:trPr>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gain, net</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40,914</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(144,429)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(176,841)</w:t>
            </w: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Income tax expenses</w:t>
            </w:r>
          </w:p>
        </w:tc>
        <w:tc>
          <w:tcPr>
            <w:tcW w:w="2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60" w:type="dxa"/>
            <w:vAlign w:val="bottom"/>
          </w:tcPr>
          <w:p>
            <w:pPr>
              <w:spacing w:after="0"/>
              <w:rPr>
                <w:sz w:val="18"/>
                <w:szCs w:val="18"/>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(151,072)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(183,672)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646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6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(159,935)</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460" w:type="dxa"/>
            <w:vAlign w:val="bottom"/>
          </w:tcPr>
          <w:p>
            <w:pPr>
              <w:spacing w:after="0" w:line="196" w:lineRule="exact"/>
              <w:rPr>
                <w:sz w:val="20"/>
                <w:szCs w:val="20"/>
                <w:color w:val="auto"/>
              </w:rPr>
            </w:pPr>
            <w:r>
              <w:rPr>
                <w:rFonts w:ascii="Arial" w:cs="Arial" w:eastAsia="Arial" w:hAnsi="Arial"/>
                <w:sz w:val="18"/>
                <w:szCs w:val="18"/>
                <w:color w:val="auto"/>
              </w:rPr>
              <w:t>Net loss per common units—Basic and diluted</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(3.03)</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(3.62)</w:t>
            </w:r>
          </w:p>
        </w:tc>
      </w:tr>
      <w:tr>
        <w:trPr>
          <w:trHeight w:val="20"/>
        </w:trPr>
        <w:tc>
          <w:tcPr>
            <w:tcW w:w="6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units—Basic and diluted</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52,769,273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52,975,152</w:t>
            </w:r>
          </w:p>
        </w:tc>
        <w:tc>
          <w:tcPr>
            <w:tcW w:w="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8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Accumulated</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80"/>
              <w:spacing w:after="0" w:line="13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140" w:type="dxa"/>
            <w:vAlign w:val="bottom"/>
            <w:gridSpan w:val="2"/>
          </w:tcPr>
          <w:p>
            <w:pPr>
              <w:jc w:val="right"/>
              <w:ind w:right="3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3"/>
          </w:tcPr>
          <w:p>
            <w:pPr>
              <w:jc w:val="center"/>
              <w:ind w:right="280"/>
              <w:spacing w:after="0" w:line="122" w:lineRule="exact"/>
              <w:rPr>
                <w:sz w:val="20"/>
                <w:szCs w:val="20"/>
                <w:color w:val="auto"/>
              </w:rPr>
            </w:pPr>
            <w:r>
              <w:rPr>
                <w:rFonts w:ascii="Arial" w:cs="Arial" w:eastAsia="Arial" w:hAnsi="Arial"/>
                <w:sz w:val="14"/>
                <w:szCs w:val="14"/>
                <w:b w:val="1"/>
                <w:bCs w:val="1"/>
                <w:color w:val="auto"/>
                <w:w w:val="97"/>
              </w:rPr>
              <w:t>Comprehensive</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Income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2007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52,720,784</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2,451</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(370,314)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30,601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(284,541)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Exercise of unit options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110,938</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Unit-based compensation</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Dividends accrued on preferred units</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(8,863)</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2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rPr>
              <w:t>Impact on beginning accumulated deficit from adoption of</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22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FIN 48</w:t>
            </w:r>
          </w:p>
        </w:tc>
        <w:tc>
          <w:tcPr>
            <w:tcW w:w="900" w:type="dxa"/>
            <w:vAlign w:val="bottom"/>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420"/>
              <w:spacing w:after="0" w:line="202" w:lineRule="exact"/>
              <w:rPr>
                <w:sz w:val="20"/>
                <w:szCs w:val="20"/>
                <w:color w:val="auto"/>
              </w:rPr>
            </w:pPr>
            <w:r>
              <w:rPr>
                <w:rFonts w:ascii="Arial" w:cs="Arial" w:eastAsia="Arial" w:hAnsi="Arial"/>
                <w:sz w:val="18"/>
                <w:szCs w:val="18"/>
                <w:color w:val="auto"/>
              </w:rPr>
              <w:t>Comprehensive income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(151,072)</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860"/>
              <w:spacing w:after="0" w:line="202" w:lineRule="exact"/>
              <w:rPr>
                <w:sz w:val="20"/>
                <w:szCs w:val="20"/>
                <w:color w:val="auto"/>
              </w:rPr>
            </w:pPr>
            <w:r>
              <w:rPr>
                <w:rFonts w:ascii="Arial" w:cs="Arial" w:eastAsia="Arial" w:hAnsi="Arial"/>
                <w:sz w:val="18"/>
                <w:szCs w:val="18"/>
                <w:color w:val="auto"/>
              </w:rPr>
              <w:t>Fair valuation of derivatives</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(2,260)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(4,269)</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Total comprehensive 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(157,601)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September 30, 2007</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52,831,722</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52,832</w:t>
            </w:r>
          </w:p>
        </w:tc>
        <w:tc>
          <w:tcPr>
            <w:tcW w:w="2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2,698</w:t>
            </w:r>
          </w:p>
        </w:tc>
        <w:tc>
          <w:tcPr>
            <w:tcW w:w="12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(531,803)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24,072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960" w:type="dxa"/>
            <w:vAlign w:val="bottom"/>
            <w:gridSpan w:val="3"/>
          </w:tcPr>
          <w:p>
            <w:pPr>
              <w:ind w:left="20"/>
              <w:spacing w:after="0" w:line="152"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17"/>
              <w:spacing w:after="0" w:line="152"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7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0"/>
              <w:spacing w:after="0" w:line="125" w:lineRule="exact"/>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right"/>
              <w:ind w:right="320"/>
              <w:spacing w:after="0" w:line="125" w:lineRule="exact"/>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October 1, 2006</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January 1, 2006</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53,091,570</w:t>
            </w:r>
          </w:p>
        </w:tc>
        <w:tc>
          <w:tcPr>
            <w:tcW w:w="1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$ 53,092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(130,092)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28,347</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Exercise of unit options</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46,062</w:t>
            </w: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Repurchase of units issued</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(416,848)</w:t>
            </w:r>
          </w:p>
        </w:tc>
        <w:tc>
          <w:tcPr>
            <w:tcW w:w="10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Unit-based compensation</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Dividends accrued on preferred units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(8,070)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03"/>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Comprehensive income (loss):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(183,672)</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(183,672)</w:t>
            </w:r>
          </w:p>
        </w:tc>
        <w:tc>
          <w:tcPr>
            <w:tcW w:w="0" w:type="dxa"/>
            <w:vAlign w:val="bottom"/>
          </w:tcPr>
          <w:p>
            <w:pPr>
              <w:spacing w:after="0"/>
              <w:rPr>
                <w:sz w:val="1"/>
                <w:szCs w:val="1"/>
                <w:color w:val="auto"/>
              </w:rPr>
            </w:pPr>
          </w:p>
        </w:tc>
      </w:tr>
      <w:tr>
        <w:trPr>
          <w:trHeight w:val="203"/>
        </w:trPr>
        <w:tc>
          <w:tcPr>
            <w:tcW w:w="4780" w:type="dxa"/>
            <w:vAlign w:val="bottom"/>
          </w:tcPr>
          <w:p>
            <w:pPr>
              <w:ind w:left="880"/>
              <w:spacing w:after="0" w:line="202" w:lineRule="exact"/>
              <w:rPr>
                <w:sz w:val="20"/>
                <w:szCs w:val="20"/>
                <w:color w:val="auto"/>
              </w:rPr>
            </w:pPr>
            <w:r>
              <w:rPr>
                <w:rFonts w:ascii="Arial" w:cs="Arial" w:eastAsia="Arial" w:hAnsi="Arial"/>
                <w:sz w:val="18"/>
                <w:szCs w:val="18"/>
                <w:color w:val="auto"/>
              </w:rPr>
              <w:t>Fair valuation of derivatives</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3,241</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440"/>
              <w:spacing w:after="0"/>
              <w:rPr>
                <w:sz w:val="20"/>
                <w:szCs w:val="20"/>
                <w:color w:val="auto"/>
              </w:rPr>
            </w:pPr>
            <w:r>
              <w:rPr>
                <w:rFonts w:ascii="Arial" w:cs="Arial" w:eastAsia="Arial" w:hAnsi="Arial"/>
                <w:sz w:val="18"/>
                <w:szCs w:val="18"/>
                <w:color w:val="auto"/>
              </w:rPr>
              <w:t>Total comprehensive loss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(180,344)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Balance at October 1, 2006</w:t>
            </w: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52,720,784</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$ 52,721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2,378</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(321,834)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31,675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(235,060)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910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1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(151,072)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(183,672)</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138,787</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Provision for severance benefits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13,985</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2,913</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Gain on foreign currency translation, net</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(9,623)</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10,106</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(46,487)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36,804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(34,528)</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(212)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56,699</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(5,012)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6,118</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8,242</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2,939</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Payment of severance benefits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(5,913)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03"/>
        </w:trPr>
        <w:tc>
          <w:tcPr>
            <w:tcW w:w="910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(1,183)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(13,225)</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plant, property and equipment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(63,967)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(26,274)</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Payments for intellectual property registration</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(955)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disposal of plant, property and equipment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Proceeds from disposal of intangible assets</w:t>
            </w:r>
          </w:p>
        </w:tc>
        <w:tc>
          <w:tcPr>
            <w:tcW w:w="16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restricted cash</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(64,436)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(20,186)</w:t>
            </w: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unit options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Repurchase of common units</w:t>
            </w:r>
          </w:p>
        </w:tc>
        <w:tc>
          <w:tcPr>
            <w:tcW w:w="160" w:type="dxa"/>
            <w:vAlign w:val="bottom"/>
          </w:tcPr>
          <w:p>
            <w:pPr>
              <w:spacing w:after="0"/>
              <w:rPr>
                <w:sz w:val="17"/>
                <w:szCs w:val="17"/>
                <w:color w:val="auto"/>
              </w:rPr>
            </w:pPr>
          </w:p>
        </w:tc>
        <w:tc>
          <w:tcPr>
            <w:tcW w:w="12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short-term borrowings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70,397</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Repayment of short-term borrowings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(20,000)</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50,508</w:t>
            </w: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3"/>
        </w:trPr>
        <w:tc>
          <w:tcPr>
            <w:tcW w:w="9100" w:type="dxa"/>
            <w:vAlign w:val="bottom"/>
          </w:tcPr>
          <w:p>
            <w:pPr>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(27,239)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89,173</w:t>
            </w:r>
          </w:p>
        </w:tc>
        <w:tc>
          <w:tcPr>
            <w:tcW w:w="5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61,934</w:t>
            </w: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$ 107,489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36" w:lineRule="exact"/>
        <w:rPr>
          <w:sz w:val="20"/>
          <w:szCs w:val="20"/>
          <w:color w:val="auto"/>
        </w:rPr>
      </w:pPr>
    </w:p>
    <w:p>
      <w:pPr>
        <w:ind w:right="8580" w:firstLine="8"/>
        <w:spacing w:after="0" w:line="341" w:lineRule="auto"/>
        <w:tabs>
          <w:tab w:leader="none" w:pos="195"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 results of operations for the nine-month period ended September 30, 2007 are not necessarily indicative of the results to be expected for a full year or for any other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February 2007, the Financial Accounting Standards Board (“FASB”) issued Statements of Financial Accounting Standards (“SFAS”)</w:t>
      </w:r>
    </w:p>
    <w:p>
      <w:pPr>
        <w:ind w:right="20"/>
        <w:spacing w:after="0" w:line="275" w:lineRule="auto"/>
        <w:rPr>
          <w:sz w:val="20"/>
          <w:szCs w:val="20"/>
          <w:color w:val="auto"/>
        </w:rPr>
      </w:pPr>
      <w:r>
        <w:rPr>
          <w:rFonts w:ascii="Arial" w:cs="Arial" w:eastAsia="Arial" w:hAnsi="Arial"/>
          <w:sz w:val="16"/>
          <w:szCs w:val="16"/>
          <w:color w:val="auto"/>
        </w:rPr>
        <w:t>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1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as of September 30, 2007 and December 31, 2006 consist of the following:</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440" w:type="dxa"/>
            <w:vAlign w:val="bottom"/>
            <w:gridSpan w:val="4"/>
          </w:tcPr>
          <w:p>
            <w:pPr>
              <w:ind w:left="310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3300" w:type="dxa"/>
            <w:vAlign w:val="bottom"/>
            <w:gridSpan w:val="2"/>
            <w:shd w:val="clear" w:color="auto" w:fill="CCEEFF"/>
          </w:tcPr>
          <w:p>
            <w:pPr>
              <w:ind w:left="310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23,010</w:t>
            </w:r>
          </w:p>
        </w:tc>
        <w:tc>
          <w:tcPr>
            <w:tcW w:w="4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Semi-finished goods and work-in-process</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72,517</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39,492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9,259</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Materials in-transit</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2,063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(12,267)</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(11,652)</w:t>
            </w:r>
          </w:p>
        </w:tc>
      </w:tr>
      <w:tr>
        <w:trPr>
          <w:trHeight w:val="20"/>
        </w:trPr>
        <w:tc>
          <w:tcPr>
            <w:tcW w:w="39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4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3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94,100</w:t>
            </w:r>
          </w:p>
        </w:tc>
        <w:tc>
          <w:tcPr>
            <w:tcW w:w="40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00" w:type="dxa"/>
            <w:vAlign w:val="bottom"/>
            <w:gridSpan w:val="2"/>
          </w:tcPr>
          <w:p>
            <w:pPr>
              <w:ind w:left="740"/>
              <w:spacing w:after="0"/>
              <w:rPr>
                <w:sz w:val="20"/>
                <w:szCs w:val="20"/>
                <w:color w:val="auto"/>
              </w:rPr>
            </w:pPr>
            <w:r>
              <w:rPr>
                <w:rFonts w:ascii="Arial" w:cs="Arial" w:eastAsia="Arial" w:hAnsi="Arial"/>
                <w:sz w:val="18"/>
                <w:szCs w:val="18"/>
                <w:color w:val="auto"/>
              </w:rPr>
              <w:t>F-52</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Plant and Equipment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as of September 30, 2007 and December 31, 2006 comprise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Buildings and related structures</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154,619</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425,973</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and others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53,321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633,913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(365,596)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(252,814)</w:t>
            </w: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12,705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in-progress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60" w:type="dxa"/>
            <w:vAlign w:val="bottom"/>
            <w:gridSpan w:val="2"/>
          </w:tcPr>
          <w:p>
            <w:pPr>
              <w:ind w:left="8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281,022</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60" w:type="dxa"/>
            <w:vAlign w:val="bottom"/>
            <w:gridSpan w:val="2"/>
          </w:tcPr>
          <w:p>
            <w:pPr>
              <w:ind w:left="580"/>
              <w:spacing w:after="0"/>
              <w:rPr>
                <w:sz w:val="20"/>
                <w:szCs w:val="20"/>
                <w:color w:val="auto"/>
              </w:rPr>
            </w:pPr>
            <w:r>
              <w:rPr>
                <w:rFonts w:ascii="Arial" w:cs="Arial" w:eastAsia="Arial" w:hAnsi="Arial"/>
                <w:sz w:val="18"/>
                <w:szCs w:val="18"/>
                <w:color w:val="auto"/>
              </w:rPr>
              <w:t>Intangible assets as of September 30, 2007 and December 31, 2006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21,672</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172,817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170,209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Intellectual property 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9,991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(103,229)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(76,606)</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tcPr>
          <w:p>
            <w:pPr>
              <w:ind w:left="860"/>
              <w:spacing w:after="0"/>
              <w:rPr>
                <w:sz w:val="20"/>
                <w:szCs w:val="20"/>
                <w:color w:val="auto"/>
              </w:rPr>
            </w:pPr>
            <w:r>
              <w:rPr>
                <w:rFonts w:ascii="Arial" w:cs="Arial" w:eastAsia="Arial" w:hAnsi="Arial"/>
                <w:sz w:val="18"/>
                <w:szCs w:val="18"/>
                <w:color w:val="auto"/>
              </w:rPr>
              <w:t>Intangible assets,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115,496</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warranty liabilities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220" w:type="dxa"/>
            <w:vAlign w:val="bottom"/>
            <w:gridSpan w:val="2"/>
            <w:shd w:val="clear" w:color="auto" w:fill="CCEEFF"/>
          </w:tcPr>
          <w:p>
            <w:pPr>
              <w:ind w:left="20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1,036</w:t>
            </w:r>
          </w:p>
        </w:tc>
        <w:tc>
          <w:tcPr>
            <w:tcW w:w="60" w:type="dxa"/>
            <w:vAlign w:val="bottom"/>
            <w:shd w:val="clear" w:color="auto" w:fill="CCEEFF"/>
          </w:tcPr>
          <w:p>
            <w:pPr>
              <w:spacing w:after="0"/>
              <w:rPr>
                <w:sz w:val="17"/>
                <w:szCs w:val="17"/>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Addition to (reversal of) warranty reserve</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(563)</w:t>
            </w: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made</w:t>
            </w: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r>
      <w:tr>
        <w:trPr>
          <w:trHeight w:val="210"/>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Translation adjustments</w:t>
            </w: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220" w:type="dxa"/>
            <w:vAlign w:val="bottom"/>
            <w:gridSpan w:val="2"/>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4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99"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5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At September 30, 2007, the Company had borrowed $50.6 million under this credit agreement.</w:t>
      </w:r>
    </w:p>
    <w:p>
      <w:pPr>
        <w:spacing w:after="0" w:line="157"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September 28, 2007, the Company entered into the Eighth Amendment to Credit Agreement, dated as of September 28, 2007 (the “Eighth Amendment”), with MagnaChip Semiconductor S.A. and MagnaChip Semiconductor Finance Company, as borrowers, the Subsidiary Guarantors party thereto, the Lenders party thereto, and UBS AG, Stamford Branch, as administrative agent and collateral agent. Under the Eighth Amendment, among other things, the financial covenants regarding total leverage, interest coverage, capital expenditure limitations and minimum levels of EBITDA and liquidity were modified. In addition, the monthly requirement of the obligors to provide certain financial and other reports to the lenders were modified.</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On November 13, 2007, the Company entered into the Ninth Amendment and Waiver to Credit Agreement, dated as of November 13, 2007 (the “Ninth Amendment”), with MagnaChip Semiconductor S.A. and MagnaChip Semiconductor Finance Company, as borrowers, the Subsidiary Guarantors party thereto, the Lenders party thereto, and UBS AG, Stamford Branch, as administrative agent and collateral agent. Under the Ninth Amendment, the lenders under the senior secured credit facility waived certain provisions of the credit agreement to permit us to consummate the corporate reorganization and this offering, and to use the proceeds from the offering as described in this prospectus. Pursuant to the Ninth Amendment, the Company will become a guarantor, and grant a security interest with respect to the obligations, under the senior secured credit facility upon the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consummation of the corporate reorganization, and the credit agreement will be amended effective as of the corporate reorganization to provide for such guarantee and the grant of such security interest.</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short-term borrowings as of September 30, 2007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620" w:type="dxa"/>
            <w:vAlign w:val="bottom"/>
          </w:tcPr>
          <w:p>
            <w:pPr>
              <w:spacing w:after="0"/>
              <w:rPr>
                <w:sz w:val="14"/>
                <w:szCs w:val="1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Annual interest rate (%)</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Euro dollar Revolving Loan</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2007-12-21</w:t>
            </w:r>
          </w:p>
        </w:tc>
        <w:tc>
          <w:tcPr>
            <w:tcW w:w="22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 month LIBOR + 4.75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r>
      <w:tr>
        <w:trPr>
          <w:trHeight w:val="203"/>
        </w:trPr>
        <w:tc>
          <w:tcPr>
            <w:tcW w:w="6620" w:type="dxa"/>
            <w:vAlign w:val="bottom"/>
          </w:tcPr>
          <w:p>
            <w:pPr>
              <w:spacing w:after="0" w:line="202" w:lineRule="exact"/>
              <w:rPr>
                <w:sz w:val="20"/>
                <w:szCs w:val="20"/>
                <w:color w:val="auto"/>
              </w:rPr>
            </w:pPr>
            <w:r>
              <w:rPr>
                <w:rFonts w:ascii="Arial" w:cs="Arial" w:eastAsia="Arial" w:hAnsi="Arial"/>
                <w:sz w:val="18"/>
                <w:szCs w:val="18"/>
                <w:color w:val="auto"/>
              </w:rPr>
              <w:t>ABR Revolving Loan</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2007-12-28</w:t>
            </w:r>
          </w:p>
        </w:tc>
        <w:tc>
          <w:tcPr>
            <w:tcW w:w="220" w:type="dxa"/>
            <w:vAlign w:val="bottom"/>
          </w:tcPr>
          <w:p>
            <w:pPr>
              <w:spacing w:after="0"/>
              <w:rPr>
                <w:sz w:val="17"/>
                <w:szCs w:val="17"/>
                <w:color w:val="auto"/>
              </w:rPr>
            </w:pPr>
          </w:p>
        </w:tc>
        <w:tc>
          <w:tcPr>
            <w:tcW w:w="2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ABR + 3.75</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Banker’s Usance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10,601</w:t>
            </w:r>
          </w:p>
        </w:tc>
      </w:tr>
      <w:tr>
        <w:trPr>
          <w:trHeight w:val="210"/>
        </w:trPr>
        <w:tc>
          <w:tcPr>
            <w:tcW w:w="6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50,601</w:t>
            </w:r>
          </w:p>
        </w:tc>
      </w:tr>
      <w:tr>
        <w:trPr>
          <w:trHeight w:val="20"/>
        </w:trPr>
        <w:tc>
          <w:tcPr>
            <w:tcW w:w="6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Borrowings</w:t>
      </w:r>
    </w:p>
    <w:p>
      <w:pPr>
        <w:spacing w:after="0" w:line="99" w:lineRule="exact"/>
        <w:rPr>
          <w:sz w:val="20"/>
          <w:szCs w:val="20"/>
          <w:color w:val="auto"/>
        </w:rPr>
      </w:pPr>
    </w:p>
    <w:p>
      <w:pPr>
        <w:ind w:right="200" w:firstLine="571"/>
        <w:spacing w:after="0" w:line="281"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 $500 million aggregate principal amount of Second Priority Senior Secured Notes consisting of $300 million aggregate principal</w:t>
      </w:r>
    </w:p>
    <w:p>
      <w:pPr>
        <w:spacing w:after="0" w:line="1"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 xml:space="preserve">amount of Floating Rate Second Priority Senior Secured Notes and $200 million aggregate principal amount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At the same time, such subsidiaries issued $250 million aggregate principal amount of 8% Senior Subordinated Notes.</w:t>
      </w:r>
    </w:p>
    <w:p>
      <w:pPr>
        <w:spacing w:after="0" w:line="1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long-term borrowings as of September 30, 2007 and December 31, 2006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8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Annual interest rate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2011</w:t>
            </w:r>
          </w:p>
        </w:tc>
        <w:tc>
          <w:tcPr>
            <w:tcW w:w="26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 month LIBOR + 3.250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2011</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6.875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r>
      <w:tr>
        <w:trPr>
          <w:trHeight w:val="210"/>
        </w:trPr>
        <w:tc>
          <w:tcPr>
            <w:tcW w:w="6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senior secured revolving credit facility and Second Priority Senior Secured Notes are collateralized by substantially all of the assets of the Company. The notes are due in full upon maturity.</w:t>
      </w:r>
    </w:p>
    <w:p>
      <w:pPr>
        <w:spacing w:after="0" w:line="155" w:lineRule="exact"/>
        <w:rPr>
          <w:sz w:val="20"/>
          <w:szCs w:val="20"/>
          <w:color w:val="auto"/>
        </w:rPr>
      </w:pPr>
    </w:p>
    <w:p>
      <w:pPr>
        <w:ind w:right="220" w:firstLine="571"/>
        <w:spacing w:after="0" w:line="275"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29"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As of September 30, 2007, the Company and all of its subsidiaries except for MagnaChip Semiconductor (Shanghai) Company Limited have jointly and severally guaranteed each series of the Second Priority Senior Secured Notes on a second priority senior secured basis. As of September 30, 2007, the Company and its subsidiaries except for MagnaChip Semiconductor Ltd. (Korea) and MagnaChip Semiconductor (Shanghai) Company Limited have jointly and severally guaranteed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LIBOR plus 3.25% to a fixed interest rate of 7.34% on the Company’s Floating Rate Second Priority Senior Secured Notes (the “Notes”). This Swap will be in effect until June 15, 2008.</w:t>
      </w:r>
    </w:p>
    <w:p>
      <w:pPr>
        <w:spacing w:after="0" w:line="136" w:lineRule="exact"/>
        <w:rPr>
          <w:sz w:val="20"/>
          <w:szCs w:val="20"/>
          <w:color w:val="auto"/>
        </w:rPr>
      </w:pPr>
    </w:p>
    <w:p>
      <w:pPr>
        <w:ind w:right="100" w:firstLine="571"/>
        <w:spacing w:after="0" w:line="243" w:lineRule="auto"/>
        <w:rPr>
          <w:sz w:val="20"/>
          <w:szCs w:val="20"/>
          <w:color w:val="auto"/>
        </w:rPr>
      </w:pPr>
      <w:r>
        <w:rPr>
          <w:rFonts w:ascii="Arial" w:cs="Arial" w:eastAsia="Arial" w:hAnsi="Arial"/>
          <w:sz w:val="18"/>
          <w:szCs w:val="18"/>
          <w:color w:val="auto"/>
        </w:rPr>
        <w:t xml:space="preserve">The Swap qualifies as an effective cash flow hedge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52" w:lineRule="exact"/>
        <w:rPr>
          <w:sz w:val="20"/>
          <w:szCs w:val="20"/>
          <w:color w:val="auto"/>
        </w:rPr>
      </w:pPr>
    </w:p>
    <w:p>
      <w:pPr>
        <w:ind w:right="160" w:firstLine="571"/>
        <w:spacing w:after="0" w:line="281" w:lineRule="auto"/>
        <w:rPr>
          <w:sz w:val="20"/>
          <w:szCs w:val="20"/>
          <w:color w:val="auto"/>
        </w:rPr>
      </w:pPr>
      <w:r>
        <w:rPr>
          <w:rFonts w:ascii="Arial" w:cs="Arial" w:eastAsia="Arial" w:hAnsi="Arial"/>
          <w:sz w:val="16"/>
          <w:szCs w:val="16"/>
          <w:color w:val="auto"/>
        </w:rPr>
        <w:t>For the nine-month period ended September 30, 2007, the Company recorded changes in the fair value of the Swap amounting to $2,260 thousand, under other comprehensive income in the accompanying condensed consolidated financial statements. In addition, during the same period, the Company recognized interest income of $2,888 thousand, which represents the differences between fixed and variable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Severance Benefits</w:t>
      </w:r>
    </w:p>
    <w:p>
      <w:pPr>
        <w:spacing w:after="0" w:line="99"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September 30, 2007, 96% of all employees of the Company were eligible for severance benefits.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25"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360" w:type="dxa"/>
            <w:vAlign w:val="bottom"/>
            <w:gridSpan w:val="2"/>
            <w:shd w:val="clear" w:color="auto" w:fill="CCEEFF"/>
          </w:tcPr>
          <w:p>
            <w:pPr>
              <w:ind w:left="11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64,642</w:t>
            </w: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$ 56,967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Provisions</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13,985</w:t>
            </w:r>
          </w:p>
        </w:tc>
        <w:tc>
          <w:tcPr>
            <w:tcW w:w="3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Severance payments</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(5,913)</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Effect of foreign currency translation and other</w:t>
            </w: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74,039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Group Severance insurance plan</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(919)</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72,307</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$ 61,778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ind w:left="4660"/>
              <w:spacing w:after="0"/>
              <w:rPr>
                <w:sz w:val="20"/>
                <w:szCs w:val="20"/>
                <w:color w:val="auto"/>
              </w:rPr>
            </w:pPr>
            <w:r>
              <w:rPr>
                <w:rFonts w:ascii="Arial" w:cs="Arial" w:eastAsia="Arial" w:hAnsi="Arial"/>
                <w:sz w:val="18"/>
                <w:szCs w:val="18"/>
                <w:color w:val="auto"/>
              </w:rPr>
              <w:t>F-56</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severance benefits are funded approximately 2.34% and 2.83% as of September 30, 2007 and October 1, 2006,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expects to pay the following future benefits to its employees upon their normal retirement age: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3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Severance benefit</w:t>
            </w: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738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14"/>
        </w:trPr>
        <w:tc>
          <w:tcPr>
            <w:tcW w:w="7380" w:type="dxa"/>
            <w:vAlign w:val="bottom"/>
          </w:tcPr>
          <w:p>
            <w:pPr>
              <w:spacing w:after="0"/>
              <w:rPr>
                <w:sz w:val="20"/>
                <w:szCs w:val="20"/>
                <w:color w:val="auto"/>
              </w:rPr>
            </w:pPr>
            <w:r>
              <w:rPr>
                <w:rFonts w:ascii="Arial" w:cs="Arial" w:eastAsia="Arial" w:hAnsi="Arial"/>
                <w:sz w:val="18"/>
                <w:szCs w:val="18"/>
                <w:color w:val="auto"/>
              </w:rPr>
              <w:t>2013 – 2017</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5,289</w:t>
            </w:r>
          </w:p>
        </w:tc>
      </w:tr>
    </w:tbl>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Redeemable Convertible Preferred Units</w:t>
      </w:r>
    </w:p>
    <w:p>
      <w:pPr>
        <w:spacing w:after="0" w:line="99"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Series B for the nine months ended September 30, 2007 and October 1, 2006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7740" w:type="dxa"/>
            <w:vAlign w:val="bottom"/>
          </w:tcPr>
          <w:p>
            <w:pPr>
              <w:spacing w:after="0"/>
              <w:rPr>
                <w:sz w:val="10"/>
                <w:szCs w:val="10"/>
                <w:color w:val="auto"/>
              </w:rPr>
            </w:pPr>
          </w:p>
        </w:tc>
        <w:tc>
          <w:tcPr>
            <w:tcW w:w="1720" w:type="dxa"/>
            <w:vAlign w:val="bottom"/>
            <w:gridSpan w:val="5"/>
          </w:tcPr>
          <w:p>
            <w:pPr>
              <w:jc w:val="right"/>
              <w:ind w:right="320"/>
              <w:spacing w:after="0" w:line="125"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0"/>
                <w:szCs w:val="10"/>
                <w:color w:val="auto"/>
              </w:rPr>
            </w:pPr>
          </w:p>
        </w:tc>
        <w:tc>
          <w:tcPr>
            <w:tcW w:w="1740" w:type="dxa"/>
            <w:vAlign w:val="bottom"/>
            <w:gridSpan w:val="5"/>
          </w:tcPr>
          <w:p>
            <w:pPr>
              <w:jc w:val="right"/>
              <w:ind w:right="457"/>
              <w:spacing w:after="0" w:line="125"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0"/>
                <w:szCs w:val="10"/>
                <w:color w:val="auto"/>
              </w:rPr>
            </w:pPr>
          </w:p>
        </w:tc>
      </w:tr>
      <w:tr>
        <w:trPr>
          <w:trHeight w:val="178"/>
        </w:trPr>
        <w:tc>
          <w:tcPr>
            <w:tcW w:w="7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3"/>
        </w:trPr>
        <w:tc>
          <w:tcPr>
            <w:tcW w:w="7740" w:type="dxa"/>
            <w:vAlign w:val="bottom"/>
          </w:tcPr>
          <w:p>
            <w:pPr>
              <w:spacing w:after="0"/>
              <w:rPr>
                <w:sz w:val="12"/>
                <w:szCs w:val="12"/>
                <w:color w:val="auto"/>
              </w:rPr>
            </w:pPr>
          </w:p>
        </w:tc>
        <w:tc>
          <w:tcPr>
            <w:tcW w:w="640" w:type="dxa"/>
            <w:vAlign w:val="bottom"/>
            <w:tcBorders>
              <w:bottom w:val="single" w:sz="8" w:color="auto"/>
            </w:tcBorders>
          </w:tcPr>
          <w:p>
            <w:pPr>
              <w:ind w:left="160"/>
              <w:spacing w:after="0" w:line="143" w:lineRule="exact"/>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0"/>
              <w:spacing w:after="0" w:line="14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86"/>
              <w:spacing w:after="0" w:line="143" w:lineRule="exact"/>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period</w:t>
            </w:r>
          </w:p>
        </w:tc>
        <w:tc>
          <w:tcPr>
            <w:tcW w:w="6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117,374</w:t>
            </w:r>
          </w:p>
        </w:tc>
        <w:tc>
          <w:tcPr>
            <w:tcW w:w="90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106,462</w:t>
            </w:r>
          </w:p>
        </w:tc>
        <w:tc>
          <w:tcPr>
            <w:tcW w:w="20" w:type="dxa"/>
            <w:vAlign w:val="bottom"/>
          </w:tcPr>
          <w:p>
            <w:pPr>
              <w:spacing w:after="0"/>
              <w:rPr>
                <w:sz w:val="17"/>
                <w:szCs w:val="17"/>
                <w:color w:val="auto"/>
              </w:rPr>
            </w:pPr>
          </w:p>
        </w:tc>
      </w:tr>
      <w:tr>
        <w:trPr>
          <w:trHeight w:val="210"/>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Accrual of preferred dividends</w:t>
            </w:r>
          </w:p>
        </w:tc>
        <w:tc>
          <w:tcPr>
            <w:tcW w:w="640" w:type="dxa"/>
            <w:vAlign w:val="bottom"/>
            <w:tcBorders>
              <w:bottom w:val="single" w:sz="8" w:color="auto"/>
            </w:tcBorders>
          </w:tcPr>
          <w:p>
            <w:pPr>
              <w:ind w:left="3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8,863</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26"/>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8,070</w:t>
            </w:r>
          </w:p>
        </w:tc>
        <w:tc>
          <w:tcPr>
            <w:tcW w:w="20" w:type="dxa"/>
            <w:vAlign w:val="bottom"/>
          </w:tcPr>
          <w:p>
            <w:pPr>
              <w:spacing w:after="0"/>
              <w:rPr>
                <w:sz w:val="18"/>
                <w:szCs w:val="18"/>
                <w:color w:val="auto"/>
              </w:rPr>
            </w:pPr>
          </w:p>
        </w:tc>
      </w:tr>
      <w:tr>
        <w:trPr>
          <w:trHeight w:val="203"/>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 of period</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126,237</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114,532</w:t>
            </w:r>
          </w:p>
        </w:tc>
        <w:tc>
          <w:tcPr>
            <w:tcW w:w="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Unit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nine-month period ended September 30,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 and October 1, 2006:</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80" w:type="dxa"/>
            <w:vAlign w:val="bottom"/>
            <w:tcBorders>
              <w:top w:val="single" w:sz="8" w:color="auto"/>
            </w:tcBorders>
            <w:gridSpan w:val="3"/>
          </w:tcPr>
          <w:p>
            <w:pPr>
              <w:jc w:val="right"/>
              <w:ind w:right="420"/>
              <w:spacing w:after="0" w:line="125" w:lineRule="exact"/>
              <w:rPr>
                <w:sz w:val="20"/>
                <w:szCs w:val="20"/>
                <w:color w:val="auto"/>
              </w:rPr>
            </w:pPr>
            <w:r>
              <w:rPr>
                <w:rFonts w:ascii="Arial" w:cs="Arial" w:eastAsia="Arial" w:hAnsi="Arial"/>
                <w:sz w:val="14"/>
                <w:szCs w:val="14"/>
                <w:b w:val="1"/>
                <w:bCs w:val="1"/>
                <w:color w:val="auto"/>
                <w:w w:val="98"/>
              </w:rPr>
              <w:t>September 30,</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8"/>
              <w:spacing w:after="0" w:line="125" w:lineRule="exact"/>
              <w:rPr>
                <w:sz w:val="20"/>
                <w:szCs w:val="20"/>
                <w:color w:val="auto"/>
              </w:rPr>
            </w:pPr>
            <w:r>
              <w:rPr>
                <w:rFonts w:ascii="Arial" w:cs="Arial" w:eastAsia="Arial" w:hAnsi="Arial"/>
                <w:sz w:val="14"/>
                <w:szCs w:val="14"/>
                <w:b w:val="1"/>
                <w:bCs w:val="1"/>
                <w:color w:val="auto"/>
              </w:rPr>
              <w:t>October 1,</w:t>
            </w: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(151,072)</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(183,672)</w:t>
            </w:r>
          </w:p>
        </w:tc>
      </w:tr>
      <w:tr>
        <w:trPr>
          <w:trHeight w:val="210"/>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preferred unitholders</w:t>
            </w: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8,863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8,070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(159,935)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52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524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common units outstanding</w:t>
            </w:r>
          </w:p>
        </w:tc>
        <w:tc>
          <w:tcPr>
            <w:tcW w:w="1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52,769,273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52,975,152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 loss per unit</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(3.03)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06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9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October 1,</w:t>
            </w:r>
          </w:p>
        </w:tc>
      </w:tr>
      <w:tr>
        <w:trPr>
          <w:trHeight w:val="176"/>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0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units</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c>
          <w:tcPr>
            <w:tcW w:w="1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r>
      <w:tr>
        <w:trPr>
          <w:trHeight w:val="203"/>
        </w:trPr>
        <w:tc>
          <w:tcPr>
            <w:tcW w:w="7460" w:type="dxa"/>
            <w:vAlign w:val="bottom"/>
            <w:gridSpan w:val="2"/>
          </w:tcPr>
          <w:p>
            <w:pPr>
              <w:spacing w:after="0" w:line="202" w:lineRule="exact"/>
              <w:rPr>
                <w:sz w:val="20"/>
                <w:szCs w:val="20"/>
                <w:color w:val="auto"/>
              </w:rPr>
            </w:pPr>
            <w:r>
              <w:rPr>
                <w:rFonts w:ascii="Arial" w:cs="Arial" w:eastAsia="Arial" w:hAnsi="Arial"/>
                <w:sz w:val="18"/>
                <w:szCs w:val="18"/>
                <w:color w:val="auto"/>
              </w:rPr>
              <w:t>Options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4,956,434</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4,909,152</w:t>
            </w:r>
          </w:p>
        </w:tc>
      </w:tr>
      <w:tr>
        <w:trPr>
          <w:trHeight w:val="203"/>
        </w:trPr>
        <w:tc>
          <w:tcPr>
            <w:tcW w:w="20" w:type="dxa"/>
            <w:vAlign w:val="bottom"/>
          </w:tcPr>
          <w:p>
            <w:pPr>
              <w:spacing w:after="0"/>
              <w:rPr>
                <w:sz w:val="17"/>
                <w:szCs w:val="17"/>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w:t>
            </w:r>
          </w:p>
        </w:tc>
        <w:tc>
          <w:tcPr>
            <w:tcW w:w="1060" w:type="dxa"/>
            <w:vAlign w:val="bottom"/>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r>
    </w:tbl>
    <w:p>
      <w:pPr>
        <w:spacing w:after="0" w:line="165"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In connection with the acquisition of the Company’s business from Hynix Semiconductor Inc. on October 6, 2004, the Company issued a warrant to Hynix which enabled Hynix to purchase 5,079,254 common units of the Company at an exercise price of $1.00 per unit. This warrant expired unexercised in accordance with its terms on October 6, 2006.</w:t>
      </w:r>
    </w:p>
    <w:p>
      <w:pPr>
        <w:spacing w:after="0" w:line="213" w:lineRule="exact"/>
        <w:rPr>
          <w:sz w:val="20"/>
          <w:szCs w:val="20"/>
          <w:color w:val="auto"/>
        </w:rPr>
      </w:pPr>
    </w:p>
    <w:p>
      <w:pPr>
        <w:ind w:right="7860" w:firstLine="8"/>
        <w:spacing w:after="0" w:line="331" w:lineRule="auto"/>
        <w:tabs>
          <w:tab w:leader="none" w:pos="293"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 Charges </w:t>
      </w:r>
      <w:r>
        <w:rPr>
          <w:rFonts w:ascii="Arial" w:cs="Arial" w:eastAsia="Arial" w:hAnsi="Arial"/>
          <w:sz w:val="18"/>
          <w:szCs w:val="18"/>
          <w:b w:val="1"/>
          <w:bCs w:val="1"/>
          <w:i w:val="1"/>
          <w:iCs w:val="1"/>
          <w:color w:val="auto"/>
        </w:rPr>
        <w:t>Assets impairment</w:t>
      </w:r>
    </w:p>
    <w:p>
      <w:pPr>
        <w:ind w:firstLine="571"/>
        <w:spacing w:after="0" w:line="278" w:lineRule="auto"/>
        <w:rPr>
          <w:sz w:val="20"/>
          <w:szCs w:val="20"/>
          <w:color w:val="auto"/>
        </w:rPr>
      </w:pPr>
      <w:r>
        <w:rPr>
          <w:rFonts w:ascii="Arial" w:cs="Arial" w:eastAsia="Arial" w:hAnsi="Arial"/>
          <w:sz w:val="16"/>
          <w:szCs w:val="16"/>
          <w:color w:val="auto"/>
        </w:rPr>
        <w:t xml:space="preserve">In the Second Quarter of 2007, the Company recognized impairment charges of $10,106 thousand under SFAS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or Disposal of Long Lived Assets </w:t>
      </w:r>
      <w:r>
        <w:rPr>
          <w:rFonts w:ascii="Arial" w:cs="Arial" w:eastAsia="Arial" w:hAnsi="Arial"/>
          <w:sz w:val="16"/>
          <w:szCs w:val="16"/>
          <w:color w:val="auto"/>
        </w:rPr>
        <w:t>(“SFAS No. 144”). The Impairment charges were recorded related to the closure of one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five-inch wafer fabrication facilities that has generated losses and no longer supported the Company’s strategic technology roadmap. In the Second Quarter of 2006, the Company recorded impairment charges of $92,540 thousand under SFAS No. 144. The impairment charges were recorded against one of our fabrication facilities and certain related technology and customer-based intangible assets (the “asset group”).</w:t>
      </w:r>
    </w:p>
    <w:p>
      <w:pPr>
        <w:spacing w:after="0" w:line="12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and July 2, 2006 were approximately $10,228 and $185,985 thousand,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79"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 xml:space="preserve">In the second quarter of 2007, the Company recognized $1,978 thousand of restructuring under SFAS No. 146, </w:t>
      </w:r>
      <w:r>
        <w:rPr>
          <w:rFonts w:ascii="Arial" w:cs="Arial" w:eastAsia="Arial" w:hAnsi="Arial"/>
          <w:sz w:val="18"/>
          <w:szCs w:val="18"/>
          <w:i w:val="1"/>
          <w:iCs w:val="1"/>
          <w:color w:val="auto"/>
        </w:rPr>
        <w:t>Accounting for Costs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Associated with Exit or Disposal Activities </w:t>
      </w:r>
      <w:r>
        <w:rPr>
          <w:rFonts w:ascii="Arial" w:cs="Arial" w:eastAsia="Arial" w:hAnsi="Arial"/>
          <w:sz w:val="18"/>
          <w:szCs w:val="18"/>
          <w:color w:val="auto"/>
        </w:rPr>
        <w:t>(“SFAS No. 146”)</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restructuring charges were related to the closure of the Company’s five-inch</w:t>
      </w:r>
      <w:r>
        <w:rPr>
          <w:rFonts w:ascii="Arial" w:cs="Arial" w:eastAsia="Arial" w:hAnsi="Arial"/>
          <w:sz w:val="18"/>
          <w:szCs w:val="18"/>
          <w:i w:val="1"/>
          <w:iCs w:val="1"/>
          <w:color w:val="auto"/>
        </w:rPr>
        <w:t xml:space="preserve"> </w:t>
      </w:r>
      <w:r>
        <w:rPr>
          <w:rFonts w:ascii="Arial" w:cs="Arial" w:eastAsia="Arial" w:hAnsi="Arial"/>
          <w:sz w:val="18"/>
          <w:szCs w:val="18"/>
          <w:color w:val="auto"/>
        </w:rPr>
        <w:t>wafer fabrication facilities to be completed within the next several months. These charges consist of one-time termination benefits, transfer of machinery and other associated costs. In the second quarter of 2006, the Company recorded restructuring charges of $1,144 thousand in accordance with SFAS No. 146. These charges were incurred in association with changes in the Company’s management and the early retirement of certain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Uncertainty in Income Taxes</w:t>
      </w:r>
    </w:p>
    <w:p>
      <w:pPr>
        <w:spacing w:after="0" w:line="99"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Company, including its subsidiaries files income tax returns in Korea, Japan, Taiwan, U.S. and various other jurisdictions. The Company is subject to income tax examinations by tax authorities of these jurisdictions for all years since the beginning of its operation in October 2004.</w:t>
      </w:r>
    </w:p>
    <w:p>
      <w:pPr>
        <w:spacing w:after="0" w:line="136"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 xml:space="preserve">The Company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$1,554 thousand increase in the liability for unrecognized tax benefits, which was accounted for as a reduction to the January 1, 2007 balance of accumulated deficits. The total amount of unrecognized tax benefits as of the date of adoption was $6,773 thousand and it is related to the temporary difference arising from timing of expensing certain inventories. There was no change in total amount of unrecognized tax benefits during the three months ended September 30, 2007.</w:t>
      </w:r>
    </w:p>
    <w:p>
      <w:pPr>
        <w:spacing w:after="0" w:line="159"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The Company recognizes interest and penalties accrued related to unrecognized tax benefits as income tax expenses. The Company recognized $41 thousand and $121 thousand of interest and penalties, respectively, for the three and nine months ended September 30, 2007. Total interest and penalties accrued as of September 30, 2007 and as of the FIN No. 48 adoption date were $670 thousand and $530 thousand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6"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allocates resources to and assesses the performance of each segment using information about its revenue and gross profit.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40" w:type="dxa"/>
            <w:vAlign w:val="bottom"/>
            <w:tcBorders>
              <w:top w:val="single" w:sz="8" w:color="auto"/>
            </w:tcBorders>
            <w:gridSpan w:val="2"/>
          </w:tcPr>
          <w:p>
            <w:pPr>
              <w:spacing w:after="0" w:line="125" w:lineRule="exact"/>
              <w:rPr>
                <w:sz w:val="20"/>
                <w:szCs w:val="20"/>
                <w:color w:val="auto"/>
              </w:rPr>
            </w:pPr>
            <w:r>
              <w:rPr>
                <w:rFonts w:ascii="Arial" w:cs="Arial" w:eastAsia="Arial" w:hAnsi="Arial"/>
                <w:sz w:val="14"/>
                <w:szCs w:val="14"/>
                <w:b w:val="1"/>
                <w:bCs w:val="1"/>
                <w:color w:val="auto"/>
                <w:w w:val="96"/>
              </w:rPr>
              <w:t>September 30,</w:t>
            </w: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25" w:lineRule="exact"/>
              <w:rPr>
                <w:sz w:val="20"/>
                <w:szCs w:val="20"/>
                <w:color w:val="auto"/>
              </w:rPr>
            </w:pPr>
            <w:r>
              <w:rPr>
                <w:rFonts w:ascii="Arial" w:cs="Arial" w:eastAsia="Arial" w:hAnsi="Arial"/>
                <w:sz w:val="14"/>
                <w:szCs w:val="14"/>
                <w:b w:val="1"/>
                <w:bCs w:val="1"/>
                <w:color w:val="auto"/>
                <w:w w:val="98"/>
              </w:rPr>
              <w:t>October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Sales</w:t>
            </w:r>
          </w:p>
        </w:tc>
        <w:tc>
          <w:tcPr>
            <w:tcW w:w="2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223,327</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215,116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Imaging Solutions</w:t>
            </w:r>
          </w:p>
        </w:tc>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51,568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47,691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217,611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280,838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53,375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segment net sales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545,881</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582,039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5280" w:type="dxa"/>
            <w:vAlign w:val="bottom"/>
            <w:gridSpan w:val="2"/>
          </w:tcPr>
          <w:p>
            <w:pPr>
              <w:spacing w:after="0"/>
              <w:rPr>
                <w:sz w:val="4"/>
                <w:szCs w:val="4"/>
                <w:color w:val="auto"/>
              </w:rPr>
            </w:pPr>
          </w:p>
        </w:tc>
        <w:tc>
          <w:tcPr>
            <w:tcW w:w="2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19,885</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280" w:type="dxa"/>
            <w:vAlign w:val="bottom"/>
            <w:gridSpan w:val="2"/>
          </w:tcPr>
          <w:p>
            <w:pPr>
              <w:spacing w:after="0"/>
              <w:rPr>
                <w:sz w:val="20"/>
                <w:szCs w:val="20"/>
                <w:color w:val="auto"/>
              </w:rPr>
            </w:pPr>
            <w:r>
              <w:rPr>
                <w:rFonts w:ascii="Arial" w:cs="Arial" w:eastAsia="Arial" w:hAnsi="Arial"/>
                <w:sz w:val="18"/>
                <w:szCs w:val="18"/>
                <w:color w:val="auto"/>
              </w:rPr>
              <w:t>Imaging Solutions</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56"/>
        </w:trPr>
        <w:tc>
          <w:tcPr>
            <w:tcW w:w="5280" w:type="dxa"/>
            <w:vAlign w:val="bottom"/>
            <w:gridSpan w:val="2"/>
          </w:tcPr>
          <w:p>
            <w:pPr>
              <w:spacing w:after="0"/>
              <w:rPr>
                <w:sz w:val="4"/>
                <w:szCs w:val="4"/>
                <w:color w:val="auto"/>
              </w:rPr>
            </w:pPr>
          </w:p>
        </w:tc>
        <w:tc>
          <w:tcPr>
            <w:tcW w:w="2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31,747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46,259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segment gross profit</w:t>
            </w:r>
          </w:p>
        </w:tc>
        <w:tc>
          <w:tcPr>
            <w:tcW w:w="2420" w:type="dxa"/>
            <w:vAlign w:val="bottom"/>
            <w:gridSpan w:val="2"/>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74,020</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2007, approximately 99% of the Company’s property, plant and equipment are located in Korea.</w:t>
      </w:r>
    </w:p>
    <w:p>
      <w:pPr>
        <w:spacing w:after="0" w:line="158"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Net sales from the Company’s ten largest customers accounted for 61.6% and 64.1% for the nine months ended September 30, 2007 and October 1, 2006, respectively.</w:t>
      </w:r>
    </w:p>
    <w:p>
      <w:pPr>
        <w:spacing w:after="0" w:line="15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Company recorded $131.1 million and $151.1 million of sales to one customer within the Display Solutions segment, which represents greater than 10% of net sales, for the nine months period ended September 30, 2007 and October 1, 2006, respectively.</w:t>
      </w:r>
    </w:p>
    <w:p>
      <w:pPr>
        <w:spacing w:after="0" w:line="214" w:lineRule="exact"/>
        <w:rPr>
          <w:sz w:val="20"/>
          <w:szCs w:val="20"/>
          <w:color w:val="auto"/>
        </w:rPr>
      </w:pPr>
    </w:p>
    <w:p>
      <w:pPr>
        <w:ind w:right="8320" w:firstLine="8"/>
        <w:spacing w:after="0" w:line="384" w:lineRule="auto"/>
        <w:tabs>
          <w:tab w:leader="none" w:pos="293"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Advisory Agreements</w:t>
      </w:r>
    </w:p>
    <w:p>
      <w:pPr>
        <w:ind w:right="280" w:firstLine="571"/>
        <w:spacing w:after="0" w:line="237" w:lineRule="auto"/>
        <w:rPr>
          <w:sz w:val="20"/>
          <w:szCs w:val="20"/>
          <w:color w:val="auto"/>
        </w:rPr>
      </w:pPr>
      <w:r>
        <w:rPr>
          <w:rFonts w:ascii="Arial" w:cs="Arial" w:eastAsia="Arial" w:hAnsi="Arial"/>
          <w:sz w:val="18"/>
          <w:szCs w:val="18"/>
          <w:color w:val="auto"/>
        </w:rPr>
        <w:t>Advisory agreements were entered into as of October 6, 2004 by and between the Company and each of the advisors including Court Square Advisor, LLC (successor in interest to CVC Management LLC) (“Court Square”), CVC Capital Partners Asia Limited (“CVC Capital”) and Francisco Partners Management LLC (“Francisco Partners”). The Company is to pay each of Court Square and Francisco Partners an annual advisory fee the amount of which shall be the greater of $1,379,163 per annum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and the three-month period ended December 31, 2004 (successor company), the Company accrued $3,545 thousand and $890 thousand of accrued expenses under these agreements, respectively, which is included in selling, general and administrative expenses in the accompanying consolidated financial statements. During the year ended December 31, 2006, due to lower financial performances, the advisors agreed to waive the advisory fee and, therefore, the Company did not accrue any expenses. Effective June 30, 2007, the parties to the advisory agreements entered into the First Amendment to Advisory Agreement under which all rights and obligations of the parties terminate except for indemnity and liability provisions. The Amendment provides that upon a firmly underwritten public offering of common equity of the Company with net proceeds of $50 million or more, the Company must pay a termination fee to the advisors in the amount of all advisory fees not paid under the advisory agreements plus the net present value of all advisory fees that would have been payable through October 6, 2014 had the advisory agreements not been amended.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Incentives</w:t>
      </w:r>
    </w:p>
    <w:p>
      <w:pPr>
        <w:spacing w:after="0" w:line="97"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The Company has committed to its employees that it will pay an IPO incentive to all non-executive employees who are employed by the Company at the closing date of the Company’s initial public offering. The incentive is estimated to be $30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56" w:lineRule="exact"/>
        <w:rPr>
          <w:sz w:val="20"/>
          <w:szCs w:val="20"/>
          <w:color w:val="auto"/>
        </w:rPr>
      </w:pPr>
    </w:p>
    <w:p>
      <w:pPr>
        <w:ind w:right="320" w:firstLine="571"/>
        <w:spacing w:after="0" w:line="237" w:lineRule="auto"/>
        <w:rPr>
          <w:sz w:val="20"/>
          <w:szCs w:val="20"/>
          <w:color w:val="auto"/>
        </w:rPr>
      </w:pPr>
      <w:r>
        <w:rPr>
          <w:rFonts w:ascii="Arial" w:cs="Arial" w:eastAsia="Arial" w:hAnsi="Arial"/>
          <w:sz w:val="18"/>
          <w:szCs w:val="18"/>
          <w:color w:val="auto"/>
        </w:rPr>
        <w:t>Below are condensed consolidating balance sheets as of September 30, 2007 and December 31, 2006, condensed consolidating statements of operations for the three months and nine months ended September 30, 2007 and October 1, 2006 and condensed consolidating statement of cash flows for the nine months ended September 30, 2007 and October 1, 2006 of those entities that guarantee the Senior Subordinated Notes, those that do not, MagnaChip Semiconductor LLC, and the co-issuers.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532,544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235,186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(221,849)</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545,881</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471,123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204,483</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(203,745)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471,861</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61,421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30,703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74,020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10,272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71,904</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101,813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16,681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(17,405)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101,089</w:t>
            </w:r>
          </w:p>
        </w:tc>
        <w:tc>
          <w:tcPr>
            <w:tcW w:w="80" w:type="dxa"/>
            <w:vAlign w:val="bottom"/>
            <w:shd w:val="clear" w:color="auto" w:fill="CCEEFF"/>
          </w:tcPr>
          <w:p>
            <w:pPr>
              <w:spacing w:after="0"/>
              <w:rPr>
                <w:sz w:val="17"/>
                <w:szCs w:val="17"/>
                <w:color w:val="auto"/>
              </w:rPr>
            </w:pPr>
          </w:p>
        </w:tc>
      </w:tr>
      <w:tr>
        <w:trPr>
          <w:trHeight w:val="210"/>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12,084</w:t>
            </w:r>
          </w:p>
        </w:tc>
        <w:tc>
          <w:tcPr>
            <w:tcW w:w="80" w:type="dxa"/>
            <w:vAlign w:val="bottom"/>
          </w:tcPr>
          <w:p>
            <w:pPr>
              <w:spacing w:after="0"/>
              <w:rPr>
                <w:sz w:val="18"/>
                <w:szCs w:val="1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(112,924)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(111,057)</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(28,045)</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(9,840)</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(33,372)</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earnings (loss) 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3,586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(140,969)</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(6,090)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(144,429)</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80" w:type="dxa"/>
            <w:vAlign w:val="bottom"/>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3,458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(12,490)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(151,072)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(150,752)</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(154,605)</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(141,451)</w:t>
            </w:r>
          </w:p>
        </w:tc>
        <w:tc>
          <w:tcPr>
            <w:tcW w:w="160" w:type="dxa"/>
            <w:vAlign w:val="bottom"/>
          </w:tcPr>
          <w:p>
            <w:pPr>
              <w:spacing w:after="0"/>
              <w:rPr>
                <w:sz w:val="18"/>
                <w:szCs w:val="18"/>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92"/>
              </w:rPr>
              <w:t>446,808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(151,072)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(151,147)</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(153,941)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446,172</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(151,072)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8,863</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(159,935)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(151,147)</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(141,084)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(153,941)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2"/>
              </w:rPr>
              <w:t>446,172</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(159,935)</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F-62</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561,282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291,357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(270,600)</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582,039</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494,361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263,159</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(256,941)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500,579</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66,921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28,198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81,460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8,619</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66,368</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99,798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10,813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(14,743)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95,868</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93,723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93,948</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(183,569)</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8,541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(174,724)</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(10,734)</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(2,117)</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 loss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5,386</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(181,088)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(2,193)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(176,841)</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6,659</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8"/>
                <w:szCs w:val="18"/>
                <w:color w:val="auto"/>
              </w:rPr>
            </w:pP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5,264</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(8,852)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(183,672)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(183,588)</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(193,848)</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(181,611)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(183,672)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(188,584)</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(190,463)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560,185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(183,672)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8,070</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(191,742)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(188,584)</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(181,138)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(190,463)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560,185</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(191,742)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F-63</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22,091</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34,888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4,677</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127,648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56,286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(59,592)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89,563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5,042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6,349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Short-term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15,773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11,048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(26,747)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3"/>
                <w:szCs w:val="13"/>
                <w:color w:val="auto"/>
              </w:rPr>
            </w:pP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279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58,582</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269,496</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116,437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(146,593)</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298,201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278,077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96,477</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19,202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(326,133)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(406,325)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(225,189)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804,809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634,445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(1,439,254)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41,417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(20,632)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(325,854)</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474,008</w:t>
            </w:r>
          </w:p>
        </w:tc>
        <w:tc>
          <w:tcPr>
            <w:tcW w:w="4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685,467</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557,654</w:t>
            </w:r>
          </w:p>
        </w:tc>
        <w:tc>
          <w:tcPr>
            <w:tcW w:w="3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(649,015)</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742,260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128,517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52,296</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(59,592)</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49,234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11,674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24,264</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17,657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30,601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2,913</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52,141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235,529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97,186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(146,088)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238,878</w:t>
            </w:r>
          </w:p>
        </w:tc>
        <w:tc>
          <w:tcPr>
            <w:tcW w:w="0" w:type="dxa"/>
            <w:vAlign w:val="bottom"/>
          </w:tcPr>
          <w:p>
            <w:pPr>
              <w:spacing w:after="0"/>
              <w:rPr>
                <w:sz w:val="1"/>
                <w:szCs w:val="1"/>
                <w:color w:val="auto"/>
              </w:rPr>
            </w:pPr>
          </w:p>
        </w:tc>
      </w:tr>
      <w:tr>
        <w:trPr>
          <w:trHeight w:val="20"/>
        </w:trPr>
        <w:tc>
          <w:tcPr>
            <w:tcW w:w="44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Long-term borrowings</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621,000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818,254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(1,439,254)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71,878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5,287</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22,384</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802,141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933,694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938,253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(1,605,974)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1,068,224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126,237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126,237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52,832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136,229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39,005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55,778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(231,012)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155,618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107,659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(264,906)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(531,803)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(490,813)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(465,996)</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(567,983)</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1,524,792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24,072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24,822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23,146</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23,947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(71,915)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unitholders’ equity</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(452,201)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(328,133)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(248,227)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(380,599)</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956,959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(452,201)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(325,854)</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474,008</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685,467</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557,654</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(649,015)</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86,488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55,676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15,862</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12,843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17,472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232,859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(94,002)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334,809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1,470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117,101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(167,545)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(246,126)</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491,160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791,648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21,349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41,972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67,002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3,135</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22,040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142,689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(93,964)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62,550</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827,430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(1,542,641)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117,374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136,229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(265,055)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(338,112)</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(323,358)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(412,488)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1,073,958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31,351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(284,541)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(169,131)</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(100,689)</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(221,302)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491,122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(151,072)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(151,147)</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(141,084)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(153,941)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446,172</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(151,072)</w:t>
            </w:r>
          </w:p>
        </w:tc>
        <w:tc>
          <w:tcPr>
            <w:tcW w:w="0" w:type="dxa"/>
            <w:vAlign w:val="bottom"/>
          </w:tcPr>
          <w:p>
            <w:pPr>
              <w:spacing w:after="0"/>
              <w:rPr>
                <w:sz w:val="1"/>
                <w:szCs w:val="1"/>
                <w:color w:val="auto"/>
              </w:rPr>
            </w:pPr>
          </w:p>
        </w:tc>
      </w:tr>
      <w:tr>
        <w:trPr>
          <w:trHeight w:val="148"/>
        </w:trPr>
        <w:tc>
          <w:tcPr>
            <w:tcW w:w="474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135,507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3,280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138,787</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13,857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13,985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733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(Gain) loss on foreign currency translation, net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(10,042)</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13,580</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10,130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10,106</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Loss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150,752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154,605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141,451</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(446,808)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(40,196)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(21,089)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(46,487)</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(32,252)</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(2,742)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(34,528)</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(1,017)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8,397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(7,592)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655</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59,565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11,932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56,699</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(7,710)</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(4,894)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1,838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6,118</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9,364</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(3,792)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49"/>
        </w:trPr>
        <w:tc>
          <w:tcPr>
            <w:tcW w:w="4740" w:type="dxa"/>
            <w:vAlign w:val="bottom"/>
          </w:tcPr>
          <w:p>
            <w:pPr>
              <w:ind w:left="44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(5,913)</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(6,009)</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(8,662)</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399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(13,225)</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(62,285)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(1,682)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(63,967)</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(1,115)</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Increase in short-term loans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787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(61,914)</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(22,716)</w:t>
            </w: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40,194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(64,436)</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unit options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30,397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70,397</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30,397</w:t>
            </w: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50,508</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ind w:left="88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21,199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(37,720)</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(10,675)</w:t>
            </w:r>
          </w:p>
        </w:tc>
        <w:tc>
          <w:tcPr>
            <w:tcW w:w="16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(27,239)</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15,352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278</w:t>
            </w:r>
          </w:p>
        </w:tc>
        <w:tc>
          <w:tcPr>
            <w:tcW w:w="22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22,091</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34,888</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4,677</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61,934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1, 2006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(183,672)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(188,584)</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(181,138)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(190,463)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560,185</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loss to net cash provided by (used 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142,376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3,105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10,029</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(43,674)</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11,259</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long-lived assets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92,540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Loss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183,588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193,848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181,611</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(559,047)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1,687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(2,663)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42,450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14,719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32,150</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3,444</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4,070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4,173</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1,405</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(36,691)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(23,629)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(23,807)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1,756</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6,616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1,721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1,278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(320)</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(6,197)</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(1,794)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(2,982)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(7,116)</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5,533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2,768</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38,692</w:t>
            </w:r>
          </w:p>
        </w:tc>
        <w:tc>
          <w:tcPr>
            <w:tcW w:w="140" w:type="dxa"/>
            <w:vAlign w:val="bottom"/>
          </w:tcPr>
          <w:p>
            <w:pPr>
              <w:spacing w:after="0"/>
              <w:rPr>
                <w:sz w:val="13"/>
                <w:szCs w:val="13"/>
                <w:color w:val="auto"/>
              </w:rPr>
            </w:pP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(3,344)</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36,571</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(25,574)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Payments for intellectual property registration</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(1,687)</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2,748</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2,801</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(704)</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(19,431)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(20,186)</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unit options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Effect of exchange rate on cash and cash equivalents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5,524</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(623)</w:t>
            </w: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24,785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(4,722)</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20,915</w:t>
            </w:r>
          </w:p>
        </w:tc>
        <w:tc>
          <w:tcPr>
            <w:tcW w:w="0" w:type="dxa"/>
            <w:vAlign w:val="bottom"/>
          </w:tcPr>
          <w:p>
            <w:pPr>
              <w:spacing w:after="0"/>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period</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63,435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22,089</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End of the period</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413</w:t>
            </w:r>
          </w:p>
        </w:tc>
        <w:tc>
          <w:tcPr>
            <w:tcW w:w="22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1,489</w:t>
            </w:r>
          </w:p>
        </w:tc>
        <w:tc>
          <w:tcPr>
            <w:tcW w:w="3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88,220</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17,367</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107,489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856615</wp:posOffset>
            </wp:positionV>
            <wp:extent cx="15347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1774190</wp:posOffset>
            </wp:positionV>
            <wp:extent cx="15347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1079500</wp:posOffset>
            </wp:positionV>
            <wp:extent cx="1886585" cy="4286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5300" w:val="left"/>
          <w:tab w:leader="none" w:pos="984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UBS Investment Bank</w:t>
      </w:r>
      <w:r>
        <w:rPr>
          <w:sz w:val="20"/>
          <w:szCs w:val="20"/>
          <w:color w:val="auto"/>
        </w:rPr>
        <w:tab/>
      </w:r>
      <w:r>
        <w:rPr>
          <w:rFonts w:ascii="Arial" w:cs="Arial" w:eastAsia="Arial" w:hAnsi="Arial"/>
          <w:sz w:val="24"/>
          <w:szCs w:val="24"/>
          <w:b w:val="1"/>
          <w:bCs w:val="1"/>
          <w:color w:val="auto"/>
        </w:rPr>
        <w:t>Credit Suisse</w:t>
      </w:r>
    </w:p>
    <w:p>
      <w:pPr>
        <w:spacing w:after="0" w:line="116" w:lineRule="exact"/>
        <w:rPr>
          <w:sz w:val="20"/>
          <w:szCs w:val="20"/>
          <w:color w:val="auto"/>
        </w:rPr>
      </w:pPr>
    </w:p>
    <w:p>
      <w:pPr>
        <w:ind w:left="2620"/>
        <w:spacing w:after="0"/>
        <w:tabs>
          <w:tab w:leader="none" w:pos="7720" w:val="left"/>
        </w:tabs>
        <w:rPr>
          <w:sz w:val="20"/>
          <w:szCs w:val="20"/>
          <w:color w:val="auto"/>
        </w:rPr>
      </w:pPr>
      <w:r>
        <w:rPr>
          <w:rFonts w:ascii="Arial" w:cs="Arial" w:eastAsia="Arial" w:hAnsi="Arial"/>
          <w:sz w:val="24"/>
          <w:szCs w:val="24"/>
          <w:b w:val="1"/>
          <w:bCs w:val="1"/>
          <w:color w:val="auto"/>
        </w:rPr>
        <w:t>Citi</w:t>
      </w:r>
      <w:r>
        <w:rPr>
          <w:sz w:val="20"/>
          <w:szCs w:val="20"/>
          <w:color w:val="auto"/>
        </w:rPr>
        <w:tab/>
      </w:r>
      <w:r>
        <w:rPr>
          <w:rFonts w:ascii="Arial" w:cs="Arial" w:eastAsia="Arial" w:hAnsi="Arial"/>
          <w:sz w:val="24"/>
          <w:szCs w:val="24"/>
          <w:b w:val="1"/>
          <w:bCs w:val="1"/>
          <w:color w:val="auto"/>
        </w:rPr>
        <w:t>Lehman Brothers</w:t>
      </w:r>
    </w:p>
    <w:p>
      <w:pPr>
        <w:spacing w:after="0" w:line="116" w:lineRule="exact"/>
        <w:rPr>
          <w:sz w:val="20"/>
          <w:szCs w:val="20"/>
          <w:color w:val="auto"/>
        </w:rPr>
      </w:pPr>
    </w:p>
    <w:p>
      <w:pPr>
        <w:ind w:left="1600"/>
        <w:spacing w:after="0"/>
        <w:tabs>
          <w:tab w:leader="none" w:pos="7860" w:val="left"/>
        </w:tabs>
        <w:rPr>
          <w:sz w:val="20"/>
          <w:szCs w:val="20"/>
          <w:color w:val="auto"/>
        </w:rPr>
      </w:pPr>
      <w:r>
        <w:rPr>
          <w:rFonts w:ascii="Arial" w:cs="Arial" w:eastAsia="Arial" w:hAnsi="Arial"/>
          <w:sz w:val="24"/>
          <w:szCs w:val="24"/>
          <w:b w:val="1"/>
          <w:bCs w:val="1"/>
          <w:color w:val="auto"/>
        </w:rPr>
        <w:t>Jefferies &amp; Company</w:t>
      </w:r>
      <w:r>
        <w:rPr>
          <w:sz w:val="20"/>
          <w:szCs w:val="20"/>
          <w:color w:val="auto"/>
        </w:rPr>
        <w:tab/>
      </w:r>
      <w:r>
        <w:rPr>
          <w:rFonts w:ascii="Arial" w:cs="Arial" w:eastAsia="Arial" w:hAnsi="Arial"/>
          <w:sz w:val="24"/>
          <w:szCs w:val="24"/>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455295</wp:posOffset>
            </wp:positionV>
            <wp:extent cx="15347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00" w:firstLine="571"/>
        <w:spacing w:after="0" w:line="249" w:lineRule="auto"/>
        <w:rPr>
          <w:sz w:val="20"/>
          <w:szCs w:val="20"/>
          <w:color w:val="auto"/>
        </w:rPr>
      </w:pPr>
      <w:r>
        <w:rPr>
          <w:rFonts w:ascii="Arial" w:cs="Arial" w:eastAsia="Arial" w:hAnsi="Arial"/>
          <w:sz w:val="18"/>
          <w:szCs w:val="18"/>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New York Stock Exchange Listing Fee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1,400,000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FINRA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127,347</w:t>
            </w: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3,900,000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includes a provision that eliminates the personal liability of our directors for monetary damages for breach of fiduciary duty as a director, except for liability (1) for any breach of the director’s duty of loyalty to us or our stockholders; (2) for acts or omissions not in good faith or that involve intentional misconduct or a knowing violation of the law; (3) under Section 174 of the DGCL regarding unlawful dividends and stock purchases; or (4) arising as a result of any transaction from which the director derived an improper personal benefit.</w:t>
      </w:r>
    </w:p>
    <w:p>
      <w:pPr>
        <w:spacing w:after="0" w:line="157" w:lineRule="exact"/>
        <w:rPr>
          <w:sz w:val="20"/>
          <w:szCs w:val="20"/>
          <w:color w:val="auto"/>
        </w:rPr>
      </w:pPr>
    </w:p>
    <w:p>
      <w:pPr>
        <w:ind w:right="280"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provides that (1) we are required to indemnify our directors and officers to the fullest extent permitted by the DGCL, subject to certain exceptions; (2) we are permitted to indemnify our other employees and agents to the extent that we indemnify our officers and directors, unless otherwise required by law, our amended and restated certificate of incorporation or agreements; (3) we are required to advance expenses, as incurred, to our directors and officers in connection with any legal proceeding, subject to certain exceptions; and (4) the rights conferred in our amended and restated certificate of incorporation are not exclusive.</w:t>
      </w:r>
    </w:p>
    <w:p>
      <w:pPr>
        <w:spacing w:after="0" w:line="156"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At present, we are not aware of any pending or threatened litigation or proceeding involving any of our directors, officers, employees or agents in which indemnification would be required or permitted.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charter provisions are necessary to attract and retain qualified persons as directors and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relates to sales of securities that have occurred since November 2004 that have not been registered under the Securities Act:</w:t>
      </w:r>
    </w:p>
    <w:p>
      <w:pPr>
        <w:spacing w:after="0" w:line="10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Immediately prior to this offering, as part of our corporate reorganization, shares of our common stock will be issued in exchange for the common units and some of the Series B preferred units of MagnaChip Semiconductor LLC, and shares of our Series B preferred stock will be issued in exchange for the remaining Series B preferred units of MagnaChip Semiconductor LLC. The issuance of shares of our stock pursuant to such corporate reorganization will be exempt from registration under either Section 4(2) of the Securities Act and/or Regulation S promulgated thereunder.</w:t>
      </w:r>
    </w:p>
    <w:p>
      <w:pPr>
        <w:spacing w:after="0" w:line="157"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On October 25, 2007, one of our former employees exercised options to acquire 1,500 of our common units at a purchase price of $3,000. Because the offering transaction took place outside the U.S. and the optionee was not a U.S. person, these securities were exempt from registration under Regulation S of the Securities Act of 1933, as amended.</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August 22, 2007, one of our former executives exercised options to acquire 30,937.50 of our common units at a purchase price of</w:t>
      </w:r>
    </w:p>
    <w:p>
      <w:pPr>
        <w:spacing w:after="0"/>
        <w:rPr>
          <w:sz w:val="20"/>
          <w:szCs w:val="20"/>
          <w:color w:val="auto"/>
        </w:rPr>
      </w:pPr>
      <w:r>
        <w:rPr>
          <w:rFonts w:ascii="Arial" w:cs="Arial" w:eastAsia="Arial" w:hAnsi="Arial"/>
          <w:sz w:val="16"/>
          <w:szCs w:val="16"/>
          <w:color w:val="auto"/>
        </w:rPr>
        <w:t>$30,937. Because the offering transaction took place outside the U.S. and the optionee was not a U.S. person, these securities were exempt from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registration under Regulation S.</w:t>
      </w:r>
    </w:p>
    <w:p>
      <w:pPr>
        <w:spacing w:after="0" w:line="15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On May 4, 2007, one of our former executives exercised options to acquire 80,000 of our common units for an aggregate purchase price of $80,000. These securities were exempt from registration under Section 4(2) of the Securities Act, by reason of the fact that the offering was a limited private placement to one knowledgeable investor who agreed not to resell the securities to the public.</w:t>
      </w:r>
    </w:p>
    <w:p>
      <w:pPr>
        <w:spacing w:after="0" w:line="154"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On August 24, 2006, one of our subsidiary’s former employees exercised options to acquire 4,375 of our common units for an aggregate purchase price of $5,998. Because the offering transaction took place outside the U.S. and the optionee was not a U.S. person, these securities were exempt from registration under Regulation S.</w:t>
      </w:r>
    </w:p>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In April 2006, certain of our subsidiary’s employees and former employees exercised options to acquire an aggregate of 2,812.50 of our common units at an aggregate purchase price of $8,050. Because the offering transactions took place outside the U.S. and none of the optionees was a U.S. persons, these securities were exempt from registration under Regulation S.</w:t>
      </w:r>
    </w:p>
    <w:p>
      <w:pPr>
        <w:spacing w:after="0" w:line="154" w:lineRule="exact"/>
        <w:rPr>
          <w:sz w:val="20"/>
          <w:szCs w:val="20"/>
          <w:color w:val="auto"/>
        </w:rPr>
      </w:pPr>
    </w:p>
    <w:p>
      <w:pPr>
        <w:ind w:right="400" w:firstLine="571"/>
        <w:spacing w:after="0" w:line="238" w:lineRule="auto"/>
        <w:rPr>
          <w:sz w:val="20"/>
          <w:szCs w:val="20"/>
          <w:color w:val="auto"/>
        </w:rPr>
      </w:pPr>
      <w:r>
        <w:rPr>
          <w:rFonts w:ascii="Arial" w:cs="Arial" w:eastAsia="Arial" w:hAnsi="Arial"/>
          <w:sz w:val="18"/>
          <w:szCs w:val="18"/>
          <w:color w:val="auto"/>
        </w:rPr>
        <w:t>In March 2006, certain of our employees exercised options to acquire an aggregate of 18,750 of our common units for an aggregate purchase price of $42,008. Because the offering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In February 2006, certain of our employees exercised options to acquire an aggregate of 15,312.50 of our common units for an aggregate purchase price of $22,849. Because the offering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In January 2006, certain of our employees exercised options to acquire an aggregate of 4,812.50 of our common units for an aggregate purchase price of $9,347. Because the offering transactions took place outside the U.S. and none of the optionees was a U.S. person, these securities were exempt from registration under Regulation 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firstLine="571"/>
        <w:spacing w:after="0" w:line="238" w:lineRule="auto"/>
        <w:rPr>
          <w:sz w:val="20"/>
          <w:szCs w:val="20"/>
          <w:color w:val="auto"/>
        </w:rPr>
      </w:pPr>
      <w:r>
        <w:rPr>
          <w:rFonts w:ascii="Arial" w:cs="Arial" w:eastAsia="Arial" w:hAnsi="Arial"/>
          <w:sz w:val="18"/>
          <w:szCs w:val="18"/>
          <w:color w:val="auto"/>
        </w:rPr>
        <w:t>In December 2005, certain of our employees exercised options to acquire an aggregate of 4,250 of our common units for an aggregate purchase price of $12,316. Because the transactions took place outside the U.S. and none of the optionees was a U.S. person, these securities were exempt from registration under Regulation S.</w:t>
      </w:r>
    </w:p>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On December 9, 2005, ISETEX, Inc., one of our consultants, exercised options to acquire 50,000 of our common units for an aggregate purchase price of $100,000. These securities were exempt from registration under Section 4(2) of the Securities Act by reason of the fact that the offering was a limited private placement to one knowledgeable investor who agreed not to resell the securities to the public.</w:t>
      </w:r>
    </w:p>
    <w:p>
      <w:pPr>
        <w:spacing w:after="0" w:line="154" w:lineRule="exact"/>
        <w:rPr>
          <w:sz w:val="20"/>
          <w:szCs w:val="20"/>
          <w:color w:val="auto"/>
        </w:rPr>
      </w:pPr>
    </w:p>
    <w:p>
      <w:pPr>
        <w:ind w:right="240" w:firstLine="571"/>
        <w:spacing w:after="0" w:line="281" w:lineRule="auto"/>
        <w:rPr>
          <w:sz w:val="20"/>
          <w:szCs w:val="20"/>
          <w:color w:val="auto"/>
        </w:rPr>
      </w:pPr>
      <w:r>
        <w:rPr>
          <w:rFonts w:ascii="Arial" w:cs="Arial" w:eastAsia="Arial" w:hAnsi="Arial"/>
          <w:sz w:val="16"/>
          <w:szCs w:val="16"/>
          <w:color w:val="auto"/>
        </w:rPr>
        <w:t>On December 23, 2004, our subsidiaries, MagnaChip Semiconductor S.A. and MagnaChip Semiconductor Finance Company, sold (and certain of our subsidiaries guaranteed) $300 million aggregate principal amount of floating rate second priority senior secured notes due 2011,</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 xml:space="preserve">$200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$250 million aggregate principal amount of 8% senior subordinated notes due 2014. We received proceeds of approximately $291.9 million, $194.2 million and $243.4 million, respectively, pursuant to the sale of such notes. The initial purchasers of the foregoing notes were UBS Securities LLC, Citigroup Global Markets Inc., Goldman Sachs &amp; Co., J.P. Morgan Securities Inc. and Deutsche Bank Securities Inc. The issuance of the notes to the initial purchasers was made in reliance on Section 4(2) under the Securities Act and the notes were subsequently resold by the initial purchasers pursuant to Rule 144A and Regulation S thereunder.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300"/>
              <w:spacing w:after="0"/>
              <w:rPr>
                <w:sz w:val="20"/>
                <w:szCs w:val="20"/>
                <w:color w:val="auto"/>
              </w:rPr>
            </w:pPr>
            <w:r>
              <w:rPr>
                <w:rFonts w:ascii="Arial" w:cs="Arial" w:eastAsia="Arial" w:hAnsi="Arial"/>
                <w:sz w:val="18"/>
                <w:szCs w:val="18"/>
                <w:color w:val="auto"/>
                <w:w w:val="98"/>
              </w:rPr>
              <w:t>Business Transfer Agreement, dated as of June 12, 2004, between Hynix Semiconductor Inc. and MagnaChip Semiconductor, Ltd.</w:t>
            </w:r>
          </w:p>
        </w:tc>
      </w:tr>
      <w:tr>
        <w:trPr>
          <w:trHeight w:val="211"/>
        </w:trPr>
        <w:tc>
          <w:tcPr>
            <w:tcW w:w="64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(Korea)(1)</w:t>
            </w:r>
          </w:p>
        </w:tc>
      </w:tr>
      <w:tr>
        <w:trPr>
          <w:trHeight w:val="262"/>
        </w:trPr>
        <w:tc>
          <w:tcPr>
            <w:tcW w:w="640" w:type="dxa"/>
            <w:vAlign w:val="bottom"/>
          </w:tcPr>
          <w:p>
            <w:pPr>
              <w:spacing w:after="0"/>
              <w:rPr>
                <w:sz w:val="20"/>
                <w:szCs w:val="20"/>
                <w:color w:val="auto"/>
              </w:rPr>
            </w:pPr>
            <w:r>
              <w:rPr>
                <w:rFonts w:ascii="Arial" w:cs="Arial" w:eastAsia="Arial" w:hAnsi="Arial"/>
                <w:sz w:val="18"/>
                <w:szCs w:val="18"/>
                <w:color w:val="auto"/>
              </w:rPr>
              <w:t>2.2</w:t>
            </w: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First Amendment to Business Transfer Agreement, dated as of October 6, 2004, between Hynix Semiconductor Inc. and MagnaChip</w:t>
            </w:r>
          </w:p>
        </w:tc>
      </w:tr>
      <w:tr>
        <w:trPr>
          <w:trHeight w:val="211"/>
        </w:trPr>
        <w:tc>
          <w:tcPr>
            <w:tcW w:w="64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Semiconductor, Ltd. (Korea)(1)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10560" w:type="dxa"/>
            <w:vAlign w:val="bottom"/>
          </w:tcPr>
          <w:p>
            <w:pPr>
              <w:ind w:left="300"/>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3.5</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3.6</w:t>
            </w:r>
          </w:p>
        </w:tc>
        <w:tc>
          <w:tcPr>
            <w:tcW w:w="10560" w:type="dxa"/>
            <w:vAlign w:val="bottom"/>
          </w:tcPr>
          <w:p>
            <w:pPr>
              <w:ind w:left="300"/>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3.7</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3.8</w:t>
            </w:r>
          </w:p>
        </w:tc>
        <w:tc>
          <w:tcPr>
            <w:tcW w:w="10560" w:type="dxa"/>
            <w:vAlign w:val="bottom"/>
          </w:tcPr>
          <w:p>
            <w:pPr>
              <w:ind w:left="300"/>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3.9</w:t>
            </w:r>
          </w:p>
        </w:tc>
        <w:tc>
          <w:tcPr>
            <w:tcW w:w="10560" w:type="dxa"/>
            <w:vAlign w:val="bottom"/>
          </w:tcPr>
          <w:p>
            <w:pPr>
              <w:ind w:left="300"/>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3.14</w:t>
            </w:r>
          </w:p>
        </w:tc>
        <w:tc>
          <w:tcPr>
            <w:tcW w:w="105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3.15</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3.16</w:t>
            </w:r>
          </w:p>
        </w:tc>
        <w:tc>
          <w:tcPr>
            <w:tcW w:w="105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3.17</w:t>
            </w:r>
          </w:p>
        </w:tc>
        <w:tc>
          <w:tcPr>
            <w:tcW w:w="105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351"/>
        </w:trPr>
        <w:tc>
          <w:tcPr>
            <w:tcW w:w="64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60"/>
          </w:cols>
          <w:pgMar w:left="240" w:top="460" w:right="2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820" w:type="dxa"/>
            <w:vAlign w:val="bottom"/>
          </w:tcPr>
          <w:p>
            <w:pPr>
              <w:spacing w:after="0"/>
              <w:rPr>
                <w:sz w:val="20"/>
                <w:szCs w:val="20"/>
                <w:color w:val="auto"/>
              </w:rPr>
            </w:pPr>
            <w:r>
              <w:rPr>
                <w:rFonts w:ascii="Arial" w:cs="Arial" w:eastAsia="Arial" w:hAnsi="Arial"/>
                <w:sz w:val="18"/>
                <w:szCs w:val="18"/>
                <w:color w:val="auto"/>
              </w:rPr>
              <w:t>3.18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3.19</w:t>
            </w:r>
          </w:p>
        </w:tc>
        <w:tc>
          <w:tcPr>
            <w:tcW w:w="10300" w:type="dxa"/>
            <w:vAlign w:val="bottom"/>
          </w:tcPr>
          <w:p>
            <w:pPr>
              <w:ind w:left="340"/>
              <w:spacing w:after="0"/>
              <w:rPr>
                <w:sz w:val="20"/>
                <w:szCs w:val="20"/>
                <w:color w:val="auto"/>
              </w:rPr>
            </w:pPr>
            <w:r>
              <w:rPr>
                <w:rFonts w:ascii="Arial" w:cs="Arial" w:eastAsia="Arial" w:hAnsi="Arial"/>
                <w:sz w:val="18"/>
                <w:szCs w:val="18"/>
                <w:color w:val="auto"/>
              </w:rPr>
              <w:t>Merger Agreement by and between ISRON Corporation and MagnaChip Semiconductor Inc. dated December 21, 2005, as</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amended on February 22, 2006, including Articles of Incorporation of MagnaChip Semiconductor Inc. (formerly ISRON</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Corporation) (Japan) (English translation)(2)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340"/>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3.23</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3.24</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3.25</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3.26</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MagnaChip Semiconductor Holding Company Limited (formerly IC Media Holding Company</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Limited)(1)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3.27</w:t>
            </w:r>
          </w:p>
        </w:tc>
        <w:tc>
          <w:tcPr>
            <w:tcW w:w="10300" w:type="dxa"/>
            <w:vAlign w:val="bottom"/>
          </w:tcPr>
          <w:p>
            <w:pPr>
              <w:ind w:left="340"/>
              <w:spacing w:after="0"/>
              <w:rPr>
                <w:sz w:val="20"/>
                <w:szCs w:val="20"/>
                <w:color w:val="auto"/>
              </w:rPr>
            </w:pPr>
            <w:r>
              <w:rPr>
                <w:rFonts w:ascii="Arial" w:cs="Arial" w:eastAsia="Arial" w:hAnsi="Arial"/>
                <w:sz w:val="18"/>
                <w:szCs w:val="18"/>
                <w:color w:val="auto"/>
                <w:w w:val="97"/>
              </w:rPr>
              <w:t>Articles of Association of MagnaChip Semiconductor Holding Company Limited (formerly IC Media Holding Company Limited)(1)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3.27.a</w:t>
            </w:r>
          </w:p>
        </w:tc>
        <w:tc>
          <w:tcPr>
            <w:tcW w:w="10300" w:type="dxa"/>
            <w:vAlign w:val="bottom"/>
          </w:tcPr>
          <w:p>
            <w:pPr>
              <w:ind w:left="340"/>
              <w:spacing w:after="0"/>
              <w:rPr>
                <w:sz w:val="20"/>
                <w:szCs w:val="20"/>
                <w:color w:val="auto"/>
              </w:rPr>
            </w:pPr>
            <w:r>
              <w:rPr>
                <w:rFonts w:ascii="Arial" w:cs="Arial" w:eastAsia="Arial" w:hAnsi="Arial"/>
                <w:sz w:val="18"/>
                <w:szCs w:val="18"/>
                <w:color w:val="auto"/>
                <w:w w:val="99"/>
              </w:rPr>
              <w:t>Amendment to Memorandum and Articles of Association of MagnaChip Semiconductor Holding Company Limited (formerly IC</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3.29</w:t>
            </w:r>
          </w:p>
        </w:tc>
        <w:tc>
          <w:tcPr>
            <w:tcW w:w="10300" w:type="dxa"/>
            <w:vAlign w:val="bottom"/>
          </w:tcPr>
          <w:p>
            <w:pPr>
              <w:ind w:left="340"/>
              <w:spacing w:after="0"/>
              <w:rPr>
                <w:sz w:val="20"/>
                <w:szCs w:val="20"/>
                <w:color w:val="auto"/>
              </w:rPr>
            </w:pPr>
            <w:r>
              <w:rPr>
                <w:rFonts w:ascii="Arial" w:cs="Arial" w:eastAsia="Arial" w:hAnsi="Arial"/>
                <w:sz w:val="18"/>
                <w:szCs w:val="18"/>
                <w:color w:val="auto"/>
                <w:w w:val="98"/>
              </w:rPr>
              <w:t>Agreement and Plan of Merger by and between IC Media Corporation and MagnaChip Semiconductor, Inc., including Amended</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3.30</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3.31</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3.32</w:t>
            </w:r>
          </w:p>
        </w:tc>
        <w:tc>
          <w:tcPr>
            <w:tcW w:w="10300" w:type="dxa"/>
            <w:vAlign w:val="bottom"/>
          </w:tcPr>
          <w:p>
            <w:pPr>
              <w:ind w:left="340"/>
              <w:spacing w:after="0"/>
              <w:rPr>
                <w:sz w:val="20"/>
                <w:szCs w:val="20"/>
                <w:color w:val="auto"/>
              </w:rPr>
            </w:pPr>
            <w:r>
              <w:rPr>
                <w:rFonts w:ascii="Arial" w:cs="Arial" w:eastAsia="Arial" w:hAnsi="Arial"/>
                <w:sz w:val="18"/>
                <w:szCs w:val="18"/>
                <w:color w:val="auto"/>
                <w:w w:val="97"/>
              </w:rPr>
              <w:t>Agreement and Plan of Merger by and among MagnaChip Semiconductor Corporation, MagnaChip Semiconductor LLC and MC</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MergerSub LLC*</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300" w:type="dxa"/>
            <w:vAlign w:val="bottom"/>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8"/>
              </w:rPr>
              <w:t>Company, the guarantors as named therein and The Bank of New York, as trustee for the Floating Rate Second Priority Senior</w:t>
            </w:r>
          </w:p>
        </w:tc>
      </w:tr>
      <w:tr>
        <w:trPr>
          <w:trHeight w:val="270"/>
        </w:trPr>
        <w:tc>
          <w:tcPr>
            <w:tcW w:w="820" w:type="dxa"/>
            <w:vAlign w:val="bottom"/>
          </w:tcPr>
          <w:p>
            <w:pPr>
              <w:spacing w:after="0"/>
              <w:rPr>
                <w:sz w:val="23"/>
                <w:szCs w:val="23"/>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 xml:space="preserve">Secured Notes 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300" w:type="dxa"/>
            <w:vAlign w:val="bottom"/>
          </w:tcPr>
          <w:p>
            <w:pPr>
              <w:ind w:left="3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300" w:type="dxa"/>
            <w:vAlign w:val="bottom"/>
          </w:tcPr>
          <w:p>
            <w:pPr>
              <w:ind w:left="3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4.4</w:t>
            </w: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9"/>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7"/>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300" w:type="dxa"/>
            <w:vAlign w:val="bottom"/>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w w:val="99"/>
              </w:rPr>
              <w:t>Company, the guarantors as named therein and The Bank of New York, as trustee for the 8% Senior Subordinated Notes due</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2014(1)</w:t>
            </w:r>
          </w:p>
        </w:tc>
      </w:tr>
    </w:tbl>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0" w:type="dxa"/>
            <w:vAlign w:val="bottom"/>
          </w:tcPr>
          <w:p>
            <w:pPr>
              <w:ind w:left="100"/>
              <w:spacing w:after="0"/>
              <w:rPr>
                <w:sz w:val="20"/>
                <w:szCs w:val="20"/>
                <w:color w:val="auto"/>
              </w:rPr>
            </w:pPr>
            <w:r>
              <w:rPr>
                <w:rFonts w:ascii="Arial" w:cs="Arial" w:eastAsia="Arial" w:hAnsi="Arial"/>
                <w:sz w:val="18"/>
                <w:szCs w:val="18"/>
                <w:color w:val="auto"/>
              </w:rPr>
              <w:t>4.6</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4.7</w:t>
            </w: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5.1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Opinion of Dechert LLP*</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Finance Company, UBS Securities LLC, Citigroup Global Markets Inc., Goldman, Sachs &amp; Co., J.P. Morgan Securities Inc. and</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Credit Agreement,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Stamford Branch and UBS Loan Finance 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10.3.a</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First Amendment to Credit Agreement and Waiver, dated as of May 6, 2005, to the Credit Agreement, dated as of December 23,</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9"/>
              </w:rPr>
              <w:t>2004, among MagnaChip Semiconductor S.A., MagnaChip Semiconductor Finance Company, the guarantors named therein,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named therein, UBS Securities LLC, Korea Exchange Bank, UBS AG, Stamford Branch and UBS Loan Finance 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10.3.b</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LLC(1)</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10.3.c</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10.3.d</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Association(3)</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10.3.e</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10.3.f</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10.3.g</w:t>
            </w:r>
          </w:p>
        </w:tc>
        <w:tc>
          <w:tcPr>
            <w:tcW w:w="10500" w:type="dxa"/>
            <w:vAlign w:val="bottom"/>
          </w:tcPr>
          <w:p>
            <w:pPr>
              <w:ind w:left="340"/>
              <w:spacing w:after="0"/>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 (10)</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10.3.h</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the Lenders party thereto, and UBS AG, Stamford Branch, as administrative</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agent and collateral agent(11)</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10.3.i</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10.3.j</w:t>
            </w: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w w:val="99"/>
              </w:rPr>
              <w:t>Ninth Amendment and Waiver to Credit Agreement, dated as of November 13, 2007, by and among MagnaChip Semiconductor</w:t>
            </w:r>
          </w:p>
        </w:tc>
      </w:tr>
      <w:tr>
        <w:trPr>
          <w:trHeight w:val="203"/>
        </w:trPr>
        <w:tc>
          <w:tcPr>
            <w:tcW w:w="920" w:type="dxa"/>
            <w:vAlign w:val="bottom"/>
          </w:tcPr>
          <w:p>
            <w:pPr>
              <w:spacing w:after="0"/>
              <w:rPr>
                <w:sz w:val="17"/>
                <w:szCs w:val="17"/>
                <w:color w:val="auto"/>
              </w:rPr>
            </w:pPr>
          </w:p>
        </w:tc>
        <w:tc>
          <w:tcPr>
            <w:tcW w:w="10500" w:type="dxa"/>
            <w:vAlign w:val="bottom"/>
          </w:tcPr>
          <w:p>
            <w:pPr>
              <w:ind w:left="340"/>
              <w:spacing w:after="0" w:line="202" w:lineRule="exact"/>
              <w:rPr>
                <w:sz w:val="20"/>
                <w:szCs w:val="20"/>
                <w:color w:val="auto"/>
              </w:rPr>
            </w:pPr>
            <w:r>
              <w:rPr>
                <w:rFonts w:ascii="Arial" w:cs="Arial" w:eastAsia="Arial" w:hAnsi="Arial"/>
                <w:sz w:val="18"/>
                <w:szCs w:val="18"/>
                <w:color w:val="auto"/>
                <w:w w:val="97"/>
              </w:rPr>
              <w:t>S.A. and MagnaChip Semiconductor Finance Company, as borrowers, MagnaChip Semiconductor LLC, the Subsidiary Guarantors</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party thereto, the Lenders party thereto, and UBS AG, Stamford Branch, as administrative agent and collateral agent(13)</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Intercreditor Agreement dated as of December 23, 2004 among MagnaChip Semiconductor Finance Company, the other Pledgors</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40"/>
              <w:spacing w:after="0"/>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10.5a</w:t>
            </w:r>
          </w:p>
        </w:tc>
        <w:tc>
          <w:tcPr>
            <w:tcW w:w="10500" w:type="dxa"/>
            <w:vAlign w:val="bottom"/>
          </w:tcPr>
          <w:p>
            <w:pPr>
              <w:ind w:left="340"/>
              <w:spacing w:after="0"/>
              <w:rPr>
                <w:sz w:val="20"/>
                <w:szCs w:val="20"/>
                <w:color w:val="auto"/>
              </w:rPr>
            </w:pPr>
            <w:r>
              <w:rPr>
                <w:rFonts w:ascii="Arial" w:cs="Arial" w:eastAsia="Arial" w:hAnsi="Arial"/>
                <w:sz w:val="18"/>
                <w:szCs w:val="18"/>
                <w:color w:val="auto"/>
              </w:rPr>
              <w:t>Form of Third Amended and Restated Securityholders’ Agreement*</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Intellectual Property License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10.9.a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3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tcPr>
          <w:p>
            <w:pPr>
              <w:ind w:left="3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10.14.a</w:t>
            </w:r>
          </w:p>
        </w:tc>
        <w:tc>
          <w:tcPr>
            <w:tcW w:w="10420" w:type="dxa"/>
            <w:vAlign w:val="bottom"/>
          </w:tcPr>
          <w:p>
            <w:pPr>
              <w:ind w:left="3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tcPr>
          <w:p>
            <w:pPr>
              <w:ind w:left="3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10.15.a</w:t>
            </w:r>
          </w:p>
        </w:tc>
        <w:tc>
          <w:tcPr>
            <w:tcW w:w="10420" w:type="dxa"/>
            <w:vAlign w:val="bottom"/>
          </w:tcPr>
          <w:p>
            <w:pPr>
              <w:ind w:left="340"/>
              <w:spacing w:after="0"/>
              <w:rPr>
                <w:sz w:val="20"/>
                <w:szCs w:val="20"/>
                <w:color w:val="auto"/>
              </w:rPr>
            </w:pPr>
            <w:r>
              <w:rPr>
                <w:rFonts w:ascii="Arial" w:cs="Arial" w:eastAsia="Arial" w:hAnsi="Arial"/>
                <w:sz w:val="18"/>
                <w:szCs w:val="18"/>
                <w:color w:val="auto"/>
                <w:w w:val="98"/>
              </w:rPr>
              <w:t>First Amendment to General Service Supply Agreement, dated as of December 30, 2005, by and between Hynix Semiconductor</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420" w:type="dxa"/>
            <w:vAlign w:val="bottom"/>
          </w:tcPr>
          <w:p>
            <w:pPr>
              <w:ind w:left="3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10.16.a</w:t>
            </w:r>
          </w:p>
        </w:tc>
        <w:tc>
          <w:tcPr>
            <w:tcW w:w="10420" w:type="dxa"/>
            <w:vAlign w:val="bottom"/>
          </w:tcPr>
          <w:p>
            <w:pPr>
              <w:ind w:left="340"/>
              <w:spacing w:after="0"/>
              <w:rPr>
                <w:sz w:val="20"/>
                <w:szCs w:val="20"/>
                <w:color w:val="auto"/>
              </w:rPr>
            </w:pPr>
            <w:r>
              <w:rPr>
                <w:rFonts w:ascii="Arial" w:cs="Arial" w:eastAsia="Arial" w:hAnsi="Arial"/>
                <w:sz w:val="18"/>
                <w:szCs w:val="18"/>
                <w:color w:val="auto"/>
                <w:w w:val="99"/>
              </w:rPr>
              <w:t>First Amendment to IT and FA Service Agreement, dated as of December 30, 2005, by and between Hynix Semiconductor Inc.</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Krakauer(1)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340"/>
              <w:spacing w:after="0"/>
              <w:rPr>
                <w:sz w:val="20"/>
                <w:szCs w:val="20"/>
                <w:color w:val="auto"/>
              </w:rPr>
            </w:pPr>
            <w:r>
              <w:rPr>
                <w:rFonts w:ascii="Arial" w:cs="Arial" w:eastAsia="Arial" w:hAnsi="Arial"/>
                <w:sz w:val="18"/>
                <w:szCs w:val="18"/>
                <w:color w:val="auto"/>
                <w:w w:val="97"/>
              </w:rPr>
              <w:t>Service Agreement, dated as of December 29, 2004, by and between MagnaChip Semiconductor, Ltd. (Korea) and Victoria Miller</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Nam(1)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Hwang(1)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(California) and Jason Hartlove(1)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34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LLC Equity Incentive Plan(1)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420" w:type="dxa"/>
            <w:vAlign w:val="bottom"/>
          </w:tcPr>
          <w:p>
            <w:pPr>
              <w:ind w:left="340"/>
              <w:spacing w:after="0"/>
              <w:rPr>
                <w:sz w:val="20"/>
                <w:szCs w:val="20"/>
                <w:color w:val="auto"/>
              </w:rPr>
            </w:pPr>
            <w:r>
              <w:rPr>
                <w:rFonts w:ascii="Arial" w:cs="Arial" w:eastAsia="Arial" w:hAnsi="Arial"/>
                <w:sz w:val="18"/>
                <w:szCs w:val="18"/>
                <w:color w:val="auto"/>
                <w:w w:val="98"/>
              </w:rPr>
              <w:t>R&amp;D Equipment Utilization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10.26.a</w:t>
            </w:r>
          </w:p>
        </w:tc>
        <w:tc>
          <w:tcPr>
            <w:tcW w:w="10420" w:type="dxa"/>
            <w:vAlign w:val="bottom"/>
          </w:tcPr>
          <w:p>
            <w:pPr>
              <w:ind w:left="340"/>
              <w:spacing w:after="0"/>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340"/>
              <w:spacing w:after="0"/>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340"/>
              <w:spacing w:after="0"/>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340"/>
              <w:spacing w:after="0"/>
              <w:rPr>
                <w:sz w:val="20"/>
                <w:szCs w:val="20"/>
                <w:color w:val="auto"/>
              </w:rPr>
            </w:pPr>
            <w:r>
              <w:rPr>
                <w:rFonts w:ascii="Arial" w:cs="Arial" w:eastAsia="Arial" w:hAnsi="Arial"/>
                <w:sz w:val="18"/>
                <w:szCs w:val="18"/>
                <w:color w:val="auto"/>
                <w:w w:val="97"/>
              </w:rPr>
              <w:t>RFID Development and Licensing Agreement, dated as of March 29, 2004, by and between Celis Semiconductor Corporation and</w:t>
            </w:r>
          </w:p>
        </w:tc>
      </w:tr>
      <w:tr>
        <w:trPr>
          <w:trHeight w:val="211"/>
        </w:trPr>
        <w:tc>
          <w:tcPr>
            <w:tcW w:w="9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MagnaChip Semiconductor, Ltd. (Korea) (successor in interest to Hynix Semiconductor Inc.)(1)(5)</w:t>
            </w:r>
          </w:p>
        </w:tc>
      </w:tr>
    </w:tbl>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40"/>
          </w:cols>
          <w:pgMar w:left="240" w:top="460" w:right="3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Technology License Agreement, dated as of July 2001, by and between ARM Limited and MagnaChip Semiconductor, Ltd. (Korea)</w:t>
      </w:r>
    </w:p>
    <w:p>
      <w:pPr>
        <w:ind w:left="1040"/>
        <w:spacing w:after="0"/>
        <w:rPr>
          <w:sz w:val="20"/>
          <w:szCs w:val="20"/>
          <w:color w:val="auto"/>
        </w:rPr>
      </w:pPr>
      <w:r>
        <w:rPr>
          <w:rFonts w:ascii="Arial" w:cs="Arial" w:eastAsia="Arial" w:hAnsi="Arial"/>
          <w:sz w:val="18"/>
          <w:szCs w:val="18"/>
          <w:color w:val="auto"/>
        </w:rPr>
        <w:t>(successor in interest to Hynix Semiconductor Inc.)(1)(5)</w:t>
      </w:r>
    </w:p>
    <w:p>
      <w:pPr>
        <w:spacing w:after="0" w:line="63" w:lineRule="exact"/>
        <w:rPr>
          <w:sz w:val="20"/>
          <w:szCs w:val="20"/>
          <w:color w:val="auto"/>
        </w:rPr>
      </w:pPr>
    </w:p>
    <w:p>
      <w:pPr>
        <w:ind w:left="1040" w:hanging="1039"/>
        <w:spacing w:after="0" w:line="239"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Technology License Agreement, dated as of December 16, 1996, by and between Advanced RISC Machines Limited and MagnaChip Semiconductor, Ltd. (Korea) (successor in interest to LG Semicon Company Limited)(1)(5)</w:t>
      </w:r>
    </w:p>
    <w:p>
      <w:pPr>
        <w:spacing w:after="0" w:line="60" w:lineRule="exact"/>
        <w:rPr>
          <w:sz w:val="20"/>
          <w:szCs w:val="20"/>
          <w:color w:val="auto"/>
        </w:rPr>
      </w:pPr>
    </w:p>
    <w:p>
      <w:pPr>
        <w:ind w:left="1040" w:right="280" w:hanging="1039"/>
        <w:spacing w:after="0" w:line="239"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ARM7201TDSP Device License Agreement, dated as of August 26, 1997, by and between Advanced RISC Machines Limited and MagnaChip Semiconductor, Ltd. (Korea) (successor in interest to LG Semicon Company Limited)(1)(5)</w:t>
      </w:r>
    </w:p>
    <w:p>
      <w:pPr>
        <w:spacing w:after="0" w:line="60" w:lineRule="exact"/>
        <w:rPr>
          <w:sz w:val="20"/>
          <w:szCs w:val="20"/>
          <w:color w:val="auto"/>
        </w:rPr>
      </w:pPr>
    </w:p>
    <w:p>
      <w:pPr>
        <w:ind w:left="1040" w:right="320" w:hanging="1039"/>
        <w:spacing w:after="0" w:line="239"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Technology License Agreement, dated as of August 22, 2001, by and between ARM Limited and MagnaChip Semiconductor, Ltd. (Korea) (successor in interest to Hynix Semiconductor Inc.)(1)(5)</w:t>
      </w:r>
    </w:p>
    <w:p>
      <w:pPr>
        <w:spacing w:after="0" w:line="60" w:lineRule="exact"/>
        <w:rPr>
          <w:sz w:val="20"/>
          <w:szCs w:val="20"/>
          <w:color w:val="auto"/>
        </w:rPr>
      </w:pPr>
    </w:p>
    <w:p>
      <w:pPr>
        <w:ind w:left="1040" w:right="540" w:hanging="1039"/>
        <w:spacing w:after="0" w:line="239"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Technology License Agreement, dated as of May 20, 2004, by and between ARM Limited and MagnaChip Semiconductor, Ltd. (Korea) (successor in interest to Hynix Semiconductor Inc.)(1)</w:t>
      </w:r>
    </w:p>
    <w:p>
      <w:pPr>
        <w:spacing w:after="0" w:line="60" w:lineRule="exact"/>
        <w:rPr>
          <w:sz w:val="20"/>
          <w:szCs w:val="20"/>
          <w:color w:val="auto"/>
        </w:rPr>
      </w:pPr>
    </w:p>
    <w:p>
      <w:pPr>
        <w:ind w:left="1040" w:right="140" w:hanging="1039"/>
        <w:spacing w:after="0" w:line="239" w:lineRule="auto"/>
        <w:tabs>
          <w:tab w:leader="none" w:pos="10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Interest Rate Swap Transaction Letter Agreement, dated as of June 30, 2005, by and between MagnaChip Semiconductor S.A. and Deutsche Bank AG(7)</w:t>
      </w:r>
    </w:p>
    <w:p>
      <w:pPr>
        <w:spacing w:after="0" w:line="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Service Agreement, dated as of May 27, 2006, by and between MagnaChip Semiconductor, Ltd. (Korea) and Sang Park(8)</w:t>
      </w:r>
    </w:p>
    <w:p>
      <w:pPr>
        <w:spacing w:after="0"/>
        <w:tabs>
          <w:tab w:leader="none" w:pos="10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Consulting Agreement, dated as of January 1, 2006, by and between MagnaChip Semiconductor, Ltd. (Korea) and Jerry Baker (9)</w:t>
      </w:r>
    </w:p>
    <w:p>
      <w:pPr>
        <w:spacing w:after="0"/>
        <w:tabs>
          <w:tab w:leader="none" w:pos="10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2008 Equity Incentive Plan*</w:t>
      </w:r>
    </w:p>
    <w:p>
      <w:pPr>
        <w:spacing w:after="0"/>
        <w:tabs>
          <w:tab w:leader="none" w:pos="10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2008 Employee Stock Purchase Plan*</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Option Agreement, dated as of October 6, 2004, by and between MagnaChip Semiconductor LLC and Tae Young Hwang(13)</w:t>
      </w:r>
    </w:p>
    <w:p>
      <w:pPr>
        <w:spacing w:after="0" w:line="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Option Agreement, dated as of October 6, 2004, by and between MagnaChip Semiconductor LLC and Chan Hee Lee(13)</w:t>
      </w:r>
    </w:p>
    <w:p>
      <w:pPr>
        <w:spacing w:after="0"/>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Option Agreement, dated as of November 30, 2004, by and between MagnaChip Semiconductor LLC and Robert Krakauer(13)</w:t>
      </w:r>
    </w:p>
    <w:p>
      <w:pPr>
        <w:spacing w:after="0" w:line="1" w:lineRule="exact"/>
        <w:rPr>
          <w:sz w:val="20"/>
          <w:szCs w:val="20"/>
          <w:color w:val="auto"/>
        </w:rPr>
      </w:pPr>
    </w:p>
    <w:p>
      <w:pPr>
        <w:ind w:left="1040" w:right="500" w:hanging="1039"/>
        <w:spacing w:after="0" w:line="234"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Robert Krakauer(13)</w:t>
      </w:r>
    </w:p>
    <w:p>
      <w:pPr>
        <w:spacing w:after="0"/>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Option Agreement, dated as of November 30, 2004, by and between MagnaChip Semiconductor LLC and Robert Krakauer(13)</w:t>
      </w:r>
    </w:p>
    <w:p>
      <w:pPr>
        <w:spacing w:after="0" w:line="1" w:lineRule="exact"/>
        <w:rPr>
          <w:sz w:val="20"/>
          <w:szCs w:val="20"/>
          <w:color w:val="auto"/>
        </w:rPr>
      </w:pPr>
    </w:p>
    <w:p>
      <w:pPr>
        <w:ind w:left="1040" w:right="500" w:hanging="1039"/>
        <w:spacing w:after="0" w:line="239"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Robert Krakauer(13)</w:t>
      </w:r>
    </w:p>
    <w:p>
      <w:pPr>
        <w:spacing w:after="0" w:line="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Option Agreement, dated as of November 30, 2004, by and between MagnaChip Semiconductor LLC and Victoria Miller Nam(13)</w:t>
      </w:r>
    </w:p>
    <w:p>
      <w:pPr>
        <w:spacing w:after="0" w:line="9" w:lineRule="exact"/>
        <w:rPr>
          <w:sz w:val="20"/>
          <w:szCs w:val="20"/>
          <w:color w:val="auto"/>
        </w:rPr>
      </w:pPr>
    </w:p>
    <w:p>
      <w:pPr>
        <w:ind w:left="1040" w:right="500" w:hanging="1039"/>
        <w:spacing w:after="0" w:line="239" w:lineRule="auto"/>
        <w:tabs>
          <w:tab w:leader="none" w:pos="102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Restricted Unit Subscription Agreement, dated as of November 30, 2004, by and between MagnaChip Semiconductor LLC and Victoria Miller Nam(13)</w:t>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6"/>
          <w:szCs w:val="16"/>
          <w:color w:val="auto"/>
        </w:rPr>
        <w:t>Option Agreement, dated as of December 30, 2004, by and between MagnaChip Semiconductor LLC and Jerry M. Baker(13)</w:t>
      </w:r>
    </w:p>
    <w:p>
      <w:pPr>
        <w:ind w:left="1040" w:right="60" w:hanging="1039"/>
        <w:spacing w:after="0" w:line="234" w:lineRule="auto"/>
        <w:tabs>
          <w:tab w:leader="none" w:pos="10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Restricted Unit Subscription Agreement, dated as of December 30, 2004, by and between MagnaChip Semiconductor LLC and Jerry M. Baker(13)</w:t>
      </w:r>
    </w:p>
    <w:p>
      <w:pPr>
        <w:spacing w:after="0" w:line="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6"/>
          <w:szCs w:val="16"/>
          <w:color w:val="auto"/>
        </w:rPr>
        <w:t>Option Agreement, dated as of January 19, 2006, by and between MagnaChip Semiconductor LLC and Armando Geday(13)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10.51</w:t>
            </w:r>
          </w:p>
        </w:tc>
        <w:tc>
          <w:tcPr>
            <w:tcW w:w="1016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Hwang(13)</w:t>
            </w:r>
          </w:p>
        </w:tc>
      </w:tr>
      <w:tr>
        <w:trPr>
          <w:trHeight w:val="208"/>
        </w:trPr>
        <w:tc>
          <w:tcPr>
            <w:tcW w:w="740" w:type="dxa"/>
            <w:vAlign w:val="bottom"/>
          </w:tcPr>
          <w:p>
            <w:pPr>
              <w:spacing w:after="0"/>
              <w:rPr>
                <w:sz w:val="20"/>
                <w:szCs w:val="20"/>
                <w:color w:val="auto"/>
              </w:rPr>
            </w:pPr>
            <w:r>
              <w:rPr>
                <w:rFonts w:ascii="Arial" w:cs="Arial" w:eastAsia="Arial" w:hAnsi="Arial"/>
                <w:sz w:val="18"/>
                <w:szCs w:val="18"/>
                <w:color w:val="auto"/>
              </w:rPr>
              <w:t>10.52</w:t>
            </w:r>
          </w:p>
        </w:tc>
        <w:tc>
          <w:tcPr>
            <w:tcW w:w="1016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10.53</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March 9, 2006, by and between MagnaChip Semiconductor LLC and Chan Hee Lee(13)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10.54</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w w:val="99"/>
              </w:rPr>
              <w:t>Option Agreement, dated as of March 9, 2006, by and between MagnaChip Semiconductor LLC and Victoria Miller Nam(13)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10.55</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May 27, 2006, by and between MagnaChip Semiconductor LLC and Sang Park(13)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10.56</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w w:val="98"/>
              </w:rPr>
              <w:t>Option Agreement, dated as of January 25, 2007, by and between MagnaChip Semiconductor LLC and R. Douglas Norby(13)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10.57</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w w:val="97"/>
              </w:rPr>
              <w:t>Service Agreement, dated as of October 1, 2004, by and between MagnaChip Semiconductor, Ltd. and Chan Hee Lee (English</w:t>
            </w:r>
          </w:p>
        </w:tc>
      </w:tr>
      <w:tr>
        <w:trPr>
          <w:trHeight w:val="203"/>
        </w:trPr>
        <w:tc>
          <w:tcPr>
            <w:tcW w:w="740" w:type="dxa"/>
            <w:vAlign w:val="bottom"/>
          </w:tcPr>
          <w:p>
            <w:pPr>
              <w:spacing w:after="0"/>
              <w:rPr>
                <w:sz w:val="17"/>
                <w:szCs w:val="17"/>
                <w:color w:val="auto"/>
              </w:rPr>
            </w:pP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translation)(13)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10.58</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Basic Agreement on Joint Development and Grant of License, dated as of November 10, 2006, by and between Magnachip</w:t>
            </w:r>
          </w:p>
        </w:tc>
      </w:tr>
      <w:tr>
        <w:trPr>
          <w:trHeight w:val="203"/>
        </w:trPr>
        <w:tc>
          <w:tcPr>
            <w:tcW w:w="740" w:type="dxa"/>
            <w:vAlign w:val="bottom"/>
          </w:tcPr>
          <w:p>
            <w:pPr>
              <w:spacing w:after="0"/>
              <w:rPr>
                <w:sz w:val="17"/>
                <w:szCs w:val="17"/>
                <w:color w:val="auto"/>
              </w:rPr>
            </w:pP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Semiconductor, Ltd. and Silicon Works (English translation)</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Consent of Samil PricewaterhouseCoopers</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23.2</w:t>
            </w:r>
          </w:p>
        </w:tc>
        <w:tc>
          <w:tcPr>
            <w:tcW w:w="10160" w:type="dxa"/>
            <w:vAlign w:val="bottom"/>
          </w:tcPr>
          <w:p>
            <w:pPr>
              <w:ind w:left="300"/>
              <w:spacing w:after="0" w:line="202" w:lineRule="exact"/>
              <w:rPr>
                <w:sz w:val="20"/>
                <w:szCs w:val="20"/>
                <w:color w:val="auto"/>
              </w:rPr>
            </w:pPr>
            <w:r>
              <w:rPr>
                <w:rFonts w:ascii="Arial" w:cs="Arial" w:eastAsia="Arial" w:hAnsi="Arial"/>
                <w:sz w:val="18"/>
                <w:szCs w:val="18"/>
                <w:color w:val="auto"/>
              </w:rPr>
              <w:t>Consent of Dechert LLP (contained in Exhibit 5.1)*</w:t>
            </w:r>
          </w:p>
        </w:tc>
      </w:t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10160" w:type="dxa"/>
            <w:vAlign w:val="bottom"/>
          </w:tcPr>
          <w:p>
            <w:pPr>
              <w:ind w:left="300"/>
              <w:spacing w:after="0"/>
              <w:rPr>
                <w:sz w:val="20"/>
                <w:szCs w:val="20"/>
                <w:color w:val="auto"/>
              </w:rPr>
            </w:pPr>
            <w:r>
              <w:rPr>
                <w:rFonts w:ascii="Arial" w:cs="Arial" w:eastAsia="Arial" w:hAnsi="Arial"/>
                <w:sz w:val="18"/>
                <w:szCs w:val="18"/>
                <w:color w:val="auto"/>
              </w:rPr>
              <w:t>Power of Attorney(13)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220" w:hanging="212"/>
        <w:spacing w:after="0"/>
        <w:tabs>
          <w:tab w:leader="none" w:pos="2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33-126019-09).</w:t>
      </w:r>
    </w:p>
    <w:p>
      <w:pPr>
        <w:ind w:left="68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33-126019-09).</w:t>
      </w:r>
    </w:p>
    <w:p>
      <w:pPr>
        <w:spacing w:after="0" w:line="1" w:lineRule="exact"/>
        <w:rPr>
          <w:rFonts w:ascii="Arial" w:cs="Arial" w:eastAsia="Arial" w:hAnsi="Arial"/>
          <w:sz w:val="18"/>
          <w:szCs w:val="18"/>
          <w:color w:val="auto"/>
        </w:rPr>
      </w:pPr>
    </w:p>
    <w:p>
      <w:pPr>
        <w:ind w:left="680" w:right="260" w:hanging="672"/>
        <w:spacing w:after="0" w:line="239"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33-126019-09).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80" w:right="600" w:hanging="672"/>
        <w:spacing w:after="0" w:line="234"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33-126019-09).</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33-126019-09).</w:t>
      </w:r>
    </w:p>
    <w:p>
      <w:pPr>
        <w:spacing w:after="0" w:line="1" w:lineRule="exact"/>
        <w:rPr>
          <w:rFonts w:ascii="Arial" w:cs="Arial" w:eastAsia="Arial" w:hAnsi="Arial"/>
          <w:sz w:val="18"/>
          <w:szCs w:val="18"/>
          <w:color w:val="auto"/>
        </w:rPr>
      </w:pPr>
    </w:p>
    <w:p>
      <w:pPr>
        <w:ind w:left="680" w:right="1020" w:hanging="672"/>
        <w:spacing w:after="0" w:line="234"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33-126019-09).</w:t>
      </w:r>
    </w:p>
    <w:p>
      <w:pPr>
        <w:spacing w:after="0" w:line="1" w:lineRule="exact"/>
        <w:rPr>
          <w:rFonts w:ascii="Arial" w:cs="Arial" w:eastAsia="Arial" w:hAnsi="Arial"/>
          <w:sz w:val="18"/>
          <w:szCs w:val="18"/>
          <w:color w:val="auto"/>
        </w:rPr>
      </w:pPr>
    </w:p>
    <w:p>
      <w:pPr>
        <w:ind w:left="680" w:right="280" w:hanging="672"/>
        <w:spacing w:after="0" w:line="239"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“Exhibits,” of MagnaChip Semiconductor LLC’s Registration Statement on Form S-1 (File No. 33-147388) which was filed with the SEC on November 14,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right="1040" w:firstLine="571"/>
        <w:spacing w:after="0" w:line="239" w:lineRule="auto"/>
        <w:rPr>
          <w:sz w:val="20"/>
          <w:szCs w:val="20"/>
          <w:color w:val="auto"/>
        </w:rPr>
      </w:pPr>
      <w:r>
        <w:rPr>
          <w:rFonts w:ascii="Arial" w:cs="Arial" w:eastAsia="Arial" w:hAnsi="Arial"/>
          <w:sz w:val="18"/>
          <w:szCs w:val="18"/>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155"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hereby undertake:</w:t>
      </w:r>
    </w:p>
    <w:p>
      <w:pPr>
        <w:spacing w:after="0" w:line="77" w:lineRule="exact"/>
        <w:rPr>
          <w:sz w:val="20"/>
          <w:szCs w:val="20"/>
          <w:color w:val="auto"/>
        </w:rPr>
      </w:pPr>
    </w:p>
    <w:p>
      <w:pPr>
        <w:ind w:left="1380" w:hanging="259"/>
        <w:spacing w:after="0"/>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860" w:hanging="197"/>
        <w:spacing w:after="0"/>
        <w:tabs>
          <w:tab w:leader="none" w:pos="18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1140" w:firstLine="523"/>
        <w:spacing w:after="0" w:line="270" w:lineRule="auto"/>
        <w:tabs>
          <w:tab w:leader="none" w:pos="189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To reflect in the prospectus any fact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the Registration Fee” table in the effective registration statement; and</w:t>
      </w:r>
    </w:p>
    <w:p>
      <w:pPr>
        <w:spacing w:after="0" w:line="50" w:lineRule="exact"/>
        <w:rPr>
          <w:rFonts w:ascii="Arial" w:cs="Arial" w:eastAsia="Arial" w:hAnsi="Arial"/>
          <w:sz w:val="16"/>
          <w:szCs w:val="16"/>
          <w:color w:val="auto"/>
        </w:rPr>
      </w:pPr>
    </w:p>
    <w:p>
      <w:pPr>
        <w:ind w:left="1140" w:right="440" w:firstLine="523"/>
        <w:spacing w:after="0" w:line="239" w:lineRule="auto"/>
        <w:tabs>
          <w:tab w:leader="none" w:pos="193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3" w:lineRule="exact"/>
        <w:rPr>
          <w:rFonts w:ascii="Arial" w:cs="Arial" w:eastAsia="Arial" w:hAnsi="Arial"/>
          <w:sz w:val="18"/>
          <w:szCs w:val="18"/>
          <w:color w:val="auto"/>
        </w:rPr>
      </w:pPr>
    </w:p>
    <w:p>
      <w:pPr>
        <w:ind w:left="580" w:right="60" w:firstLine="541"/>
        <w:spacing w:after="0" w:line="239" w:lineRule="auto"/>
        <w:tabs>
          <w:tab w:leader="none" w:pos="13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60"/>
          </w:cols>
          <w:pgMar w:left="240" w:top="460" w:right="2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securities offered therein, and the offering of such securities at that time shall be deemed to be the initial bona fide offering thereof.</w:t>
      </w:r>
    </w:p>
    <w:p>
      <w:pPr>
        <w:spacing w:after="0" w:line="77" w:lineRule="exact"/>
        <w:rPr>
          <w:sz w:val="20"/>
          <w:szCs w:val="20"/>
          <w:color w:val="auto"/>
        </w:rPr>
      </w:pPr>
    </w:p>
    <w:p>
      <w:pPr>
        <w:ind w:left="580" w:right="100" w:firstLine="541"/>
        <w:spacing w:after="0" w:line="239" w:lineRule="auto"/>
        <w:tabs>
          <w:tab w:leader="none" w:pos="1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3" w:lineRule="exact"/>
        <w:rPr>
          <w:rFonts w:ascii="Arial" w:cs="Arial" w:eastAsia="Arial" w:hAnsi="Arial"/>
          <w:sz w:val="18"/>
          <w:szCs w:val="18"/>
          <w:color w:val="auto"/>
        </w:rPr>
      </w:pPr>
    </w:p>
    <w:p>
      <w:pPr>
        <w:ind w:left="580" w:right="40" w:firstLine="541"/>
        <w:spacing w:after="0" w:line="236" w:lineRule="auto"/>
        <w:tabs>
          <w:tab w:leader="none" w:pos="1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3" w:lineRule="exact"/>
        <w:rPr>
          <w:rFonts w:ascii="Arial" w:cs="Arial" w:eastAsia="Arial" w:hAnsi="Arial"/>
          <w:sz w:val="18"/>
          <w:szCs w:val="18"/>
          <w:color w:val="auto"/>
        </w:rPr>
      </w:pPr>
    </w:p>
    <w:p>
      <w:pPr>
        <w:ind w:left="580" w:firstLine="541"/>
        <w:spacing w:after="0" w:line="236" w:lineRule="auto"/>
        <w:tabs>
          <w:tab w:leader="none" w:pos="1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6" w:lineRule="exact"/>
        <w:rPr>
          <w:rFonts w:ascii="Arial" w:cs="Arial" w:eastAsia="Arial" w:hAnsi="Arial"/>
          <w:sz w:val="18"/>
          <w:szCs w:val="18"/>
          <w:color w:val="auto"/>
        </w:rPr>
      </w:pPr>
    </w:p>
    <w:p>
      <w:pPr>
        <w:ind w:left="1140" w:right="700" w:firstLine="523"/>
        <w:spacing w:after="0" w:line="239" w:lineRule="auto"/>
        <w:tabs>
          <w:tab w:leader="none" w:pos="18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3" w:lineRule="exact"/>
        <w:rPr>
          <w:rFonts w:ascii="Arial" w:cs="Arial" w:eastAsia="Arial" w:hAnsi="Arial"/>
          <w:sz w:val="18"/>
          <w:szCs w:val="18"/>
          <w:color w:val="auto"/>
        </w:rPr>
      </w:pPr>
    </w:p>
    <w:p>
      <w:pPr>
        <w:ind w:left="1140" w:right="480" w:firstLine="523"/>
        <w:spacing w:after="0" w:line="239" w:lineRule="auto"/>
        <w:tabs>
          <w:tab w:leader="none" w:pos="189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3" w:lineRule="exact"/>
        <w:rPr>
          <w:rFonts w:ascii="Arial" w:cs="Arial" w:eastAsia="Arial" w:hAnsi="Arial"/>
          <w:sz w:val="18"/>
          <w:szCs w:val="18"/>
          <w:color w:val="auto"/>
        </w:rPr>
      </w:pPr>
    </w:p>
    <w:p>
      <w:pPr>
        <w:ind w:left="1140" w:right="820" w:firstLine="523"/>
        <w:spacing w:after="0" w:line="239" w:lineRule="auto"/>
        <w:tabs>
          <w:tab w:leader="none" w:pos="193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3" w:lineRule="exact"/>
        <w:rPr>
          <w:rFonts w:ascii="Arial" w:cs="Arial" w:eastAsia="Arial" w:hAnsi="Arial"/>
          <w:sz w:val="18"/>
          <w:szCs w:val="18"/>
          <w:color w:val="auto"/>
        </w:rPr>
      </w:pPr>
    </w:p>
    <w:p>
      <w:pPr>
        <w:ind w:left="1960" w:hanging="297"/>
        <w:spacing w:after="0"/>
        <w:tabs>
          <w:tab w:leader="none" w:pos="19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76" w:lineRule="exact"/>
        <w:rPr>
          <w:rFonts w:ascii="Arial" w:cs="Arial" w:eastAsia="Arial" w:hAnsi="Arial"/>
          <w:sz w:val="18"/>
          <w:szCs w:val="18"/>
          <w:color w:val="auto"/>
        </w:rPr>
      </w:pPr>
    </w:p>
    <w:p>
      <w:pPr>
        <w:jc w:val="both"/>
        <w:ind w:left="580" w:right="160" w:firstLine="541"/>
        <w:spacing w:after="0" w:line="237" w:lineRule="auto"/>
        <w:tabs>
          <w:tab w:leader="none" w:pos="1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3" w:lineRule="exact"/>
        <w:rPr>
          <w:rFonts w:ascii="Arial" w:cs="Arial" w:eastAsia="Arial" w:hAnsi="Arial"/>
          <w:sz w:val="18"/>
          <w:szCs w:val="18"/>
          <w:color w:val="auto"/>
        </w:rPr>
      </w:pPr>
    </w:p>
    <w:p>
      <w:pPr>
        <w:ind w:left="580" w:right="140" w:firstLine="541"/>
        <w:spacing w:after="0" w:line="238" w:lineRule="auto"/>
        <w:tabs>
          <w:tab w:leader="none" w:pos="13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360" w:firstLine="571"/>
        <w:spacing w:after="0" w:line="281" w:lineRule="auto"/>
        <w:rPr>
          <w:sz w:val="20"/>
          <w:szCs w:val="20"/>
          <w:color w:val="auto"/>
        </w:rPr>
      </w:pPr>
      <w:r>
        <w:rPr>
          <w:rFonts w:ascii="Arial" w:cs="Arial" w:eastAsia="Arial" w:hAnsi="Arial"/>
          <w:sz w:val="16"/>
          <w:szCs w:val="16"/>
          <w:color w:val="auto"/>
        </w:rPr>
        <w:t>Pursuant to the requirements of the Securities Act of 1933, MagnaChip Semiconductor LLC certifies that it has reasonable grounds to believe that it meets all of the requirements for filing on Form S-1 and has duly caused this Amendment No. 1 to the Registration Statement on Form S-1 to be signed on its behalf by the undersigned, thereunto duly authorized, in Seoul, The Republic of Korea on December 26, 2007.</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12" w:lineRule="exact"/>
        <w:rPr>
          <w:sz w:val="20"/>
          <w:szCs w:val="20"/>
          <w:color w:val="auto"/>
        </w:rPr>
      </w:pPr>
    </w:p>
    <w:p>
      <w:pPr>
        <w:ind w:left="6860"/>
        <w:spacing w:after="0"/>
        <w:tabs>
          <w:tab w:leader="none" w:pos="850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-4445</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Sang Park, Chief Executive</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Officer (Principal Executive Officer)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S-1 has been signed below by the following persons on behalf of MagnaChip Semiconductor LLC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5"/>
                <w:szCs w:val="15"/>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29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r>
      <w:tr>
        <w:trPr>
          <w:trHeight w:val="412"/>
        </w:trPr>
        <w:tc>
          <w:tcPr>
            <w:tcW w:w="43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Sang Park</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w w:val="97"/>
              </w:rPr>
              <w:t>Board of Directors (Principal Executive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President, Chief Financial Officer and 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5"/>
              </w:rPr>
              <w:t>Robert J. Krakauer</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Finance (Principal</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Margaret Sakai</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5"/>
              </w:rPr>
              <w:t>Jerry M. Baker</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Dipanjan Deb</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Armando Geday</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7"/>
              </w:rPr>
              <w:t>Roy Kuan</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420"/>
              <w:spacing w:after="0"/>
              <w:rPr>
                <w:sz w:val="20"/>
                <w:szCs w:val="20"/>
                <w:color w:val="auto"/>
              </w:rPr>
            </w:pPr>
            <w:r>
              <w:rPr>
                <w:rFonts w:ascii="Arial" w:cs="Arial" w:eastAsia="Arial" w:hAnsi="Arial"/>
                <w:sz w:val="18"/>
                <w:szCs w:val="18"/>
                <w:color w:val="auto"/>
                <w:w w:val="96"/>
              </w:rPr>
              <w:t>December 26, 2007</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Phokion Potamianos</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34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ind w:left="1060"/>
              <w:spacing w:after="0"/>
              <w:rPr>
                <w:sz w:val="20"/>
                <w:szCs w:val="20"/>
                <w:color w:val="auto"/>
              </w:rPr>
            </w:pPr>
            <w:r>
              <w:rPr>
                <w:rFonts w:ascii="Arial" w:cs="Arial" w:eastAsia="Arial" w:hAnsi="Arial"/>
                <w:sz w:val="18"/>
                <w:szCs w:val="18"/>
                <w:color w:val="auto"/>
              </w:rPr>
              <w:t>II-12</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880"/>
        <w:spacing w:after="0"/>
        <w:tabs>
          <w:tab w:leader="none" w:pos="6260" w:val="left"/>
          <w:tab w:leader="none" w:pos="97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560"/>
              <w:spacing w:after="0"/>
              <w:rPr>
                <w:sz w:val="20"/>
                <w:szCs w:val="20"/>
                <w:color w:val="auto"/>
              </w:rPr>
            </w:pPr>
            <w:r>
              <w:rPr>
                <w:rFonts w:ascii="Arial" w:cs="Arial" w:eastAsia="Arial" w:hAnsi="Arial"/>
                <w:sz w:val="18"/>
                <w:szCs w:val="18"/>
                <w:color w:val="auto"/>
                <w:w w:val="96"/>
              </w:rPr>
              <w:t>December 26, 2007</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83"/>
              <w:spacing w:after="0"/>
              <w:rPr>
                <w:sz w:val="20"/>
                <w:szCs w:val="20"/>
                <w:color w:val="auto"/>
              </w:rPr>
            </w:pPr>
            <w:r>
              <w:rPr>
                <w:rFonts w:ascii="Arial" w:cs="Arial" w:eastAsia="Arial" w:hAnsi="Arial"/>
                <w:sz w:val="14"/>
                <w:szCs w:val="14"/>
                <w:b w:val="1"/>
                <w:bCs w:val="1"/>
                <w:color w:val="auto"/>
                <w:w w:val="95"/>
              </w:rPr>
              <w:t>R. Douglas Norby</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560"/>
              <w:spacing w:after="0"/>
              <w:rPr>
                <w:sz w:val="20"/>
                <w:szCs w:val="20"/>
                <w:color w:val="auto"/>
              </w:rPr>
            </w:pPr>
            <w:r>
              <w:rPr>
                <w:rFonts w:ascii="Arial" w:cs="Arial" w:eastAsia="Arial" w:hAnsi="Arial"/>
                <w:sz w:val="18"/>
                <w:szCs w:val="18"/>
                <w:color w:val="auto"/>
                <w:w w:val="96"/>
              </w:rPr>
              <w:t>December 26, 2007</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63"/>
              <w:spacing w:after="0"/>
              <w:rPr>
                <w:sz w:val="20"/>
                <w:szCs w:val="20"/>
                <w:color w:val="auto"/>
              </w:rPr>
            </w:pPr>
            <w:r>
              <w:rPr>
                <w:rFonts w:ascii="Arial" w:cs="Arial" w:eastAsia="Arial" w:hAnsi="Arial"/>
                <w:sz w:val="14"/>
                <w:szCs w:val="14"/>
                <w:b w:val="1"/>
                <w:bCs w:val="1"/>
                <w:color w:val="auto"/>
                <w:w w:val="96"/>
              </w:rPr>
              <w:t>Paul C. Schorr IV</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560"/>
              <w:spacing w:after="0"/>
              <w:rPr>
                <w:sz w:val="20"/>
                <w:szCs w:val="20"/>
                <w:color w:val="auto"/>
              </w:rPr>
            </w:pPr>
            <w:r>
              <w:rPr>
                <w:rFonts w:ascii="Arial" w:cs="Arial" w:eastAsia="Arial" w:hAnsi="Arial"/>
                <w:sz w:val="18"/>
                <w:szCs w:val="18"/>
                <w:color w:val="auto"/>
                <w:w w:val="96"/>
              </w:rPr>
              <w:t>December 26, 2007</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83"/>
              <w:spacing w:after="0"/>
              <w:rPr>
                <w:sz w:val="20"/>
                <w:szCs w:val="20"/>
                <w:color w:val="auto"/>
              </w:rPr>
            </w:pPr>
            <w:r>
              <w:rPr>
                <w:rFonts w:ascii="Arial" w:cs="Arial" w:eastAsia="Arial" w:hAnsi="Arial"/>
                <w:sz w:val="14"/>
                <w:szCs w:val="14"/>
                <w:b w:val="1"/>
                <w:bCs w:val="1"/>
                <w:color w:val="auto"/>
                <w:w w:val="96"/>
              </w:rPr>
              <w:t>David F. Thomas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2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139"/>
        </w:trPr>
        <w:tc>
          <w:tcPr>
            <w:tcW w:w="560" w:type="dxa"/>
            <w:vAlign w:val="bottom"/>
          </w:tcPr>
          <w:p>
            <w:pPr>
              <w:spacing w:after="0"/>
              <w:rPr>
                <w:sz w:val="12"/>
                <w:szCs w:val="12"/>
                <w:color w:val="auto"/>
              </w:rPr>
            </w:pPr>
          </w:p>
        </w:tc>
        <w:tc>
          <w:tcPr>
            <w:tcW w:w="3800" w:type="dxa"/>
            <w:vAlign w:val="bottom"/>
          </w:tcPr>
          <w:p>
            <w:pPr>
              <w:spacing w:after="0" w:line="139" w:lineRule="exact"/>
              <w:rPr>
                <w:sz w:val="20"/>
                <w:szCs w:val="20"/>
                <w:color w:val="auto"/>
              </w:rPr>
            </w:pPr>
            <w:r>
              <w:rPr>
                <w:rFonts w:ascii="Arial" w:cs="Arial" w:eastAsia="Arial" w:hAnsi="Arial"/>
                <w:sz w:val="14"/>
                <w:szCs w:val="14"/>
                <w:b w:val="1"/>
                <w:bCs w:val="1"/>
                <w:color w:val="auto"/>
              </w:rPr>
              <w:t>Name: Sang Park</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100" w:type="dxa"/>
            <w:vAlign w:val="bottom"/>
          </w:tcPr>
          <w:p>
            <w:pPr>
              <w:spacing w:after="0"/>
              <w:rPr>
                <w:sz w:val="12"/>
                <w:szCs w:val="12"/>
                <w:color w:val="auto"/>
              </w:rPr>
            </w:pPr>
          </w:p>
        </w:tc>
      </w:tr>
      <w:tr>
        <w:trPr>
          <w:trHeight w:val="178"/>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Title: Attorney-in-Fact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363"/>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II-13</w:t>
            </w:r>
          </w:p>
        </w:tc>
      </w:tr>
    </w:tbl>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tcPr>
          <w:p>
            <w:pPr>
              <w:ind w:left="3840"/>
              <w:spacing w:after="0"/>
              <w:rPr>
                <w:sz w:val="20"/>
                <w:szCs w:val="20"/>
                <w:color w:val="auto"/>
              </w:rPr>
            </w:pPr>
            <w:r>
              <w:rPr>
                <w:rFonts w:ascii="Arial" w:cs="Arial" w:eastAsia="Arial" w:hAnsi="Arial"/>
                <w:sz w:val="18"/>
                <w:szCs w:val="18"/>
                <w:b w:val="1"/>
                <w:bCs w:val="1"/>
                <w:color w:val="auto"/>
              </w:rPr>
              <w:t>INDEX TO EXHIBITS</w:t>
            </w:r>
          </w:p>
        </w:tc>
      </w:tr>
      <w:tr>
        <w:trPr>
          <w:trHeight w:val="347"/>
        </w:trPr>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00" w:type="dxa"/>
            <w:vAlign w:val="bottom"/>
          </w:tcPr>
          <w:p>
            <w:pPr>
              <w:ind w:left="10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Business Transfer Agreement, dated as of June 12, 2004, between Hynix Semiconductor Inc. and MagnaChip Semiconductor, Ltd.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(Korea)(1)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First Amendment to Business Transfer Agreement, dated as of October 6, 2004, between Hynix Semiconductor Inc. and MagnaChip</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Semiconductor, Ltd. (Korea)(1)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3.18</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Merger Agreement by and between ISRON Corporation and MagnaChip Semiconductor Inc. dated December 21, 2005, as amended</w:t>
            </w:r>
          </w:p>
        </w:tc>
      </w:tr>
      <w:tr>
        <w:trPr>
          <w:trHeight w:val="203"/>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380" w:type="dxa"/>
            <w:vAlign w:val="bottom"/>
          </w:tcPr>
          <w:p>
            <w:pPr>
              <w:spacing w:after="0" w:line="202" w:lineRule="exact"/>
              <w:rPr>
                <w:sz w:val="20"/>
                <w:szCs w:val="20"/>
                <w:color w:val="auto"/>
              </w:rPr>
            </w:pPr>
            <w:r>
              <w:rPr>
                <w:rFonts w:ascii="Arial" w:cs="Arial" w:eastAsia="Arial" w:hAnsi="Arial"/>
                <w:sz w:val="18"/>
                <w:szCs w:val="18"/>
                <w:color w:val="auto"/>
              </w:rPr>
              <w:t>on February 22, 2006, including Articles of Incorporation of MagnaChip Semiconductor Inc. (formerly ISRON Corporation) (Japan)</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(English translation)(2)</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600" w:type="dxa"/>
            <w:vAlign w:val="bottom"/>
          </w:tcPr>
          <w:p>
            <w:pPr>
              <w:ind w:left="100"/>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Memorandum of Association of MagnaChip Semiconductor Holding Company Limited (formerly IC Media Holding Company Limited)</w:t>
            </w:r>
          </w:p>
        </w:tc>
      </w:tr>
      <w:tr>
        <w:trPr>
          <w:trHeight w:val="211"/>
        </w:trPr>
        <w:tc>
          <w:tcPr>
            <w:tcW w:w="600" w:type="dxa"/>
            <w:vAlign w:val="bottom"/>
          </w:tcPr>
          <w:p>
            <w:pPr>
              <w:spacing w:after="0"/>
              <w:rPr>
                <w:sz w:val="18"/>
                <w:szCs w:val="18"/>
                <w:color w:val="auto"/>
              </w:rPr>
            </w:pPr>
          </w:p>
        </w:tc>
        <w:tc>
          <w:tcPr>
            <w:tcW w:w="10820" w:type="dxa"/>
            <w:vAlign w:val="bottom"/>
            <w:gridSpan w:val="2"/>
          </w:tcPr>
          <w:p>
            <w:pPr>
              <w:ind w:left="440"/>
              <w:spacing w:after="0"/>
              <w:rPr>
                <w:sz w:val="20"/>
                <w:szCs w:val="20"/>
                <w:color w:val="auto"/>
              </w:rPr>
            </w:pPr>
            <w:r>
              <w:rPr>
                <w:rFonts w:ascii="Arial" w:cs="Arial" w:eastAsia="Arial" w:hAnsi="Arial"/>
                <w:sz w:val="18"/>
                <w:szCs w:val="18"/>
                <w:color w:val="auto"/>
              </w:rPr>
              <w:t>(1)</w:t>
            </w:r>
          </w:p>
        </w:tc>
      </w:tr>
      <w:tr>
        <w:trPr>
          <w:trHeight w:val="270"/>
        </w:trPr>
        <w:tc>
          <w:tcPr>
            <w:tcW w:w="600" w:type="dxa"/>
            <w:vAlign w:val="bottom"/>
          </w:tcPr>
          <w:p>
            <w:pPr>
              <w:ind w:left="100"/>
              <w:spacing w:after="0"/>
              <w:rPr>
                <w:sz w:val="20"/>
                <w:szCs w:val="20"/>
                <w:color w:val="auto"/>
              </w:rPr>
            </w:pPr>
            <w:r>
              <w:rPr>
                <w:rFonts w:ascii="Arial" w:cs="Arial" w:eastAsia="Arial" w:hAnsi="Arial"/>
                <w:sz w:val="18"/>
                <w:szCs w:val="18"/>
                <w:color w:val="auto"/>
              </w:rPr>
              <w:t>3.27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Association of MagnaChip Semiconductor Holding Company Limited (formerly IC Media Holding Company Limited)(1)</w:t>
            </w: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ind w:left="100"/>
              <w:spacing w:after="0"/>
              <w:rPr>
                <w:sz w:val="20"/>
                <w:szCs w:val="20"/>
                <w:color w:val="auto"/>
              </w:rPr>
            </w:pPr>
            <w:r>
              <w:rPr>
                <w:rFonts w:ascii="Arial" w:cs="Arial" w:eastAsia="Arial" w:hAnsi="Arial"/>
                <w:sz w:val="18"/>
                <w:szCs w:val="18"/>
                <w:color w:val="auto"/>
              </w:rPr>
              <w:t>3.27.a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Amendment to Memorandum and Articles of Association of MagnaChip Semiconductor Holding Company Limited (formerly IC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3.28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3.29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Agreement and Plan of Merger by and between IC Media Corporation and MagnaChip Semiconductor, Inc., including Amended</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3.30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3.31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3.32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Agreement and Plan of Merger by and among MagnaChip Semiconductor Corporation, MagnaChip Semiconductor LLC and MC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MergerSub LLC*</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as named therein and The Bank of New York, as trustee for the Floating Rate Second Priority Senior</w:t>
            </w:r>
          </w:p>
        </w:tc>
      </w:tr>
      <w:tr>
        <w:trPr>
          <w:trHeight w:val="270"/>
        </w:trPr>
        <w:tc>
          <w:tcPr>
            <w:tcW w:w="820" w:type="dxa"/>
            <w:vAlign w:val="bottom"/>
          </w:tcPr>
          <w:p>
            <w:pPr>
              <w:spacing w:after="0"/>
              <w:rPr>
                <w:sz w:val="23"/>
                <w:szCs w:val="23"/>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 xml:space="preserve">Secured Notes 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820" w:type="dxa"/>
            <w:vAlign w:val="bottom"/>
          </w:tcPr>
          <w:p>
            <w:pPr>
              <w:ind w:left="100"/>
              <w:spacing w:after="0"/>
              <w:rPr>
                <w:sz w:val="20"/>
                <w:szCs w:val="20"/>
                <w:color w:val="auto"/>
              </w:rPr>
            </w:pPr>
            <w:r>
              <w:rPr>
                <w:rFonts w:ascii="Arial" w:cs="Arial" w:eastAsia="Arial" w:hAnsi="Arial"/>
                <w:sz w:val="18"/>
                <w:szCs w:val="18"/>
                <w:color w:val="auto"/>
              </w:rPr>
              <w:t>4.2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820" w:type="dxa"/>
            <w:vAlign w:val="bottom"/>
          </w:tcPr>
          <w:p>
            <w:pPr>
              <w:ind w:left="100"/>
              <w:spacing w:after="0"/>
              <w:rPr>
                <w:sz w:val="20"/>
                <w:szCs w:val="20"/>
                <w:color w:val="auto"/>
              </w:rPr>
            </w:pPr>
            <w:r>
              <w:rPr>
                <w:rFonts w:ascii="Arial" w:cs="Arial" w:eastAsia="Arial" w:hAnsi="Arial"/>
                <w:sz w:val="18"/>
                <w:szCs w:val="18"/>
                <w:color w:val="auto"/>
              </w:rPr>
              <w:t>4.3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820" w:type="dxa"/>
            <w:vAlign w:val="bottom"/>
          </w:tcPr>
          <w:p>
            <w:pPr>
              <w:ind w:left="100"/>
              <w:spacing w:after="0" w:line="202" w:lineRule="exact"/>
              <w:rPr>
                <w:sz w:val="20"/>
                <w:szCs w:val="20"/>
                <w:color w:val="auto"/>
              </w:rPr>
            </w:pPr>
            <w:r>
              <w:rPr>
                <w:rFonts w:ascii="Arial" w:cs="Arial" w:eastAsia="Arial" w:hAnsi="Arial"/>
                <w:sz w:val="18"/>
                <w:szCs w:val="18"/>
                <w:color w:val="auto"/>
              </w:rPr>
              <w:t>4.4</w:t>
            </w: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as named therein and The Bank of New York, as trustee for the 8% Senior Subordinated Notes due</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2014(1)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4.6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820" w:type="dxa"/>
            <w:vAlign w:val="bottom"/>
          </w:tcPr>
          <w:p>
            <w:pPr>
              <w:ind w:left="100"/>
              <w:spacing w:after="0"/>
              <w:rPr>
                <w:sz w:val="20"/>
                <w:szCs w:val="20"/>
                <w:color w:val="auto"/>
              </w:rPr>
            </w:pPr>
            <w:r>
              <w:rPr>
                <w:rFonts w:ascii="Arial" w:cs="Arial" w:eastAsia="Arial" w:hAnsi="Arial"/>
                <w:sz w:val="18"/>
                <w:szCs w:val="18"/>
                <w:color w:val="auto"/>
              </w:rPr>
              <w:t>4.7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820" w:type="dxa"/>
            <w:vAlign w:val="bottom"/>
          </w:tcPr>
          <w:p>
            <w:pPr>
              <w:ind w:left="100"/>
              <w:spacing w:after="0"/>
              <w:rPr>
                <w:sz w:val="20"/>
                <w:szCs w:val="20"/>
                <w:color w:val="auto"/>
              </w:rPr>
            </w:pPr>
            <w:r>
              <w:rPr>
                <w:rFonts w:ascii="Arial" w:cs="Arial" w:eastAsia="Arial" w:hAnsi="Arial"/>
                <w:sz w:val="18"/>
                <w:szCs w:val="18"/>
                <w:color w:val="auto"/>
              </w:rPr>
              <w:t>5.1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Form of Opinion of Dechert LLP*</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Finance Company, UBS Securities LLC, Citigroup Global Markets Inc., Goldman, Sachs &amp; Co., J.P. Morgan Securities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Credit Agreement,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Stamford Branch and UBS Loan Finance LLC(1)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First Amendment to Credit Agreement and Waiver, dated as of May 6, 2005, to the Credit Agreement, dated as of December 23,</w:t>
            </w:r>
          </w:p>
        </w:tc>
      </w:tr>
      <w:tr>
        <w:trPr>
          <w:trHeight w:val="203"/>
        </w:trPr>
        <w:tc>
          <w:tcPr>
            <w:tcW w:w="820" w:type="dxa"/>
            <w:vAlign w:val="bottom"/>
          </w:tcPr>
          <w:p>
            <w:pPr>
              <w:spacing w:after="0"/>
              <w:rPr>
                <w:sz w:val="17"/>
                <w:szCs w:val="17"/>
                <w:color w:val="auto"/>
              </w:rPr>
            </w:pPr>
          </w:p>
        </w:tc>
        <w:tc>
          <w:tcPr>
            <w:tcW w:w="1060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8"/>
              </w:rPr>
              <w:t>2004, among MagnaChip Semiconductor S.A., MagnaChip Semiconductor Finance Company, the guarantors named therein, the</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lenders named therein, UBS Securities LLC, Korea Exchange Bank, UBS AG, Stamford Branch and UBS Loan Finance LLC(1)</w:t>
            </w: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6"/>
                <w:szCs w:val="16"/>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3"/>
        </w:trPr>
        <w:tc>
          <w:tcPr>
            <w:tcW w:w="720" w:type="dxa"/>
            <w:vAlign w:val="bottom"/>
          </w:tcPr>
          <w:p>
            <w:pPr>
              <w:spacing w:after="0" w:line="193" w:lineRule="exact"/>
              <w:rPr>
                <w:sz w:val="20"/>
                <w:szCs w:val="20"/>
                <w:color w:val="auto"/>
              </w:rPr>
            </w:pPr>
            <w:r>
              <w:rPr>
                <w:rFonts w:ascii="Arial" w:cs="Arial" w:eastAsia="Arial" w:hAnsi="Arial"/>
                <w:sz w:val="18"/>
                <w:szCs w:val="18"/>
                <w:color w:val="auto"/>
              </w:rPr>
              <w:t>10.3.b</w:t>
            </w:r>
          </w:p>
        </w:tc>
        <w:tc>
          <w:tcPr>
            <w:tcW w:w="440" w:type="dxa"/>
            <w:vAlign w:val="bottom"/>
          </w:tcPr>
          <w:p>
            <w:pPr>
              <w:spacing w:after="0"/>
              <w:rPr>
                <w:sz w:val="16"/>
                <w:szCs w:val="16"/>
                <w:color w:val="auto"/>
              </w:rPr>
            </w:pPr>
          </w:p>
        </w:tc>
        <w:tc>
          <w:tcPr>
            <w:tcW w:w="10260" w:type="dxa"/>
            <w:vAlign w:val="bottom"/>
          </w:tcPr>
          <w:p>
            <w:pPr>
              <w:spacing w:after="0" w:line="193" w:lineRule="exact"/>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LLC(1)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10.3.c</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10.3.d</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Association(3)</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10.3.e</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10.3.f</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10.3.g</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agent(10)</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10.3.h</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7"/>
              </w:rPr>
              <w:t>Semiconductor Finance Company, as borrowers, the Lenders party thereto, and UBS AG, Stamford Branch, as administrative agent</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and collateral agent(11)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10.3.i</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10.3.j</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Ninth Amendment and Waiver to Credit Agreement, dated as of November 13, 2007, by and among MagnaChip Semiconductor</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S.A. and MagnaChip Semiconductor Finance Company, as borrowers, MagnaChip Semiconductor LLC, the Subsidiary Guarantors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party thereto, the Lenders party thereto, and UBS AG, Stamford Branch, as administrative agent and collateral agent(13)</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w w:val="98"/>
              </w:rPr>
              <w:t>Intercreditor Agreement dated as of December 23, 2004 among MagnaChip Semiconductor Finance Company, the other Pledgors</w:t>
            </w:r>
          </w:p>
        </w:tc>
      </w:tr>
      <w:tr>
        <w:trPr>
          <w:trHeight w:val="203"/>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03"/>
        </w:trPr>
        <w:tc>
          <w:tcPr>
            <w:tcW w:w="720" w:type="dxa"/>
            <w:vAlign w:val="bottom"/>
          </w:tcPr>
          <w:p>
            <w:pPr>
              <w:spacing w:after="0" w:line="202" w:lineRule="exact"/>
              <w:rPr>
                <w:sz w:val="20"/>
                <w:szCs w:val="20"/>
                <w:color w:val="auto"/>
              </w:rPr>
            </w:pPr>
            <w:r>
              <w:rPr>
                <w:rFonts w:ascii="Arial" w:cs="Arial" w:eastAsia="Arial" w:hAnsi="Arial"/>
                <w:sz w:val="18"/>
                <w:szCs w:val="18"/>
                <w:color w:val="auto"/>
              </w:rPr>
              <w:t>10.5</w:t>
            </w:r>
          </w:p>
        </w:tc>
        <w:tc>
          <w:tcPr>
            <w:tcW w:w="440" w:type="dxa"/>
            <w:vAlign w:val="bottom"/>
          </w:tcPr>
          <w:p>
            <w:pPr>
              <w:spacing w:after="0"/>
              <w:rPr>
                <w:sz w:val="17"/>
                <w:szCs w:val="17"/>
                <w:color w:val="auto"/>
              </w:rPr>
            </w:pPr>
          </w:p>
        </w:tc>
        <w:tc>
          <w:tcPr>
            <w:tcW w:w="10260" w:type="dxa"/>
            <w:vAlign w:val="bottom"/>
          </w:tcPr>
          <w:p>
            <w:pPr>
              <w:spacing w:after="0" w:line="202" w:lineRule="exact"/>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211"/>
        </w:trPr>
        <w:tc>
          <w:tcPr>
            <w:tcW w:w="720" w:type="dxa"/>
            <w:vAlign w:val="bottom"/>
          </w:tcPr>
          <w:p>
            <w:pPr>
              <w:spacing w:after="0"/>
              <w:rPr>
                <w:sz w:val="20"/>
                <w:szCs w:val="20"/>
                <w:color w:val="auto"/>
              </w:rPr>
            </w:pPr>
            <w:r>
              <w:rPr>
                <w:rFonts w:ascii="Arial" w:cs="Arial" w:eastAsia="Arial" w:hAnsi="Arial"/>
                <w:sz w:val="18"/>
                <w:szCs w:val="18"/>
                <w:color w:val="auto"/>
              </w:rPr>
              <w:t>10.5a</w:t>
            </w: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Third Amended and Restated Securityholders’ Agreement*</w:t>
            </w: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Intellectual Property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10.11.a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10.12.a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10.14.a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10.15.a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First Amendment to General Service Supply Agreement, dated as of December 30, 2005, by and between Hynix Semiconductor</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10.16.a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IT and FA Service Agreement, dated as of December 30, 2005, by and between Hynix Semiconductor Inc.</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Krakauer(1)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Service Agreement, dated as of December 29, 2004, by and between MagnaChip Semiconductor, Ltd. (Korea) and Victoria Miller</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Nam(1)</w:t>
            </w: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73"/>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Hwang(1)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(California) and Jason Hartlove(1)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LLC Equity Incentive Plan(1)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9"/>
              </w:rPr>
              <w:t>R&amp;D Equipment Utilization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10.26.a</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RFID Development and Licensing Agreement, dated as of March 29, 2004, by and between Celis Semiconductor Corporation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7"/>
              </w:rPr>
              <w:t>Technology License Agreement, dated as of July 2001, by and between ARM Limited and MagnaChip Semiconductor, Ltd. (Korea)</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Technology License Agreement, dated as of December 16, 1996, by and between Advanced RISC Machines Limited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ARM7201TDSP Device License Agreement, dated as of August 26, 1997, by and between Advanced RISC Machines Limited and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Technology License Agreement, dated as of August 22, 2001, by and between ARM Limited and MagnaChip Semiconductor, Ltd.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(Korea) (successor in interest to Hynix Semiconductor Inc.)(1)(5)</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Technology License Agreement, dated as of May 20, 2004, by and between ARM Limited and MagnaChip Semiconductor, Ltd.</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(Korea) (successor in interest to Hynix Semiconductor Inc.)(1)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Interest Rate Swap Transaction Letter Agreement, dated as of June 30, 2005, by and between MagnaChip Semiconductor S.A.</w:t>
            </w:r>
          </w:p>
        </w:tc>
      </w:tr>
      <w:tr>
        <w:trPr>
          <w:trHeight w:val="211"/>
        </w:trPr>
        <w:tc>
          <w:tcPr>
            <w:tcW w:w="820" w:type="dxa"/>
            <w:vAlign w:val="bottom"/>
          </w:tcPr>
          <w:p>
            <w:pPr>
              <w:spacing w:after="0"/>
              <w:rPr>
                <w:sz w:val="18"/>
                <w:szCs w:val="18"/>
                <w:color w:val="auto"/>
              </w:rPr>
            </w:pP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and Deutsche Bank AG(7)</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Service Agreement, dated as of May 27, 2006, by and between MagnaChip Semiconductor, Ltd. (Korea) and Sang Park(8)</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w w:val="98"/>
              </w:rPr>
              <w:t>Consulting Agreement, dated as of January 1, 2006, by and between MagnaChip Semiconductor, Ltd. (Korea) and Jerry Baker(9)</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2008 Equity Incentive Plan*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600" w:type="dxa"/>
            <w:vAlign w:val="bottom"/>
            <w:gridSpan w:val="2"/>
          </w:tcPr>
          <w:p>
            <w:pPr>
              <w:ind w:left="440"/>
              <w:spacing w:after="0"/>
              <w:rPr>
                <w:sz w:val="20"/>
                <w:szCs w:val="20"/>
                <w:color w:val="auto"/>
              </w:rPr>
            </w:pPr>
            <w:r>
              <w:rPr>
                <w:rFonts w:ascii="Arial" w:cs="Arial" w:eastAsia="Arial" w:hAnsi="Arial"/>
                <w:sz w:val="18"/>
                <w:szCs w:val="18"/>
                <w:color w:val="auto"/>
              </w:rPr>
              <w:t>2008 Employee Stock Purchase Plan*</w:t>
            </w: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600" w:type="dxa"/>
            <w:vAlign w:val="bottom"/>
          </w:tcPr>
          <w:p>
            <w:pPr>
              <w:spacing w:after="0"/>
              <w:rPr>
                <w:sz w:val="20"/>
                <w:szCs w:val="20"/>
                <w:color w:val="auto"/>
              </w:rPr>
            </w:pPr>
            <w:r>
              <w:rPr>
                <w:rFonts w:ascii="Arial" w:cs="Arial" w:eastAsia="Arial" w:hAnsi="Arial"/>
                <w:sz w:val="18"/>
                <w:szCs w:val="18"/>
                <w:color w:val="auto"/>
              </w:rPr>
              <w:t>10.40</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October 6, 2004, by and between MagnaChip Semiconductor LLC and Tae Young Hwang(13)</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October 6, 2004, by and between MagnaChip Semiconductor LLC and Chan Hee Lee(13)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10.43</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Robert Krakauer(13)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10.44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Robert Krakauer(13)</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Victoria Miller Nam(13)</w:t>
            </w:r>
          </w:p>
        </w:tc>
      </w:tr>
      <w:tr>
        <w:trPr>
          <w:trHeight w:val="275"/>
        </w:trPr>
        <w:tc>
          <w:tcPr>
            <w:tcW w:w="600" w:type="dxa"/>
            <w:vAlign w:val="bottom"/>
          </w:tcPr>
          <w:p>
            <w:pPr>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Victoria Miller Nam(13)</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December 30, 2004, by and between MagnaChip Semiconductor LLC and Jerry M. Baker(13)</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10.49</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Restricted Unit Subscription Agreement, dated as of December 30, 2004, by and between MagnaChip Semiconductor LLC and Jerry</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 Baker(13)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January 19, 2006, by and between MagnaChip Semiconductor LLC and Armando Geday(13)</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Hwang(13)</w:t>
            </w:r>
          </w:p>
        </w:tc>
      </w:tr>
      <w:tr>
        <w:trPr>
          <w:trHeight w:val="284"/>
        </w:trPr>
        <w:tc>
          <w:tcPr>
            <w:tcW w:w="600" w:type="dxa"/>
            <w:vAlign w:val="bottom"/>
          </w:tcPr>
          <w:p>
            <w:pPr>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10.53</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Chan Hee Lee(13)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10.54</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Victoria Miller Nam(13)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May 27, 2006, by and between MagnaChip Semiconductor LLC and Sang Park(13)</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Option Agreement, dated as of January 25, 2007, by and between MagnaChip Semiconductor LLC and R. Douglas Norby(13)</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Service Agreement, dated as of October 1, 2004, by and between MagnaChip Semiconductor, Ltd. and Chan Hee Lee (English</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translation)(13)</w:t>
            </w:r>
          </w:p>
        </w:tc>
      </w:tr>
      <w:tr>
        <w:trPr>
          <w:trHeight w:val="262"/>
        </w:trPr>
        <w:tc>
          <w:tcPr>
            <w:tcW w:w="600" w:type="dxa"/>
            <w:vAlign w:val="bottom"/>
          </w:tcPr>
          <w:p>
            <w:pPr>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22"/>
                <w:szCs w:val="22"/>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Basic Agreement on Joint Development and Grant of License, dated as of November 10, 2006, by and between Magnachip</w:t>
            </w:r>
          </w:p>
        </w:tc>
      </w:tr>
      <w:tr>
        <w:trPr>
          <w:trHeight w:val="211"/>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Semiconductor, Ltd. and Silicon Works (English translation)</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Samil PricewaterhouseCoopers</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Consent of Dechert LLP (contained in Exhibit 5.1)*</w:t>
            </w:r>
          </w:p>
        </w:tc>
      </w:tr>
    </w:tbl>
    <w:p>
      <w:pPr>
        <w:spacing w:after="0" w:line="59" w:lineRule="exact"/>
        <w:rPr>
          <w:sz w:val="20"/>
          <w:szCs w:val="20"/>
          <w:color w:val="auto"/>
        </w:rPr>
      </w:pPr>
    </w:p>
    <w:p>
      <w:pPr>
        <w:ind w:left="1040" w:hanging="1032"/>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Power of Attorney(13)</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461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33-126019-09).</w:t>
      </w:r>
    </w:p>
    <w:p>
      <w:pPr>
        <w:ind w:left="68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33-126019-09).</w:t>
      </w:r>
    </w:p>
    <w:p>
      <w:pPr>
        <w:spacing w:after="0" w:line="1" w:lineRule="exact"/>
        <w:rPr>
          <w:rFonts w:ascii="Arial" w:cs="Arial" w:eastAsia="Arial" w:hAnsi="Arial"/>
          <w:sz w:val="18"/>
          <w:szCs w:val="18"/>
          <w:color w:val="auto"/>
        </w:rPr>
      </w:pPr>
    </w:p>
    <w:p>
      <w:pPr>
        <w:ind w:left="680" w:right="26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33-126019-09).</w:t>
      </w:r>
    </w:p>
    <w:p>
      <w:pPr>
        <w:spacing w:after="0" w:line="1" w:lineRule="exact"/>
        <w:rPr>
          <w:rFonts w:ascii="Arial" w:cs="Arial" w:eastAsia="Arial" w:hAnsi="Arial"/>
          <w:sz w:val="18"/>
          <w:szCs w:val="18"/>
          <w:color w:val="auto"/>
        </w:rPr>
      </w:pPr>
    </w:p>
    <w:p>
      <w:pPr>
        <w:ind w:left="680" w:right="4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33-126019-09).</w:t>
      </w:r>
    </w:p>
    <w:p>
      <w:pPr>
        <w:spacing w:after="0" w:line="1" w:lineRule="exact"/>
        <w:rPr>
          <w:rFonts w:ascii="Arial" w:cs="Arial" w:eastAsia="Arial" w:hAnsi="Arial"/>
          <w:sz w:val="18"/>
          <w:szCs w:val="18"/>
          <w:color w:val="auto"/>
        </w:rPr>
      </w:pPr>
    </w:p>
    <w:p>
      <w:pPr>
        <w:ind w:left="680" w:right="1060" w:hanging="672"/>
        <w:spacing w:after="0" w:line="234"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33-126019-09).</w:t>
      </w:r>
    </w:p>
    <w:p>
      <w:pPr>
        <w:spacing w:after="0" w:line="1" w:lineRule="exact"/>
        <w:rPr>
          <w:rFonts w:ascii="Arial" w:cs="Arial" w:eastAsia="Arial" w:hAnsi="Arial"/>
          <w:sz w:val="18"/>
          <w:szCs w:val="18"/>
          <w:color w:val="auto"/>
        </w:rPr>
      </w:pPr>
    </w:p>
    <w:p>
      <w:pPr>
        <w:ind w:left="680" w:right="320" w:hanging="672"/>
        <w:spacing w:after="0" w:line="239" w:lineRule="auto"/>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“Exhibits,” of MagnaChip Semiconductor LLC’s Registration Statement on Form S-1 (File No. 33-147388) which was filed with the SEC on November 14, 2007.</w:t>
      </w:r>
    </w:p>
    <w:p>
      <w:pPr>
        <w:sectPr>
          <w:pgSz w:w="11900" w:h="16838" w:orient="portrait"/>
          <w:cols w:equalWidth="0" w:num="1">
            <w:col w:w="11400"/>
          </w:cols>
          <w:pgMar w:left="240" w:top="459" w:right="25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10.58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Basic Contract on Joint Development and Grant of License</w:t>
      </w:r>
    </w:p>
    <w:p>
      <w:pPr>
        <w:spacing w:after="0" w:line="17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This Basic Contract on Joint Development and Grant of License (hereinafter “Contract”) is made and entered into as of November 10, 2006, by between MagnaChip Semiconductor, Ltd. (hereinafter “MC”) and Silicon Works Co., Ltd. (hereinafter “SW”).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1 (Purpose)</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Agreement is designed to define rights and obligations of the two parties in SW’s granting to MC the license to manufacture and sell the contract product as defined in Article 2 of the Contract (“Contract Product”) that MC and SW co-developed by utilizing the technical information that SW had provided for the Contract Product (“Technical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2 (Definition)</w:t>
      </w:r>
    </w:p>
    <w:p>
      <w:pPr>
        <w:spacing w:after="0" w:line="90" w:lineRule="exact"/>
        <w:rPr>
          <w:sz w:val="20"/>
          <w:szCs w:val="20"/>
          <w:color w:val="auto"/>
        </w:rPr>
      </w:pPr>
    </w:p>
    <w:p>
      <w:pPr>
        <w:ind w:left="900" w:right="28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“Contract Product” shall mean all products that MC and SW are currently co-developing and will co-develop in the future and all their Derivative Products, and product specifications for the Contract Product shall be specified in the Contract on Development of the Contract Product.</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“Derivative Product” shall mean any product whose gamma is changed from the Contract Product (in case of source driver) and any product whose design is changed from the Contract Product (reinforcement and complement of its characteristics).</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“Technical Information” shall mean any technical information, including but not limited to product specifications, test plan, assembly plan and RT plan that are required for MC to manufacture and sell the Contract Product. The Technical Information which shall be kept confidential is classified and specified as Confidential Information. The details are based on “Attachment 1.”</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“Co-development” shall mean a series of development activities for which SW takes the responsibility of design for the Contract Product, MC manufactures it, SW and MC jointly validate characteristics of the products and MC completes the development in accordance with the rule on new product introduction (“NPI,” hereinafter).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3 (Grant of License)</w:t>
      </w:r>
    </w:p>
    <w:p>
      <w:pPr>
        <w:spacing w:after="0" w:line="90" w:lineRule="exact"/>
        <w:rPr>
          <w:sz w:val="20"/>
          <w:szCs w:val="20"/>
          <w:color w:val="auto"/>
        </w:rPr>
      </w:pPr>
    </w:p>
    <w:p>
      <w:pPr>
        <w:ind w:left="900" w:right="6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SW shall grant to MC the license that permits MC to manufacture and sell the Contract Product using SW’s Technical Information (including license to subcontract manufacturing and re-license).</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MC shall pay a running royalty to SW as prescribed in Article 7 of this Contract and in the Development Contract for the Contract Product in return for the grant of license as prescribed paragraph 1 of this Article.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4 (Conduct development work)</w:t>
      </w:r>
    </w:p>
    <w:p>
      <w:pPr>
        <w:spacing w:after="0" w:line="90" w:lineRule="exact"/>
        <w:rPr>
          <w:sz w:val="20"/>
          <w:szCs w:val="20"/>
          <w:color w:val="auto"/>
        </w:rPr>
      </w:pPr>
    </w:p>
    <w:p>
      <w:pPr>
        <w:ind w:left="900" w:right="36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accordance with the Product Specification as prescribed in the Development Contract for the Contract Product, MC and SW shall conduct development work in a good faith. In case of “Derivative Product,” MC and SW may determine product specification and development schedule through discussion when the development is needed.</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MC manufactures the Contract Product, SW shall provide needed technological support to MC based on the Technical Information prescribed in paragraph 3, Article 2 of this Contract.</w:t>
      </w:r>
    </w:p>
    <w:p>
      <w:pPr>
        <w:sectPr>
          <w:pgSz w:w="11900" w:h="16838" w:orient="portrait"/>
          <w:cols w:equalWidth="0" w:num="1">
            <w:col w:w="11420"/>
          </w:cols>
          <w:pgMar w:left="240" w:top="125"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64" w:lineRule="exact"/>
        <w:rPr>
          <w:sz w:val="20"/>
          <w:szCs w:val="20"/>
          <w:color w:val="auto"/>
        </w:rPr>
      </w:pPr>
    </w:p>
    <w:p>
      <w:pPr>
        <w:ind w:left="900" w:right="100" w:hanging="446"/>
        <w:spacing w:after="0" w:line="256"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case the development work is hindered due to the reasons for which one of the two parties is not responsible during the development work that was being executed based on this Contract, the party shall immediately notify the other party of the disturbance and if the reason for the disturbance is not removed through mutual consultation, either of the two parties may terminate this Contract by delivering written notice to the other party without taking any responsibility for contract violation.</w:t>
      </w:r>
    </w:p>
    <w:p>
      <w:pPr>
        <w:spacing w:after="0" w:line="62"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development work stipulated in this Contract shall be deemed to be completed at the time when the Contract Product or the Derivative Product passes examination by the Quality Evaluation and Judgment Committee as stipulated in MC’s NPI, and SW shall provide utmost cooperation so that the Contract Product or Derivative Product passes the examination by the Quality Evaluation and Judgment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5 (Buyer of the Contract Product)</w:t>
      </w:r>
    </w:p>
    <w:p>
      <w:pPr>
        <w:spacing w:after="0" w:line="90" w:lineRule="exact"/>
        <w:rPr>
          <w:sz w:val="20"/>
          <w:szCs w:val="20"/>
          <w:color w:val="auto"/>
        </w:rPr>
      </w:pPr>
    </w:p>
    <w:p>
      <w:pPr>
        <w:ind w:left="900" w:right="300" w:hanging="446"/>
        <w:spacing w:after="0" w:line="33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Contract Product that MC manufactured or produced in accordance with license granted under Article 3 of this Contract, shall be supplied to LG.Philips LCD Co., Ltd., before any other entity in the volume that was agreed with LG.Philips LCD Co., Ltd.</w:t>
      </w:r>
    </w:p>
    <w:p>
      <w:pPr>
        <w:spacing w:after="0" w:line="4" w:lineRule="exact"/>
        <w:rPr>
          <w:rFonts w:ascii="Arial" w:cs="Arial" w:eastAsia="Arial" w:hAnsi="Arial"/>
          <w:sz w:val="16"/>
          <w:szCs w:val="16"/>
          <w:color w:val="auto"/>
        </w:rPr>
      </w:pPr>
    </w:p>
    <w:p>
      <w:pPr>
        <w:jc w:val="both"/>
        <w:ind w:left="900" w:hanging="446"/>
        <w:spacing w:after="0" w:line="306"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After fulfilling the supply obligation to LG.Philips LCD Co., Ltd., stipulated in Article 1 of the Contract, MC may sell the Contract Product to a third party without any restriction, under the condition that when MC sells the Contract Product to a third party, the timing shall be six (6) months or more after LG.Philips LCD Co., Ltd. conducted the first mass production of LCD modules that have the Contract Product attached.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6 (Provision of Technical Information)</w:t>
      </w:r>
    </w:p>
    <w:p>
      <w:pPr>
        <w:spacing w:after="0" w:line="90" w:lineRule="exact"/>
        <w:rPr>
          <w:sz w:val="20"/>
          <w:szCs w:val="20"/>
          <w:color w:val="auto"/>
        </w:rPr>
      </w:pPr>
    </w:p>
    <w:p>
      <w:pPr>
        <w:ind w:left="900" w:right="20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SW shall provide Technical Information on the Contract Product as prescribed in Attachment 1 to MC under its responsibility and at its cost as per procedures and methods mutually agreed between the two parties.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MC may ask for additional Technical Information without charge that is required to manufacture and sell the Contract Product through consultation with SW, and SW shall respond to such request.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7 (Payment of running royalty)</w:t>
      </w:r>
    </w:p>
    <w:p>
      <w:pPr>
        <w:spacing w:after="0" w:line="90" w:lineRule="exact"/>
        <w:rPr>
          <w:sz w:val="20"/>
          <w:szCs w:val="20"/>
          <w:color w:val="auto"/>
        </w:rPr>
      </w:pPr>
    </w:p>
    <w:p>
      <w:pPr>
        <w:ind w:left="900" w:right="120" w:hanging="446"/>
        <w:spacing w:after="0" w:line="33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MC shall pay a running royalty which is equivalent to a certain percentage of the Net Selling Price” of the Contract Product in return for the license granted by SW based on this Contract by end of the next month of the month when the Contract Product was sold.</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Net Selling Price referred to in this Contract shall mean the total selling amount minus all the expenses incurred for sales of the Contract Product including, but limited to the following amount and it is set as 0.1% of the total selling price.</w:t>
      </w:r>
    </w:p>
    <w:p>
      <w:pPr>
        <w:spacing w:after="0" w:line="5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Discount given in accordance with transaction discount practice</w:t>
      </w:r>
    </w:p>
    <w:p>
      <w:pPr>
        <w:spacing w:after="0" w:line="90" w:lineRule="exact"/>
        <w:rPr>
          <w:sz w:val="20"/>
          <w:szCs w:val="20"/>
          <w:color w:val="auto"/>
        </w:rPr>
      </w:pPr>
    </w:p>
    <w:p>
      <w:pPr>
        <w:ind w:left="1920" w:hanging="440"/>
        <w:spacing w:after="0"/>
        <w:tabs>
          <w:tab w:leader="none" w:pos="1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Price of the Contract Products that were returned due to defect</w:t>
      </w:r>
    </w:p>
    <w:p>
      <w:pPr>
        <w:spacing w:after="0" w:line="90" w:lineRule="exact"/>
        <w:rPr>
          <w:sz w:val="20"/>
          <w:szCs w:val="20"/>
          <w:color w:val="auto"/>
        </w:rPr>
      </w:pPr>
    </w:p>
    <w:p>
      <w:pPr>
        <w:ind w:left="1920" w:hanging="440"/>
        <w:spacing w:after="0"/>
        <w:tabs>
          <w:tab w:leader="none" w:pos="1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Value-added tax imposed in relation to sale of the Contract Product</w:t>
      </w:r>
    </w:p>
    <w:p>
      <w:pPr>
        <w:spacing w:after="0" w:line="90" w:lineRule="exact"/>
        <w:rPr>
          <w:sz w:val="20"/>
          <w:szCs w:val="20"/>
          <w:color w:val="auto"/>
        </w:rPr>
      </w:pPr>
    </w:p>
    <w:p>
      <w:pPr>
        <w:ind w:left="1920" w:hanging="440"/>
        <w:spacing w:after="0"/>
        <w:tabs>
          <w:tab w:leader="none" w:pos="19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Insurance and transportation charges incurred in relation to sale of the Contract Product</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rate of the running royalty for the Contract Product is determined based on agreement between the two parties when the Development Contract is sealed and the Development Contract, in principle, shall be signed 15 days before initiation of development of the Contract Product.</w:t>
      </w:r>
    </w:p>
    <w:p>
      <w:pPr>
        <w:sectPr>
          <w:pgSz w:w="11900" w:h="16838" w:orient="portrait"/>
          <w:cols w:equalWidth="0" w:num="1">
            <w:col w:w="11400"/>
          </w:cols>
          <w:pgMar w:left="240" w:top="274" w:right="25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64"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rate of the running royalty, payment terms and penalty interest due to delinquencies are determined and prescribed in the Development Contract.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Article 8 (Development cost and schedule)</w:t>
      </w:r>
    </w:p>
    <w:p>
      <w:pPr>
        <w:spacing w:after="0" w:line="90"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cost for design of the Contract Product is wholly borne by SW.</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sample production cost for the Contract Product is wholly borne by MC under the condition that Masks consumed in this case shall be limited to 1.5 sets per product.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Additional Mask costs that exceed the limit of paragraph 2 of this Article shall be paid by the party that caused those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development schedule for the Contract Product is agreed between the two parties to meet the deadlines required by LG.Philips LCD Co.,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Article 9 (Technical Support)</w:t>
      </w:r>
    </w:p>
    <w:p>
      <w:pPr>
        <w:spacing w:after="0" w:line="90" w:lineRule="exact"/>
        <w:rPr>
          <w:sz w:val="20"/>
          <w:szCs w:val="20"/>
          <w:color w:val="auto"/>
        </w:rPr>
      </w:pPr>
    </w:p>
    <w:p>
      <w:pPr>
        <w:ind w:left="900" w:right="2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After finishing the first manufacturing of the Contract Product using Technical Information provided by SW, MC shall provide the reliability test result for the products. If the reliability test result indicates any problem that is caused by flawed design, SW shall provide the technical support to MC to resolve the identified problem with no charge.</w:t>
      </w:r>
    </w:p>
    <w:p>
      <w:pPr>
        <w:spacing w:after="0" w:line="59"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there is any request by MC during the Contract period, SW shall provide to MC with no charge the design related technical support required for manufacturing, testing, field application engineering (FAE) and sale of the Contract Product using the Technical Information based on mutual consultation between the two parties. The detailed contents and method of technical support are determined and agreed by MC and SW based on MC’s request.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Article 10 (Ownership)</w:t>
      </w:r>
    </w:p>
    <w:p>
      <w:pPr>
        <w:spacing w:after="0" w:line="90" w:lineRule="exact"/>
        <w:rPr>
          <w:sz w:val="20"/>
          <w:szCs w:val="20"/>
          <w:color w:val="auto"/>
        </w:rPr>
      </w:pPr>
    </w:p>
    <w:p>
      <w:pPr>
        <w:ind w:left="900" w:right="44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intellectual properties for the technical information that MC provided for the Contract Product is owned by MC and those for the technical information that SW provided for the Contract Product is owned by SW.</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technical information that is developed jointly by MC and SW is co-owned by MC and SW and in case the co-owned technical information violates intellectual property of a third who raises claim for that or files related lawsuits, MC and SW shall respond to the claim or the lawsuits under the joint responsibility and joint payment for the incurred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11 (Warranty)</w:t>
      </w:r>
    </w:p>
    <w:p>
      <w:pPr>
        <w:spacing w:after="0" w:line="90" w:lineRule="exact"/>
        <w:rPr>
          <w:sz w:val="20"/>
          <w:szCs w:val="20"/>
          <w:color w:val="auto"/>
        </w:rPr>
      </w:pPr>
    </w:p>
    <w:p>
      <w:pPr>
        <w:ind w:left="900" w:right="140" w:hanging="446"/>
        <w:spacing w:after="0" w:line="33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case MC finds any design flaw(s) after careful observation during sales or use of the Contract Product, it my take corrective measures including, but not limited to, recalls or may request that SW fix the flaw(s) including, but not limited to, design modification.</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case of paragraph 1, SW shall take the responsibility of fixing the flaw(s) at its expense and compensate for all the losses that may have inflicted on MC due to design flaw(s) including costs for recall and product liability to a third party.</w:t>
      </w:r>
    </w:p>
    <w:p>
      <w:pPr>
        <w:sectPr>
          <w:pgSz w:w="11900" w:h="16838" w:orient="portrait"/>
          <w:cols w:equalWidth="0" w:num="1">
            <w:col w:w="11380"/>
          </w:cols>
          <w:pgMar w:left="240" w:top="274" w:right="279" w:bottom="1440" w:gutter="0" w:footer="0" w:header="0"/>
        </w:sectPr>
      </w:pPr>
    </w:p>
    <w:bookmarkStart w:id="230" w:name="page231"/>
    <w:bookmarkEnd w:id="23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Article 12 (Report and Investigation)</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deemed needed, SW, at its costs, may visit MC’s business sites to investigate materials used to calculate the running royalty or request MC to present related materials as long as such activities do not disturb MC’s usual business. But in this case, SW shall notify MC of purpose, timing, etc. of such visits 15 days in advance at the latest and MC shall provide utmost cooperation to SW’s investigation. SW’s visits and investigations as per this Article shall not exceed twice a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Article 13 (Intellectual property rights and indemnity)</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case a third party raises claim or files a lawsuit against MC or its customers for the reason that the technical information related to the Contract Product that SW has provided as per this Contract, SW shall indemnify MC or MC’s customers from such claim or lawsuit under its responsibility and at its costs and at the same time, it shall compensate for the entire loss that is inflicted on MC due to such claim or lawsuit.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14 (Confidentiality)</w:t>
      </w:r>
    </w:p>
    <w:p>
      <w:pPr>
        <w:spacing w:after="0" w:line="9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Each of the parties shall not publicize existence of the Contract, its contents, all the technical information and related technical materials that it acquired or was provided from the other party in relation to the Contract, to others than persons concerned in this Contract without written agreement of the other party for five years following termination or expiry of the Contract and it shall not use or partially use the Contract for other purposes than is prescribed in this Contract. But MC may reveal non-confidential technical information to a third party with no prior written agreement from SW only if such revelation is needed for MC to sell the Contract Product to the third party for its business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Article 15 (Contract period and termination)</w:t>
      </w:r>
    </w:p>
    <w:p>
      <w:pPr>
        <w:spacing w:after="0" w:line="90" w:lineRule="exact"/>
        <w:rPr>
          <w:sz w:val="20"/>
          <w:szCs w:val="20"/>
          <w:color w:val="auto"/>
        </w:rPr>
      </w:pPr>
    </w:p>
    <w:p>
      <w:pPr>
        <w:ind w:left="900" w:right="34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terminated per paragraph 2 and 3 of this Article, this Contract remains effective for five years after it is signed, and it is automatically renewed every year in case there is no written notice of termination of either of the two parties three months before expiry of the Contract at the latest.</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case either of the parties violates the Contract, the other party may demand the violating party, in written manner, to execute its obligations within 30 days at minimum and in case such obligations are not fulfilled within the time frame given, it may immediately terminate the Contract via written notice.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case either of the following occurs to either of the two parties, the other party may immediately terminate the Contract via written notice.</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Bills or checks that are issued, guaranteed for payment or accepted by either of the two parties bounced or are suspended for trading.</w:t>
      </w:r>
    </w:p>
    <w:p>
      <w:pPr>
        <w:spacing w:after="0" w:line="113"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Forcible execution including seizure, provisional seizure and provisional disposition, is commenced to either of the two parties or their main assets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Bankruptcy, liquidation, composition or company disorganization is commenced to either of the two parties.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Due to any other events, usual business cannot be conducted.</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When the Contract is terminated or expired, the license granted as per this Contract immediately loses its effect and MC shall immediately return to SW or scrap according to SW’s instruction all related technical documents and other materials (including copies) held by MC or its subcontractors. But the Contract Product that is being</w:t>
      </w:r>
    </w:p>
    <w:p>
      <w:pPr>
        <w:sectPr>
          <w:pgSz w:w="11900" w:h="16838" w:orient="portrait"/>
          <w:cols w:equalWidth="0" w:num="1">
            <w:col w:w="11340"/>
          </w:cols>
          <w:pgMar w:left="240" w:top="274" w:right="319" w:bottom="1440" w:gutter="0" w:footer="0" w:header="0"/>
        </w:sectPr>
      </w:pPr>
    </w:p>
    <w:bookmarkStart w:id="231" w:name="page232"/>
    <w:bookmarkEnd w:id="23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64" w:lineRule="exact"/>
        <w:rPr>
          <w:sz w:val="20"/>
          <w:szCs w:val="20"/>
          <w:color w:val="auto"/>
        </w:rPr>
      </w:pPr>
    </w:p>
    <w:p>
      <w:pPr>
        <w:ind w:left="920" w:right="420"/>
        <w:spacing w:after="0" w:line="332" w:lineRule="auto"/>
        <w:rPr>
          <w:sz w:val="20"/>
          <w:szCs w:val="20"/>
          <w:color w:val="auto"/>
        </w:rPr>
      </w:pPr>
      <w:r>
        <w:rPr>
          <w:rFonts w:ascii="Arial" w:cs="Arial" w:eastAsia="Arial" w:hAnsi="Arial"/>
          <w:sz w:val="16"/>
          <w:szCs w:val="16"/>
          <w:color w:val="auto"/>
        </w:rPr>
        <w:t>manufactured or kept in stock may be sold, used or disposed in accordance with terms and conditions of the Contract within one year after the termination or expiration and it may postpone return of technical document or other materials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Article 16 (Compensation for damage)</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Unless otherwise prescribed in this Contract, either of the two parties shall compensate for direct and actual losses that can be inflected on the other party in relation to execution of this Contract due to the reasons that it is responsible for.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17 (Force majeure)</w:t>
      </w:r>
    </w:p>
    <w:p>
      <w:pPr>
        <w:spacing w:after="0" w:line="90" w:lineRule="exact"/>
        <w:rPr>
          <w:sz w:val="20"/>
          <w:szCs w:val="20"/>
          <w:color w:val="auto"/>
        </w:rPr>
      </w:pPr>
    </w:p>
    <w:p>
      <w:pPr>
        <w:ind w:left="900" w:right="4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Should either of the parties to this Contract fail to perform this Contract due to force majeure, such as earthquake, hurricane, flood, fire or any other unpreventable or unavoidable event, the party affected by the force majeure may be exempt from liability and shall immediately notify the other party in written form about the force majeure.</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case such force majeure continues for 60 days or longer, either of the two parties may immediately terminate the Contract in written form without any responsibility for the other party.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Article 18 (Restriction on assignment)</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Either of the two parties shall not assign to others this Contract or its rights prescribed in this Contract or have others fulfill its obligations for it, without prior written agreement of the other party. But, if needed to manufacture or sell the Contract Product, MC may assign to others this Contract or its rights prescribed in this Contract or have others fulfill its obligations for it under prior consultation with SW.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Article 19 (Others)</w:t>
      </w:r>
    </w:p>
    <w:p>
      <w:pPr>
        <w:spacing w:after="0" w:line="90"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All disputes that can happen in relation to this Contract are resolved by Seoul Central District Court which shall be the competent court.</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articles of the Contract including, but not limited to Article 10, 11, 13, 14, 15, 16, 18 and any other articles that shall remain effective even after the Contract expires or is terminated, if need be.</w:t>
      </w:r>
    </w:p>
    <w:p>
      <w:pPr>
        <w:spacing w:after="0" w:line="5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Deficiencies to this Contract or matters in relation to its interpretation are determined through mutual agreement and in case no agreement is established, commercial practices apply and in case no such commercial practices do not exist, related laws and regulations apply.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Contract may be revised based on written agreement and sealing (signature) of the two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agreement reached verbally or in written form before this Contract is sealed shall lose its effect and replaced by this Contract.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Each of the two parties produces two copies of the Contract and keeps one copy each after signing it in order to prove existence and contents of the Contract.</w:t>
      </w:r>
    </w:p>
    <w:p>
      <w:pPr>
        <w:sectPr>
          <w:pgSz w:w="11900" w:h="16838" w:orient="portrait"/>
          <w:cols w:equalWidth="0" w:num="1">
            <w:col w:w="11320"/>
          </w:cols>
          <w:pgMar w:left="240" w:top="274" w:right="339" w:bottom="1440" w:gutter="0" w:footer="0" w:header="0"/>
        </w:sectPr>
      </w:pPr>
    </w:p>
    <w:bookmarkStart w:id="232" w:name="page233"/>
    <w:bookmarkEnd w:id="232"/>
    <w:p>
      <w:pPr>
        <w:jc w:val="right"/>
        <w:ind w:right="38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 10,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 Magnachip Semiconductor, Ltd.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361- 725, 1, Hyangjeong-dong, Heongdeok-gu, Cheongju-si, Korea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CEO Sang Ho Park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SW: 104-13 Munji-dong, Yuseong-gu, Daejeon-si 305-380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CEO Dae Keun Han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Attachment 1 Technical Information</w:t>
      </w:r>
    </w:p>
    <w:p>
      <w:pPr>
        <w:spacing w:after="0" w:line="9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Test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Assembly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R/T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Custom Tape manufacturing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Mask (FAB/Bump) manufacturing information</w:t>
      </w:r>
    </w:p>
    <w:p>
      <w:pPr>
        <w:sectPr>
          <w:pgSz w:w="11900" w:h="16838" w:orient="portrait"/>
          <w:cols w:equalWidth="0" w:num="1">
            <w:col w:w="10219"/>
          </w:cols>
          <w:pgMar w:left="240" w:top="274"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60" w:firstLine="571"/>
        <w:spacing w:after="0" w:line="281" w:lineRule="auto"/>
        <w:rPr>
          <w:sz w:val="20"/>
          <w:szCs w:val="20"/>
          <w:color w:val="auto"/>
        </w:rPr>
      </w:pPr>
      <w:r>
        <w:rPr>
          <w:rFonts w:ascii="Arial" w:cs="Arial" w:eastAsia="Arial" w:hAnsi="Arial"/>
          <w:sz w:val="16"/>
          <w:szCs w:val="16"/>
          <w:color w:val="auto"/>
        </w:rPr>
        <w:t>We hereby consent to the use in this Amendment No. 1 to Registration Statement on Form S-1 (as amended, the “Registration Statement”) of our reports dated March 26, 2007 and June 15, 2005 relating to the financial statements of MagnaChip Semiconductor LLC, which appear in such Registration Statement. We also consent to the references to us under the headings “Experts” in such Registration Statement.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4" w:lineRule="auto"/>
        <w:rPr>
          <w:sz w:val="20"/>
          <w:szCs w:val="20"/>
          <w:color w:val="auto"/>
        </w:rPr>
      </w:pPr>
      <w:r>
        <w:rPr>
          <w:rFonts w:ascii="Arial" w:cs="Arial" w:eastAsia="Arial" w:hAnsi="Arial"/>
          <w:sz w:val="18"/>
          <w:szCs w:val="18"/>
          <w:color w:val="auto"/>
        </w:rPr>
        <w:t>Seoul, Korea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25, 2007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Ÿ"/>
      <w:numFmt w:val="bullet"/>
      <w:start w:val="1"/>
    </w:lvl>
  </w:abstractNum>
  <w:abstractNum w:abstractNumId="2">
    <w:nsid w:val="310C50B3"/>
    <w:multiLevelType w:val="hybridMultilevel"/>
    <w:lvl w:ilvl="0">
      <w:lvlJc w:val="left"/>
      <w:lvlText w:val="Ÿ"/>
      <w:numFmt w:val="bullet"/>
      <w:start w:val="1"/>
    </w:lvl>
  </w:abstractNum>
  <w:abstractNum w:abstractNumId="3">
    <w:nsid w:val="5FF87E05"/>
    <w:multiLevelType w:val="hybridMultilevel"/>
    <w:lvl w:ilvl="0">
      <w:lvlJc w:val="left"/>
      <w:lvlText w:val="Ÿ"/>
      <w:numFmt w:val="bullet"/>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Ÿ"/>
      <w:numFmt w:val="bullet"/>
      <w:start w:val="1"/>
    </w:lvl>
  </w:abstractNum>
  <w:abstractNum w:abstractNumId="6">
    <w:nsid w:val="1DBABF00"/>
    <w:multiLevelType w:val="hybridMultilevel"/>
    <w:lvl w:ilvl="0">
      <w:lvlJc w:val="left"/>
      <w:lvlText w:val="Ÿ"/>
      <w:numFmt w:val="bullet"/>
      <w:start w:val="1"/>
    </w:lvl>
  </w:abstractNum>
  <w:abstractNum w:abstractNumId="7">
    <w:nsid w:val="4AD084E9"/>
    <w:multiLevelType w:val="hybridMultilevel"/>
    <w:lvl w:ilvl="0">
      <w:lvlJc w:val="left"/>
      <w:lvlText w:val="Ÿ"/>
      <w:numFmt w:val="bullet"/>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4"/>
    </w:lvl>
  </w:abstractNum>
  <w:abstractNum w:abstractNumId="10">
    <w:nsid w:val="5DB70AE5"/>
    <w:multiLevelType w:val="hybridMultilevel"/>
    <w:lvl w:ilvl="0">
      <w:lvlJc w:val="left"/>
      <w:lvlText w:val="Ÿ"/>
      <w:numFmt w:val="bullet"/>
      <w:start w:val="1"/>
    </w:lvl>
  </w:abstractNum>
  <w:abstractNum w:abstractNumId="11">
    <w:nsid w:val="100F8FCA"/>
    <w:multiLevelType w:val="hybridMultilevel"/>
    <w:lvl w:ilvl="0">
      <w:lvlJc w:val="left"/>
      <w:lvlText w:val="Ÿ"/>
      <w:numFmt w:val="bullet"/>
      <w:start w:val="1"/>
    </w:lvl>
  </w:abstractNum>
  <w:abstractNum w:abstractNumId="12">
    <w:nsid w:val="6590700B"/>
    <w:multiLevelType w:val="hybridMultilevel"/>
    <w:lvl w:ilvl="0">
      <w:lvlJc w:val="left"/>
      <w:lvlText w:val="Ÿ"/>
      <w:numFmt w:val="bullet"/>
      <w:start w:val="1"/>
    </w:lvl>
  </w:abstractNum>
  <w:abstractNum w:abstractNumId="13">
    <w:nsid w:val="15014ACB"/>
    <w:multiLevelType w:val="hybridMultilevel"/>
    <w:lvl w:ilvl="0">
      <w:lvlJc w:val="left"/>
      <w:lvlText w:val="Ÿ"/>
      <w:numFmt w:val="bullet"/>
      <w:start w:val="1"/>
    </w:lvl>
  </w:abstractNum>
  <w:abstractNum w:abstractNumId="14">
    <w:nsid w:val="5F5E7FD0"/>
    <w:multiLevelType w:val="hybridMultilevel"/>
    <w:lvl w:ilvl="0">
      <w:lvlJc w:val="left"/>
      <w:lvlText w:val="Ÿ"/>
      <w:numFmt w:val="bullet"/>
      <w:start w:val="1"/>
    </w:lvl>
  </w:abstractNum>
  <w:abstractNum w:abstractNumId="15">
    <w:nsid w:val="98A3148"/>
    <w:multiLevelType w:val="hybridMultilevel"/>
    <w:lvl w:ilvl="0">
      <w:lvlJc w:val="left"/>
      <w:lvlText w:val="Ÿ"/>
      <w:numFmt w:val="bullet"/>
      <w:start w:val="1"/>
    </w:lvl>
  </w:abstractNum>
  <w:abstractNum w:abstractNumId="16">
    <w:nsid w:val="799D0247"/>
    <w:multiLevelType w:val="hybridMultilevel"/>
    <w:lvl w:ilvl="0">
      <w:lvlJc w:val="left"/>
      <w:lvlText w:val="Ÿ"/>
      <w:numFmt w:val="bullet"/>
      <w:start w:val="1"/>
    </w:lvl>
  </w:abstractNum>
  <w:abstractNum w:abstractNumId="17">
    <w:nsid w:val="6B94764"/>
    <w:multiLevelType w:val="hybridMultilevel"/>
    <w:lvl w:ilvl="0">
      <w:lvlJc w:val="left"/>
      <w:lvlText w:val="Ÿ"/>
      <w:numFmt w:val="bullet"/>
      <w:start w:val="1"/>
    </w:lvl>
  </w:abstractNum>
  <w:abstractNum w:abstractNumId="18">
    <w:nsid w:val="42C296BD"/>
    <w:multiLevelType w:val="hybridMultilevel"/>
    <w:lvl w:ilvl="0">
      <w:lvlJc w:val="left"/>
      <w:lvlText w:val="Ÿ"/>
      <w:numFmt w:val="bullet"/>
      <w:start w:val="1"/>
    </w:lvl>
  </w:abstractNum>
  <w:abstractNum w:abstractNumId="19">
    <w:nsid w:val="168E121F"/>
    <w:multiLevelType w:val="hybridMultilevel"/>
    <w:lvl w:ilvl="0">
      <w:lvlJc w:val="left"/>
      <w:lvlText w:val="Ÿ"/>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Ÿ"/>
      <w:numFmt w:val="bullet"/>
      <w:start w:val="1"/>
    </w:lvl>
  </w:abstractNum>
  <w:abstractNum w:abstractNumId="22">
    <w:nsid w:val="5DC79EA8"/>
    <w:multiLevelType w:val="hybridMultilevel"/>
    <w:lvl w:ilvl="0">
      <w:lvlJc w:val="left"/>
      <w:lvlText w:val="Ÿ"/>
      <w:numFmt w:val="bullet"/>
      <w:start w:val="1"/>
    </w:lvl>
  </w:abstractNum>
  <w:abstractNum w:abstractNumId="23">
    <w:nsid w:val="540A471C"/>
    <w:multiLevelType w:val="hybridMultilevel"/>
    <w:lvl w:ilvl="0">
      <w:lvlJc w:val="left"/>
      <w:lvlText w:val="Ÿ"/>
      <w:numFmt w:val="bullet"/>
      <w:start w:val="1"/>
    </w:lvl>
  </w:abstractNum>
  <w:abstractNum w:abstractNumId="24">
    <w:nsid w:val="7BD3EE7B"/>
    <w:multiLevelType w:val="hybridMultilevel"/>
    <w:lvl w:ilvl="0">
      <w:lvlJc w:val="left"/>
      <w:lvlText w:val="(%1)"/>
      <w:numFmt w:val="decimal"/>
      <w:start w:val="2"/>
    </w:lvl>
  </w:abstractNum>
  <w:abstractNum w:abstractNumId="25">
    <w:nsid w:val="51D9C564"/>
    <w:multiLevelType w:val="hybridMultilevel"/>
    <w:lvl w:ilvl="0">
      <w:lvlJc w:val="left"/>
      <w:lvlText w:val="(%1)"/>
      <w:numFmt w:val="decimal"/>
      <w:start w:val="1"/>
    </w:lvl>
  </w:abstractNum>
  <w:abstractNum w:abstractNumId="26">
    <w:nsid w:val="613EFDC5"/>
    <w:multiLevelType w:val="hybridMultilevel"/>
    <w:lvl w:ilvl="0">
      <w:lvlJc w:val="left"/>
      <w:lvlText w:val="(%1)"/>
      <w:numFmt w:val="decimal"/>
      <w:start w:val="1"/>
    </w:lvl>
  </w:abstractNum>
  <w:abstractNum w:abstractNumId="27">
    <w:nsid w:val="BF72B14"/>
    <w:multiLevelType w:val="hybridMultilevel"/>
    <w:lvl w:ilvl="0">
      <w:lvlJc w:val="left"/>
      <w:lvlText w:val="(%1)"/>
      <w:numFmt w:val="decimal"/>
      <w:start w:val="1"/>
    </w:lvl>
  </w:abstractNum>
  <w:abstractNum w:abstractNumId="28">
    <w:nsid w:val="11447B73"/>
    <w:multiLevelType w:val="hybridMultilevel"/>
    <w:lvl w:ilvl="0">
      <w:lvlJc w:val="left"/>
      <w:lvlText w:val="(%1)"/>
      <w:numFmt w:val="decimal"/>
      <w:start w:val="4"/>
    </w:lvl>
  </w:abstractNum>
  <w:abstractNum w:abstractNumId="29">
    <w:nsid w:val="42963E5A"/>
    <w:multiLevelType w:val="hybridMultilevel"/>
    <w:lvl w:ilvl="0">
      <w:lvlJc w:val="left"/>
      <w:lvlText w:val="(%1)"/>
      <w:numFmt w:val="decimal"/>
      <w:start w:val="1"/>
    </w:lvl>
  </w:abstractNum>
  <w:abstractNum w:abstractNumId="30">
    <w:nsid w:val="A0382C5"/>
    <w:multiLevelType w:val="hybridMultilevel"/>
    <w:lvl w:ilvl="0">
      <w:lvlJc w:val="left"/>
      <w:lvlText w:val="(%1)"/>
      <w:numFmt w:val="decimal"/>
      <w:start w:val="2"/>
    </w:lvl>
  </w:abstractNum>
  <w:abstractNum w:abstractNumId="31">
    <w:nsid w:val="8F2B15E"/>
    <w:multiLevelType w:val="hybridMultilevel"/>
    <w:lvl w:ilvl="0">
      <w:lvlJc w:val="left"/>
      <w:lvlText w:val="(%1)"/>
      <w:numFmt w:val="decimal"/>
      <w:start w:val="5"/>
    </w:lvl>
  </w:abstractNum>
  <w:abstractNum w:abstractNumId="32">
    <w:nsid w:val="1A32234B"/>
    <w:multiLevelType w:val="hybridMultilevel"/>
    <w:lvl w:ilvl="0">
      <w:lvlJc w:val="left"/>
      <w:lvlText w:val="(%1)"/>
      <w:numFmt w:val="decimal"/>
      <w:start w:val="2"/>
    </w:lvl>
  </w:abstractNum>
  <w:abstractNum w:abstractNumId="33">
    <w:nsid w:val="3B0FD379"/>
    <w:multiLevelType w:val="hybridMultilevel"/>
    <w:lvl w:ilvl="0">
      <w:lvlJc w:val="left"/>
      <w:lvlText w:val="(%1)"/>
      <w:numFmt w:val="decimal"/>
      <w:start w:val="4"/>
    </w:lvl>
  </w:abstractNum>
  <w:abstractNum w:abstractNumId="34">
    <w:nsid w:val="68EB2F63"/>
    <w:multiLevelType w:val="hybridMultilevel"/>
    <w:lvl w:ilvl="0">
      <w:lvlJc w:val="left"/>
      <w:lvlText w:val="Ÿ"/>
      <w:numFmt w:val="bullet"/>
      <w:start w:val="1"/>
    </w:lvl>
  </w:abstractNum>
  <w:abstractNum w:abstractNumId="35">
    <w:nsid w:val="4962813B"/>
    <w:multiLevelType w:val="hybridMultilevel"/>
    <w:lvl w:ilvl="0">
      <w:lvlJc w:val="left"/>
      <w:lvlText w:val="Ÿ"/>
      <w:numFmt w:val="bullet"/>
      <w:start w:val="1"/>
    </w:lvl>
  </w:abstractNum>
  <w:abstractNum w:abstractNumId="36">
    <w:nsid w:val="60B6DF70"/>
    <w:multiLevelType w:val="hybridMultilevel"/>
    <w:lvl w:ilvl="0">
      <w:lvlJc w:val="left"/>
      <w:lvlText w:val="Ÿ"/>
      <w:numFmt w:val="bullet"/>
      <w:start w:val="1"/>
    </w:lvl>
  </w:abstractNum>
  <w:abstractNum w:abstractNumId="37">
    <w:nsid w:val="6A5EE64"/>
    <w:multiLevelType w:val="hybridMultilevel"/>
    <w:lvl w:ilvl="0">
      <w:lvlJc w:val="left"/>
      <w:lvlText w:val="(%1)"/>
      <w:numFmt w:val="decimal"/>
      <w:start w:val="1"/>
    </w:lvl>
  </w:abstractNum>
  <w:abstractNum w:abstractNumId="38">
    <w:nsid w:val="14330624"/>
    <w:multiLevelType w:val="hybridMultilevel"/>
    <w:lvl w:ilvl="0">
      <w:lvlJc w:val="left"/>
      <w:lvlText w:val="(%1)"/>
      <w:numFmt w:val="decimal"/>
      <w:start w:val="2"/>
    </w:lvl>
  </w:abstractNum>
  <w:abstractNum w:abstractNumId="39">
    <w:nsid w:val="7FFFCA11"/>
    <w:multiLevelType w:val="hybridMultilevel"/>
    <w:lvl w:ilvl="0">
      <w:lvlJc w:val="left"/>
      <w:lvlText w:val="(%1)"/>
      <w:numFmt w:val="decimal"/>
      <w:start w:val="4"/>
    </w:lvl>
  </w:abstractNum>
  <w:abstractNum w:abstractNumId="40">
    <w:nsid w:val="1A27709E"/>
    <w:multiLevelType w:val="hybridMultilevel"/>
    <w:lvl w:ilvl="0">
      <w:lvlJc w:val="left"/>
      <w:lvlText w:val="Ÿ"/>
      <w:numFmt w:val="bullet"/>
      <w:start w:val="1"/>
    </w:lvl>
  </w:abstractNum>
  <w:abstractNum w:abstractNumId="41">
    <w:nsid w:val="71EA1109"/>
    <w:multiLevelType w:val="hybridMultilevel"/>
    <w:lvl w:ilvl="0">
      <w:lvlJc w:val="left"/>
      <w:lvlText w:val="Ÿ"/>
      <w:numFmt w:val="bullet"/>
      <w:start w:val="1"/>
    </w:lvl>
  </w:abstractNum>
  <w:abstractNum w:abstractNumId="42">
    <w:nsid w:val="100F59DC"/>
    <w:multiLevelType w:val="hybridMultilevel"/>
    <w:lvl w:ilvl="0">
      <w:lvlJc w:val="left"/>
      <w:lvlText w:val="Ÿ"/>
      <w:numFmt w:val="bullet"/>
      <w:start w:val="1"/>
    </w:lvl>
  </w:abstractNum>
  <w:abstractNum w:abstractNumId="43">
    <w:nsid w:val="7FB7E0AA"/>
    <w:multiLevelType w:val="hybridMultilevel"/>
    <w:lvl w:ilvl="0">
      <w:lvlJc w:val="left"/>
      <w:lvlText w:val="Ÿ"/>
      <w:numFmt w:val="bullet"/>
      <w:start w:val="1"/>
    </w:lvl>
  </w:abstractNum>
  <w:abstractNum w:abstractNumId="44">
    <w:nsid w:val="6EB5BD4"/>
    <w:multiLevelType w:val="hybridMultilevel"/>
    <w:lvl w:ilvl="0">
      <w:lvlJc w:val="left"/>
      <w:lvlText w:val="Ÿ"/>
      <w:numFmt w:val="bullet"/>
      <w:start w:val="1"/>
    </w:lvl>
  </w:abstractNum>
  <w:abstractNum w:abstractNumId="45">
    <w:nsid w:val="6F6DD9AC"/>
    <w:multiLevelType w:val="hybridMultilevel"/>
    <w:lvl w:ilvl="0">
      <w:lvlJc w:val="left"/>
      <w:lvlText w:val="Ÿ"/>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Ÿ"/>
      <w:numFmt w:val="bullet"/>
      <w:start w:val="1"/>
    </w:lvl>
  </w:abstractNum>
  <w:abstractNum w:abstractNumId="48">
    <w:nsid w:val="76272110"/>
    <w:multiLevelType w:val="hybridMultilevel"/>
    <w:lvl w:ilvl="0">
      <w:lvlJc w:val="left"/>
      <w:lvlText w:val="(%1)"/>
      <w:numFmt w:val="decimal"/>
      <w:start w:val="1"/>
    </w:lvl>
  </w:abstractNum>
  <w:abstractNum w:abstractNumId="49">
    <w:nsid w:val="4C04A8AF"/>
    <w:multiLevelType w:val="hybridMultilevel"/>
    <w:lvl w:ilvl="0">
      <w:lvlJc w:val="left"/>
      <w:lvlText w:val="%1"/>
      <w:numFmt w:val="decimal"/>
      <w:start w:val="1"/>
    </w:lvl>
    <w:lvl w:ilvl="1">
      <w:lvlJc w:val="left"/>
      <w:lvlText w:val="(%2)"/>
      <w:numFmt w:val="lowerLetter"/>
      <w:start w:val="5"/>
    </w:lvl>
  </w:abstractNum>
  <w:abstractNum w:abstractNumId="50">
    <w:nsid w:val="1716703B"/>
    <w:multiLevelType w:val="hybridMultilevel"/>
    <w:lvl w:ilvl="0">
      <w:lvlJc w:val="left"/>
      <w:lvlText w:val="%1"/>
      <w:numFmt w:val="decimal"/>
      <w:start w:val="1"/>
    </w:lvl>
    <w:lvl w:ilvl="1">
      <w:lvlJc w:val="left"/>
      <w:lvlText w:val="(%2)"/>
      <w:numFmt w:val="lowerLetter"/>
      <w:start w:val="7"/>
    </w:lvl>
  </w:abstractNum>
  <w:abstractNum w:abstractNumId="51">
    <w:nsid w:val="14E17E33"/>
    <w:multiLevelType w:val="hybridMultilevel"/>
    <w:lvl w:ilvl="0">
      <w:lvlJc w:val="left"/>
      <w:lvlText w:val="(%1)"/>
      <w:numFmt w:val="decimal"/>
      <w:start w:val="4"/>
    </w:lvl>
    <w:lvl w:ilvl="1">
      <w:lvlJc w:val="left"/>
      <w:lvlText w:val="%2"/>
      <w:numFmt w:val="lowerLetter"/>
      <w:start w:val="1"/>
    </w:lvl>
  </w:abstractNum>
  <w:abstractNum w:abstractNumId="52">
    <w:nsid w:val="3222E7CD"/>
    <w:multiLevelType w:val="hybridMultilevel"/>
    <w:lvl w:ilvl="0">
      <w:lvlJc w:val="left"/>
      <w:lvlText w:val="(%1)"/>
      <w:numFmt w:val="decimal"/>
      <w:start w:val="1"/>
    </w:lvl>
  </w:abstractNum>
  <w:abstractNum w:abstractNumId="53">
    <w:nsid w:val="74DE0EE3"/>
    <w:multiLevelType w:val="hybridMultilevel"/>
    <w:lvl w:ilvl="0">
      <w:lvlJc w:val="left"/>
      <w:lvlText w:val="(%1)"/>
      <w:numFmt w:val="decimal"/>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1)"/>
      <w:numFmt w:val="decimal"/>
      <w:start w:val="1"/>
    </w:lvl>
  </w:abstractNum>
  <w:abstractNum w:abstractNumId="57">
    <w:nsid w:val="4A2AC315"/>
    <w:multiLevelType w:val="hybridMultilevel"/>
    <w:lvl w:ilvl="0">
      <w:lvlJc w:val="left"/>
      <w:lvlText w:val="Ÿ"/>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1)"/>
      <w:numFmt w:val="decimal"/>
      <w:start w:val="1"/>
    </w:lvl>
  </w:abstractNum>
  <w:abstractNum w:abstractNumId="60">
    <w:nsid w:val="CC1016F"/>
    <w:multiLevelType w:val="hybridMultilevel"/>
    <w:lvl w:ilvl="0">
      <w:lvlJc w:val="left"/>
      <w:lvlText w:val="(%1)"/>
      <w:numFmt w:val="decimal"/>
      <w:start w:val="2"/>
    </w:lvl>
  </w:abstractNum>
  <w:abstractNum w:abstractNumId="61">
    <w:nsid w:val="43F18422"/>
    <w:multiLevelType w:val="hybridMultilevel"/>
    <w:lvl w:ilvl="0">
      <w:lvlJc w:val="left"/>
      <w:lvlText w:val="(%1)"/>
      <w:numFmt w:val="decimal"/>
      <w:start w:val="5"/>
    </w:lvl>
  </w:abstractNum>
  <w:abstractNum w:abstractNumId="62">
    <w:nsid w:val="60EF0119"/>
    <w:multiLevelType w:val="hybridMultilevel"/>
    <w:lvl w:ilvl="0">
      <w:lvlJc w:val="left"/>
      <w:lvlText w:val="(%1)"/>
      <w:numFmt w:val="decimal"/>
      <w:start w:val="6"/>
    </w:lvl>
  </w:abstractNum>
  <w:abstractNum w:abstractNumId="63">
    <w:nsid w:val="26F324BA"/>
    <w:multiLevelType w:val="hybridMultilevel"/>
    <w:lvl w:ilvl="0">
      <w:lvlJc w:val="left"/>
      <w:lvlText w:val="(%1)"/>
      <w:numFmt w:val="decimal"/>
      <w:start w:val="7"/>
    </w:lvl>
  </w:abstractNum>
  <w:abstractNum w:abstractNumId="64">
    <w:nsid w:val="7F01579B"/>
    <w:multiLevelType w:val="hybridMultilevel"/>
    <w:lvl w:ilvl="0">
      <w:lvlJc w:val="left"/>
      <w:lvlText w:val="(%1)"/>
      <w:numFmt w:val="decimal"/>
      <w:start w:val="8"/>
    </w:lvl>
  </w:abstractNum>
  <w:abstractNum w:abstractNumId="65">
    <w:nsid w:val="49DA307D"/>
    <w:multiLevelType w:val="hybridMultilevel"/>
    <w:lvl w:ilvl="0">
      <w:lvlJc w:val="left"/>
      <w:lvlText w:val="(%1)"/>
      <w:numFmt w:val="decimal"/>
      <w:start w:val="9"/>
    </w:lvl>
  </w:abstractNum>
  <w:abstractNum w:abstractNumId="66">
    <w:nsid w:val="7055A5F5"/>
    <w:multiLevelType w:val="hybridMultilevel"/>
    <w:lvl w:ilvl="0">
      <w:lvlJc w:val="left"/>
      <w:lvlText w:val="(%1)"/>
      <w:numFmt w:val="decimal"/>
      <w:start w:val="10"/>
    </w:lvl>
  </w:abstractNum>
  <w:abstractNum w:abstractNumId="67">
    <w:nsid w:val="5FB8370B"/>
    <w:multiLevelType w:val="hybridMultilevel"/>
    <w:lvl w:ilvl="0">
      <w:lvlJc w:val="left"/>
      <w:lvlText w:val="(%1)"/>
      <w:numFmt w:val="decimal"/>
      <w:start w:val="11"/>
    </w:lvl>
  </w:abstractNum>
  <w:abstractNum w:abstractNumId="68">
    <w:nsid w:val="50801EE1"/>
    <w:multiLevelType w:val="hybridMultilevel"/>
    <w:lvl w:ilvl="0">
      <w:lvlJc w:val="left"/>
      <w:lvlText w:val="(%1)"/>
      <w:numFmt w:val="decimal"/>
      <w:start w:val="13"/>
    </w:lvl>
  </w:abstractNum>
  <w:abstractNum w:abstractNumId="69">
    <w:nsid w:val="488AC1A"/>
    <w:multiLevelType w:val="hybridMultilevel"/>
    <w:lvl w:ilvl="0">
      <w:lvlJc w:val="left"/>
      <w:lvlText w:val="(%1)"/>
      <w:numFmt w:val="decimal"/>
      <w:start w:val="19"/>
    </w:lvl>
  </w:abstractNum>
  <w:abstractNum w:abstractNumId="70">
    <w:nsid w:val="5FB8011C"/>
    <w:multiLevelType w:val="hybridMultilevel"/>
    <w:lvl w:ilvl="0">
      <w:lvlJc w:val="left"/>
      <w:lvlText w:val="(%1)"/>
      <w:numFmt w:val="decimal"/>
      <w:start w:val="22"/>
    </w:lvl>
  </w:abstractNum>
  <w:abstractNum w:abstractNumId="71">
    <w:nsid w:val="6AA78F7F"/>
    <w:multiLevelType w:val="hybridMultilevel"/>
    <w:lvl w:ilvl="0">
      <w:lvlJc w:val="left"/>
      <w:lvlText w:val="(%1)"/>
      <w:numFmt w:val="decimal"/>
      <w:start w:val="25"/>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1)"/>
      <w:numFmt w:val="decimal"/>
      <w:start w:val="1"/>
    </w:lvl>
  </w:abstractNum>
  <w:abstractNum w:abstractNumId="74">
    <w:nsid w:val="6A5F7029"/>
    <w:multiLevelType w:val="hybridMultilevel"/>
    <w:lvl w:ilvl="0">
      <w:lvlJc w:val="left"/>
      <w:lvlText w:val="(%1)"/>
      <w:numFmt w:val="decimal"/>
      <w:start w:val="5"/>
    </w:lvl>
  </w:abstractNum>
  <w:abstractNum w:abstractNumId="75">
    <w:nsid w:val="7D5E18F8"/>
    <w:multiLevelType w:val="hybridMultilevel"/>
    <w:lvl w:ilvl="0">
      <w:lvlJc w:val="left"/>
      <w:lvlText w:val="(%1)"/>
      <w:numFmt w:val="decimal"/>
      <w:start w:val="11"/>
    </w:lvl>
  </w:abstractNum>
  <w:abstractNum w:abstractNumId="76">
    <w:nsid w:val="5F3534A4"/>
    <w:multiLevelType w:val="hybridMultilevel"/>
    <w:lvl w:ilvl="0">
      <w:lvlJc w:val="left"/>
      <w:lvlText w:val="(%1)"/>
      <w:numFmt w:val="decimal"/>
      <w:start w:val="26"/>
    </w:lvl>
  </w:abstractNum>
  <w:abstractNum w:abstractNumId="77">
    <w:nsid w:val="73A1821B"/>
    <w:multiLevelType w:val="hybridMultilevel"/>
    <w:lvl w:ilvl="0">
      <w:lvlJc w:val="left"/>
      <w:lvlText w:val="Ÿ"/>
      <w:numFmt w:val="bullet"/>
      <w:start w:val="1"/>
    </w:lvl>
  </w:abstractNum>
  <w:abstractNum w:abstractNumId="78">
    <w:nsid w:val="7DE67713"/>
    <w:multiLevelType w:val="hybridMultilevel"/>
    <w:lvl w:ilvl="0">
      <w:lvlJc w:val="left"/>
      <w:lvlText w:val="Ÿ"/>
      <w:numFmt w:val="bullet"/>
      <w:start w:val="1"/>
    </w:lvl>
  </w:abstractNum>
  <w:abstractNum w:abstractNumId="79">
    <w:nsid w:val="555C55B5"/>
    <w:multiLevelType w:val="hybridMultilevel"/>
    <w:lvl w:ilvl="0">
      <w:lvlJc w:val="left"/>
      <w:lvlText w:val="Ÿ"/>
      <w:numFmt w:val="bullet"/>
      <w:start w:val="1"/>
    </w:lvl>
  </w:abstractNum>
  <w:abstractNum w:abstractNumId="80">
    <w:nsid w:val="3FA62ACA"/>
    <w:multiLevelType w:val="hybridMultilevel"/>
    <w:lvl w:ilvl="0">
      <w:lvlJc w:val="left"/>
      <w:lvlText w:val="Ÿ"/>
      <w:numFmt w:val="bullet"/>
      <w:start w:val="1"/>
    </w:lvl>
  </w:abstractNum>
  <w:abstractNum w:abstractNumId="81">
    <w:nsid w:val="14FCE74E"/>
    <w:multiLevelType w:val="hybridMultilevel"/>
    <w:lvl w:ilvl="0">
      <w:lvlJc w:val="left"/>
      <w:lvlText w:val="Ÿ"/>
      <w:numFmt w:val="bullet"/>
      <w:start w:val="1"/>
    </w:lvl>
  </w:abstractNum>
  <w:abstractNum w:abstractNumId="82">
    <w:nsid w:val="6A3DD3E8"/>
    <w:multiLevelType w:val="hybridMultilevel"/>
    <w:lvl w:ilvl="0">
      <w:lvlJc w:val="left"/>
      <w:lvlText w:val="Ÿ"/>
      <w:numFmt w:val="bullet"/>
      <w:start w:val="1"/>
    </w:lvl>
  </w:abstractNum>
  <w:abstractNum w:abstractNumId="83">
    <w:nsid w:val="71C91298"/>
    <w:multiLevelType w:val="hybridMultilevel"/>
    <w:lvl w:ilvl="0">
      <w:lvlJc w:val="left"/>
      <w:lvlText w:val="Ÿ"/>
      <w:numFmt w:val="bullet"/>
      <w:start w:val="1"/>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Ÿ"/>
      <w:numFmt w:val="bullet"/>
      <w:start w:val="1"/>
    </w:lvl>
  </w:abstractNum>
  <w:abstractNum w:abstractNumId="86">
    <w:nsid w:val="1FBFE8E0"/>
    <w:multiLevelType w:val="hybridMultilevel"/>
    <w:lvl w:ilvl="0">
      <w:lvlJc w:val="left"/>
      <w:lvlText w:val="Ÿ"/>
      <w:numFmt w:val="bullet"/>
      <w:start w:val="1"/>
    </w:lvl>
  </w:abstractNum>
  <w:abstractNum w:abstractNumId="87">
    <w:nsid w:val="5092CA79"/>
    <w:multiLevelType w:val="hybridMultilevel"/>
    <w:lvl w:ilvl="0">
      <w:lvlJc w:val="left"/>
      <w:lvlText w:val="Ÿ"/>
      <w:numFmt w:val="bullet"/>
      <w:start w:val="1"/>
    </w:lvl>
  </w:abstractNum>
  <w:abstractNum w:abstractNumId="88">
    <w:nsid w:val="1D545C4D"/>
    <w:multiLevelType w:val="hybridMultilevel"/>
    <w:lvl w:ilvl="0">
      <w:lvlJc w:val="left"/>
      <w:lvlText w:val="Ÿ"/>
      <w:numFmt w:val="bullet"/>
      <w:start w:val="1"/>
    </w:lvl>
  </w:abstractNum>
  <w:abstractNum w:abstractNumId="89">
    <w:nsid w:val="59ADEA3D"/>
    <w:multiLevelType w:val="hybridMultilevel"/>
    <w:lvl w:ilvl="0">
      <w:lvlJc w:val="left"/>
      <w:lvlText w:val="Ÿ"/>
      <w:numFmt w:val="bullet"/>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1."/>
      <w:numFmt w:val="decimal"/>
      <w:start w:val="2"/>
    </w:lvl>
  </w:abstractNum>
  <w:abstractNum w:abstractNumId="94">
    <w:nsid w:val="51088277"/>
    <w:multiLevelType w:val="hybridMultilevel"/>
    <w:lvl w:ilvl="0">
      <w:lvlJc w:val="left"/>
      <w:lvlText w:val="%1."/>
      <w:numFmt w:val="decimal"/>
      <w:start w:val="14"/>
    </w:lvl>
  </w:abstractNum>
  <w:abstractNum w:abstractNumId="95">
    <w:nsid w:val="1CA0C5FA"/>
    <w:multiLevelType w:val="hybridMultilevel"/>
    <w:lvl w:ilvl="0">
      <w:lvlJc w:val="left"/>
      <w:lvlText w:val="%1."/>
      <w:numFmt w:val="decimal"/>
      <w:start w:val="17"/>
    </w:lvl>
  </w:abstractNum>
  <w:abstractNum w:abstractNumId="96">
    <w:nsid w:val="53584BCB"/>
    <w:multiLevelType w:val="hybridMultilevel"/>
    <w:lvl w:ilvl="0">
      <w:lvlJc w:val="left"/>
      <w:lvlText w:val="%1."/>
      <w:numFmt w:val="decimal"/>
      <w:start w:val="1"/>
    </w:lvl>
  </w:abstractNum>
  <w:abstractNum w:abstractNumId="97">
    <w:nsid w:val="415E286C"/>
    <w:multiLevelType w:val="hybridMultilevel"/>
    <w:lvl w:ilvl="0">
      <w:lvlJc w:val="left"/>
      <w:lvlText w:val="%1."/>
      <w:numFmt w:val="decimal"/>
      <w:start w:val="11"/>
    </w:lvl>
  </w:abstractNum>
  <w:abstractNum w:abstractNumId="98">
    <w:nsid w:val="7C58FD05"/>
    <w:multiLevelType w:val="hybridMultilevel"/>
    <w:lvl w:ilvl="0">
      <w:lvlJc w:val="left"/>
      <w:lvlText w:val="%1."/>
      <w:numFmt w:val="decimal"/>
      <w:start w:val="14"/>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1)"/>
      <w:numFmt w:val="decimal"/>
      <w:start w:val="1"/>
    </w:lvl>
  </w:abstractNum>
  <w:abstractNum w:abstractNumId="101">
    <w:nsid w:val="5C10FE21"/>
    <w:multiLevelType w:val="hybridMultilevel"/>
    <w:lvl w:ilvl="0">
      <w:lvlJc w:val="left"/>
      <w:lvlText w:val="(%1)"/>
      <w:numFmt w:val="decimal"/>
      <w:start w:val="10"/>
    </w:lvl>
  </w:abstractNum>
  <w:abstractNum w:abstractNumId="102">
    <w:nsid w:val="E7FFA2B"/>
    <w:multiLevelType w:val="hybridMultilevel"/>
    <w:lvl w:ilvl="0">
      <w:lvlJc w:val="left"/>
      <w:lvlText w:val="(%1)"/>
      <w:numFmt w:val="decimal"/>
      <w:start w:val="1"/>
    </w:lvl>
    <w:lvl w:ilvl="1">
      <w:lvlJc w:val="left"/>
      <w:lvlText w:val="(%2)"/>
      <w:numFmt w:val="lowerRoman"/>
      <w:start w:val="1"/>
    </w:lvl>
  </w:abstractNum>
  <w:abstractNum w:abstractNumId="103">
    <w:nsid w:val="3C5991AA"/>
    <w:multiLevelType w:val="hybridMultilevel"/>
    <w:lvl w:ilvl="0">
      <w:lvlJc w:val="left"/>
      <w:lvlText w:val="(%1)"/>
      <w:numFmt w:val="decimal"/>
      <w:start w:val="3"/>
    </w:lvl>
    <w:lvl w:ilvl="1">
      <w:lvlJc w:val="left"/>
      <w:lvlText w:val="(%2)"/>
      <w:numFmt w:val="lowerRoman"/>
      <w:start w:val="1"/>
    </w:lvl>
  </w:abstractNum>
  <w:abstractNum w:abstractNumId="104">
    <w:nsid w:val="4BD8591A"/>
    <w:multiLevelType w:val="hybridMultilevel"/>
    <w:lvl w:ilvl="0">
      <w:lvlJc w:val="left"/>
      <w:lvlText w:val="%1"/>
      <w:numFmt w:val="decimal"/>
      <w:start w:val="24"/>
    </w:lvl>
  </w:abstractNum>
  <w:abstractNum w:abstractNumId="105">
    <w:nsid w:val="78DF6A55"/>
    <w:multiLevelType w:val="hybridMultilevel"/>
    <w:lvl w:ilvl="0">
      <w:lvlJc w:val="left"/>
      <w:lvlText w:val="(%1)"/>
      <w:numFmt w:val="decimal"/>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1."/>
      <w:numFmt w:val="decimal"/>
      <w:start w:val="3"/>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ƒ"/>
      <w:numFmt w:val="bullet"/>
      <w:start w:val="1"/>
    </w:lvl>
  </w:abstractNum>
  <w:abstractNum w:abstractNumId="115">
    <w:nsid w:val="5675FF36"/>
    <w:multiLevelType w:val="hybridMultilevel"/>
    <w:lvl w:ilvl="0">
      <w:lvlJc w:val="left"/>
      <w:lvlText w:val="%1."/>
      <w:numFmt w:val="decimal"/>
      <w:start w:val="2"/>
    </w:lvl>
    <w:lvl w:ilvl="1">
      <w:lvlJc w:val="left"/>
      <w:lvlText w:val="„"/>
      <w:numFmt w:val="bullet"/>
      <w:start w:val="1"/>
    </w:lvl>
  </w:abstractNum>
  <w:abstractNum w:abstractNumId="116">
    <w:nsid w:val="3DD15094"/>
    <w:multiLevelType w:val="hybridMultilevel"/>
    <w:lvl w:ilvl="0">
      <w:lvlJc w:val="left"/>
      <w:lvlText w:val="%1."/>
      <w:numFmt w:val="decimal"/>
      <w:start w:val="4"/>
    </w:lvl>
  </w:abstractNum>
  <w:abstractNum w:abstractNumId="117">
    <w:nsid w:val="3DB012B3"/>
    <w:multiLevelType w:val="hybridMultilevel"/>
    <w:lvl w:ilvl="0">
      <w:lvlJc w:val="left"/>
      <w:lvlText w:val="%1."/>
      <w:numFmt w:val="decimal"/>
      <w:start w:val="1"/>
    </w:lvl>
  </w:abstractNum>
  <w:abstractNum w:abstractNumId="118">
    <w:nsid w:val="2708C9AF"/>
    <w:multiLevelType w:val="hybridMultilevel"/>
    <w:lvl w:ilvl="0">
      <w:lvlJc w:val="left"/>
      <w:lvlText w:val="%1."/>
      <w:numFmt w:val="decimal"/>
      <w:start w:val="1"/>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2019-12-15T11:51:11Z</dcterms:created>
  <dcterms:modified xsi:type="dcterms:W3CDTF">2019-12-15T11:51:11Z</dcterms:modified>
</cp:coreProperties>
</file>