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Theodore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35" w:lineRule="auto"/>
        <w:rPr>
          <w:sz w:val="20"/>
          <w:szCs w:val="20"/>
          <w:color w:val="auto"/>
        </w:rPr>
      </w:pPr>
      <w:r>
        <w:rPr>
          <w:rFonts w:ascii="Arial" w:cs="Arial" w:eastAsia="Arial" w:hAnsi="Arial"/>
          <w:sz w:val="16"/>
          <w:szCs w:val="16"/>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2"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40" w:type="dxa"/>
            <w:vAlign w:val="bottom"/>
          </w:tcPr>
          <w:p>
            <w:pPr>
              <w:spacing w:after="0"/>
              <w:rPr>
                <w:sz w:val="11"/>
                <w:szCs w:val="11"/>
                <w:color w:val="auto"/>
              </w:rPr>
            </w:pPr>
          </w:p>
        </w:tc>
        <w:tc>
          <w:tcPr>
            <w:tcW w:w="3480" w:type="dxa"/>
            <w:vAlign w:val="bottom"/>
            <w:gridSpan w:val="8"/>
          </w:tcPr>
          <w:p>
            <w:pPr>
              <w:ind w:left="1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07335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95"/>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2,467</w:t>
            </w:r>
            <w:r>
              <w:rPr>
                <w:rFonts w:ascii="Arial" w:cs="Arial" w:eastAsia="Arial" w:hAnsi="Arial"/>
                <w:sz w:val="22"/>
                <w:szCs w:val="22"/>
                <w:color w:val="008000"/>
                <w:w w:val="89"/>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9.39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173,332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2,690</w:t>
            </w:r>
            <w:r>
              <w:rPr>
                <w:rFonts w:ascii="Arial" w:cs="Arial" w:eastAsia="Arial" w:hAnsi="Arial"/>
                <w:sz w:val="22"/>
                <w:szCs w:val="22"/>
                <w:color w:val="008000"/>
                <w:w w:val="89"/>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9.39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170,642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3,084</w:t>
            </w:r>
            <w:r>
              <w:rPr>
                <w:rFonts w:ascii="Arial" w:cs="Arial" w:eastAsia="Arial" w:hAnsi="Arial"/>
                <w:sz w:val="22"/>
                <w:szCs w:val="22"/>
                <w:color w:val="008000"/>
                <w:w w:val="89"/>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9.39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167,558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2,467 shares of common stock to satisfy tax withholding obligations incurred by the Reporting Person upon the vesting of 6,667 shares of common stock originally awarded to the Reporting Person on May 7, 2020.</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2,690 shares of common stock to satisfy tax withholding obligations incurred by the Reporting Person upon the vesting of 7,269 shares of common stock originally awarded to the Reporting Person on February 19, 2021.</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3,084 shares of common stock to satisfy tax withholding obligations incurred by the Reporting Person upon the vesting of 8,333 shares of common stock originally awarded to the Reporting Person on February 28,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Compliance Officer, General Counsel and Secretary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Theodore Kim</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2023-01-04T15:16:57Z</dcterms:created>
  <dcterms:modified xsi:type="dcterms:W3CDTF">2023-01-04T15:16:57Z</dcterms:modified>
</cp:coreProperties>
</file>