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0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69" w:lineRule="exact"/>
        <w:rPr>
          <w:sz w:val="24"/>
          <w:szCs w:val="24"/>
          <w:color w:val="auto"/>
        </w:rPr>
      </w:pPr>
    </w:p>
    <w:p>
      <w:pPr>
        <w:ind w:left="4"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made the following communication, which was first used or made available on August 18, 2021:</w:t>
      </w:r>
    </w:p>
    <w:p>
      <w:pPr>
        <w:spacing w:after="0" w:line="131" w:lineRule="exact"/>
        <w:rPr>
          <w:sz w:val="20"/>
          <w:szCs w:val="20"/>
          <w:color w:val="auto"/>
        </w:rPr>
      </w:pPr>
    </w:p>
    <w:p>
      <w:pPr>
        <w:ind w:left="1420" w:hanging="439"/>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Post Second Quarter 2021 Earnings Release Questions &amp; Answers, a copy of which is attached hereto as Exhibit 99.1 and is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6520" w:type="dxa"/>
            <w:vAlign w:val="bottom"/>
            <w:gridSpan w:val="2"/>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6520" w:type="dxa"/>
            <w:vAlign w:val="bottom"/>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Post Second Quarter 2021 Earnings Release Questions &amp; Answers, dated August 18, 2021</w:t>
              </w:r>
            </w:hyperlink>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65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c>
          <w:tcPr>
            <w:tcW w:w="20" w:type="dxa"/>
            <w:vAlign w:val="bottom"/>
          </w:tcPr>
          <w:p>
            <w:pPr>
              <w:spacing w:after="0"/>
              <w:rPr>
                <w:sz w:val="24"/>
                <w:szCs w:val="24"/>
                <w:color w:val="auto"/>
              </w:rPr>
            </w:pPr>
          </w:p>
        </w:tc>
      </w:tr>
    </w:tbl>
    <w:p>
      <w:pPr>
        <w:sectPr>
          <w:pgSz w:w="11900" w:h="16838" w:orient="portrait"/>
          <w:cols w:equalWidth="0" w:num="1">
            <w:col w:w="10360"/>
          </w:cols>
          <w:pgMar w:left="440" w:top="297" w:right="10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840"/>
          </w:cols>
          <w:pgMar w:left="440" w:top="297"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Post Second Quarter 2021 Earnings Release Questions &amp; Answers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The following materials have been distributed to Magnachip’s investor relations team for purposes of responding to investor-related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 w:right="300"/>
        <w:spacing w:after="0" w:line="347" w:lineRule="auto"/>
        <w:rPr>
          <w:sz w:val="20"/>
          <w:szCs w:val="20"/>
          <w:color w:val="auto"/>
        </w:rPr>
      </w:pPr>
      <w:r>
        <w:rPr>
          <w:rFonts w:ascii="Arial" w:cs="Arial" w:eastAsia="Arial" w:hAnsi="Arial"/>
          <w:sz w:val="16"/>
          <w:szCs w:val="16"/>
          <w:b w:val="1"/>
          <w:bCs w:val="1"/>
          <w:color w:val="auto"/>
        </w:rPr>
        <w:t>Q. Please explain the reason for the decline in the revenue of Magnachip’s Display business during the second quarter. What is Magnachip’s overall supply plan for both the Display business and Power business amidst the global shortage in manufacturing capacities?</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color w:val="auto"/>
        </w:rPr>
        <w:t>Answer:</w:t>
      </w:r>
    </w:p>
    <w:p>
      <w:pPr>
        <w:spacing w:after="0" w:line="131" w:lineRule="exact"/>
        <w:rPr>
          <w:sz w:val="20"/>
          <w:szCs w:val="20"/>
          <w:color w:val="auto"/>
        </w:rPr>
      </w:pPr>
    </w:p>
    <w:p>
      <w:pPr>
        <w:ind w:left="2084" w:right="20" w:hanging="653"/>
        <w:spacing w:after="0" w:line="259" w:lineRule="auto"/>
        <w:tabs>
          <w:tab w:leader="none" w:pos="2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According to Omdia’s August report, the global supply of AMOLED display drive integrated circuits (“DDICs”) for mobile application from 12-inch wafers was short of demand by 18% in Q1’21 and 15% in Q2’21. This global shortage in manufacturing capacities, as well as changes in our foundry partners’ wafer allocation plans, including a push out in some wafer delivery from Q2 to Q3, have limited our ability to meet customers’ needs.</w:t>
      </w:r>
    </w:p>
    <w:p>
      <w:pPr>
        <w:spacing w:after="0" w:line="92" w:lineRule="exact"/>
        <w:rPr>
          <w:rFonts w:ascii="Arial" w:cs="Arial" w:eastAsia="Arial" w:hAnsi="Arial"/>
          <w:sz w:val="18"/>
          <w:szCs w:val="18"/>
          <w:color w:val="auto"/>
        </w:rPr>
      </w:pPr>
    </w:p>
    <w:p>
      <w:pPr>
        <w:ind w:left="2084" w:right="140" w:hanging="653"/>
        <w:spacing w:after="0" w:line="259" w:lineRule="auto"/>
        <w:tabs>
          <w:tab w:leader="none" w:pos="2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revenue decline, however, was partially offset by the strong performance of our Power business that achieved record-setting quarterly revenue for the second consecutive quarter. Gross profit margin expanded to 29.8% due to the high utilization rate at our Fab 3, our fabrication facility located in Gumi, South Korea, coupled with an improved product-mix under a favorable pricing environment.</w:t>
      </w:r>
    </w:p>
    <w:p>
      <w:pPr>
        <w:spacing w:after="0" w:line="92" w:lineRule="exact"/>
        <w:rPr>
          <w:rFonts w:ascii="Arial" w:cs="Arial" w:eastAsia="Arial" w:hAnsi="Arial"/>
          <w:sz w:val="18"/>
          <w:szCs w:val="18"/>
          <w:color w:val="auto"/>
        </w:rPr>
      </w:pPr>
    </w:p>
    <w:p>
      <w:pPr>
        <w:ind w:left="2084" w:right="400" w:hanging="653"/>
        <w:spacing w:after="0" w:line="263" w:lineRule="auto"/>
        <w:tabs>
          <w:tab w:leader="none" w:pos="2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continue to work closely with our strategic customers and foundry partners to secure long-term supply capacity for OLED DDICs, being mindful of the fact that global supply constraints are having a significant impact on our OLED business.</w:t>
      </w:r>
    </w:p>
    <w:p>
      <w:pPr>
        <w:spacing w:after="0" w:line="89" w:lineRule="exact"/>
        <w:rPr>
          <w:rFonts w:ascii="Arial" w:cs="Arial" w:eastAsia="Arial" w:hAnsi="Arial"/>
          <w:sz w:val="18"/>
          <w:szCs w:val="18"/>
          <w:color w:val="auto"/>
        </w:rPr>
      </w:pPr>
    </w:p>
    <w:p>
      <w:pPr>
        <w:jc w:val="both"/>
        <w:ind w:left="2084" w:right="20" w:hanging="653"/>
        <w:spacing w:after="0" w:line="311" w:lineRule="auto"/>
        <w:tabs>
          <w:tab w:leader="none" w:pos="2084" w:val="left"/>
        </w:tabs>
        <w:numPr>
          <w:ilvl w:val="1"/>
          <w:numId w:val="3"/>
        </w:numPr>
        <w:rPr>
          <w:rFonts w:ascii="Arial" w:cs="Arial" w:eastAsia="Arial" w:hAnsi="Arial"/>
          <w:sz w:val="16"/>
          <w:szCs w:val="16"/>
          <w:color w:val="auto"/>
        </w:rPr>
      </w:pPr>
      <w:r>
        <w:rPr>
          <w:rFonts w:ascii="Arial" w:cs="Arial" w:eastAsia="Arial" w:hAnsi="Arial"/>
          <w:sz w:val="16"/>
          <w:szCs w:val="16"/>
          <w:color w:val="auto"/>
        </w:rPr>
        <w:t>We, along with our customers, are working together to secure additional 28nm manufacturing capacity for 2022 and beyond by establishing a strategic relationship with foundry partners. Separately, together with our customers, we are in discussions with one of our foundry partners regarding a multi-year supply agreement in order to secure long-term capacity.</w:t>
      </w:r>
    </w:p>
    <w:p>
      <w:pPr>
        <w:spacing w:after="0" w:line="54" w:lineRule="exact"/>
        <w:rPr>
          <w:rFonts w:ascii="Arial" w:cs="Arial" w:eastAsia="Arial" w:hAnsi="Arial"/>
          <w:sz w:val="16"/>
          <w:szCs w:val="16"/>
          <w:color w:val="auto"/>
        </w:rPr>
      </w:pPr>
    </w:p>
    <w:p>
      <w:pPr>
        <w:ind w:left="2084" w:right="40" w:hanging="653"/>
        <w:spacing w:after="0" w:line="259" w:lineRule="auto"/>
        <w:tabs>
          <w:tab w:leader="none" w:pos="2084"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our Power business, as previously disclosed, we continue to execute our plan to strengthen and expand Fab 3. As we install new tools, we are seeing a gradual increase in Fab 3 capacity, and by the end of 2022 we anticipate approximately 40% incremental capacity for our standard power products as compared to our capacity in 2020. In addition, we continue to utilize external foundry service for our power products.</w:t>
      </w:r>
    </w:p>
    <w:p>
      <w:pPr>
        <w:spacing w:after="0" w:line="290" w:lineRule="exact"/>
        <w:rPr>
          <w:rFonts w:ascii="Arial" w:cs="Arial" w:eastAsia="Arial" w:hAnsi="Arial"/>
          <w:sz w:val="18"/>
          <w:szCs w:val="18"/>
          <w:color w:val="auto"/>
        </w:rPr>
      </w:pPr>
    </w:p>
    <w:p>
      <w:pPr>
        <w:ind w:left="224" w:hanging="224"/>
        <w:spacing w:after="0"/>
        <w:tabs>
          <w:tab w:leader="none" w:pos="2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key highlights of Magnachip’s Display business during the second quarter?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Answer:</w:t>
      </w:r>
    </w:p>
    <w:p>
      <w:pPr>
        <w:spacing w:after="0" w:line="131" w:lineRule="exact"/>
        <w:rPr>
          <w:sz w:val="20"/>
          <w:szCs w:val="20"/>
          <w:color w:val="auto"/>
        </w:rPr>
      </w:pPr>
    </w:p>
    <w:p>
      <w:pPr>
        <w:jc w:val="both"/>
        <w:ind w:left="964" w:right="380" w:hanging="532"/>
        <w:spacing w:after="0" w:line="263"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projects mentioned in prior disclosures are progressing well, in line with our customers’ product launch plans. Although our customers’ launch plans may shift due to their own internal plans, our display design activities and fundamental business relationships remain healthy.</w:t>
      </w:r>
    </w:p>
    <w:p>
      <w:pPr>
        <w:spacing w:after="0" w:line="89" w:lineRule="exact"/>
        <w:rPr>
          <w:rFonts w:ascii="Arial" w:cs="Arial" w:eastAsia="Arial" w:hAnsi="Arial"/>
          <w:sz w:val="18"/>
          <w:szCs w:val="18"/>
          <w:color w:val="auto"/>
        </w:rPr>
      </w:pPr>
    </w:p>
    <w:p>
      <w:pPr>
        <w:ind w:left="5464" w:right="240" w:hanging="5032"/>
        <w:spacing w:after="0" w:line="449" w:lineRule="auto"/>
        <w:tabs>
          <w:tab w:leader="none" w:pos="973"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Frame Rate (HFR) products represented over 90% of our OLED DDIC business in Q2 as a result of our product-mix management. 1</w:t>
      </w:r>
    </w:p>
    <w:p>
      <w:pPr>
        <w:sectPr>
          <w:pgSz w:w="11900" w:h="16838" w:orient="portrait"/>
          <w:cols w:equalWidth="0" w:num="1">
            <w:col w:w="11024"/>
          </w:cols>
          <w:pgMar w:left="436" w:top="121" w:right="439" w:bottom="1440" w:gutter="0" w:footer="0" w:header="0"/>
        </w:sectPr>
      </w:pPr>
    </w:p>
    <w:bookmarkStart w:id="4" w:name="page5"/>
    <w:bookmarkEnd w:id="4"/>
    <w:p>
      <w:pPr>
        <w:ind w:left="964" w:right="140"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discontinued publicly disclosing OLED DDIC design-win numbers, but we can highlight a key design-win that we secured in Q2. Following last year’s successful debut, we were qualified again with a major Korean smartphone OEM for their new key model expected to launch in the second half of this year.</w:t>
      </w:r>
    </w:p>
    <w:p>
      <w:pPr>
        <w:spacing w:after="0" w:line="287" w:lineRule="exact"/>
        <w:rPr>
          <w:rFonts w:ascii="Arial" w:cs="Arial" w:eastAsia="Arial" w:hAnsi="Arial"/>
          <w:sz w:val="18"/>
          <w:szCs w:val="18"/>
          <w:color w:val="auto"/>
        </w:rPr>
      </w:pPr>
    </w:p>
    <w:p>
      <w:pPr>
        <w:ind w:left="224" w:hanging="224"/>
        <w:spacing w:after="0"/>
        <w:tabs>
          <w:tab w:leader="none" w:pos="22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How are the key initiatives in the Power business, including automotive power applications and Fab 3 capacity expansion, progressing?</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color w:val="auto"/>
        </w:rPr>
        <w:t>Answer:</w:t>
      </w:r>
    </w:p>
    <w:p>
      <w:pPr>
        <w:spacing w:after="0" w:line="131" w:lineRule="exact"/>
        <w:rPr>
          <w:sz w:val="20"/>
          <w:szCs w:val="20"/>
          <w:color w:val="auto"/>
        </w:rPr>
      </w:pPr>
    </w:p>
    <w:p>
      <w:pPr>
        <w:ind w:left="964" w:right="180" w:hanging="532"/>
        <w:spacing w:after="0" w:line="311"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With respect to the automotive power applications business, our engineering team has been working diligently to address the evolving changes requested by our end-customer. These changes caused some delay in the anticipated timing of initial shipment; nevertheless, the qualification and design activities for automotive power applications are progressing in line with the end-customer’s requests.</w:t>
      </w:r>
    </w:p>
    <w:p>
      <w:pPr>
        <w:spacing w:after="0" w:line="54" w:lineRule="exact"/>
        <w:rPr>
          <w:rFonts w:ascii="Arial" w:cs="Arial" w:eastAsia="Arial" w:hAnsi="Arial"/>
          <w:sz w:val="16"/>
          <w:szCs w:val="16"/>
          <w:color w:val="auto"/>
        </w:rPr>
      </w:pPr>
    </w:p>
    <w:p>
      <w:pPr>
        <w:ind w:left="964" w:hanging="532"/>
        <w:spacing w:after="0" w:line="308" w:lineRule="auto"/>
        <w:tabs>
          <w:tab w:leader="none" w:pos="964"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plan to strengthen and expand Fab 3 is progressing well, helping our Power business achieve a record quarterly revenue for the second quarter in a row. In Q2’21, we derived more than three-fourths of the revenue from our Power business from Fab 3.</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Korea and China remain the primary regions where we see strong traction with our Power business.</w:t>
      </w:r>
    </w:p>
    <w:p>
      <w:pPr>
        <w:spacing w:after="0" w:line="32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6"/>
          <w:szCs w:val="16"/>
          <w:b w:val="1"/>
          <w:bCs w:val="1"/>
          <w:color w:val="auto"/>
        </w:rPr>
        <w:t>Q. What is the anticipated trajectory of the Fab 3 transitional foundry services? What are the anticipated gross margins on this revenue?</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color w:val="auto"/>
        </w:rPr>
        <w:t>Answer:</w:t>
      </w:r>
    </w:p>
    <w:p>
      <w:pPr>
        <w:spacing w:after="0" w:line="131" w:lineRule="exact"/>
        <w:rPr>
          <w:sz w:val="20"/>
          <w:szCs w:val="20"/>
          <w:color w:val="auto"/>
        </w:rPr>
      </w:pPr>
    </w:p>
    <w:p>
      <w:pPr>
        <w:ind w:left="964" w:right="100" w:hanging="532"/>
        <w:spacing w:after="0" w:line="301"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There has been no change in our plans with respect to the Fab 3 transitional foundry service. As a part of the sale of our Foundry Services Group and Fab 4 to Key Foundry Co., Ltd. (“Key Foundry”) in September of 2020, we agreed to provide transitional foundry services to Key Foundry for foundry products manufactured in Fab 3 for a period of up to three years. With these services, Magnachip receives reciprocal foundry services from Key Foundry for our Power IC, BatteryFet and OLED TV DDIC products at a competitive pricing.</w:t>
      </w:r>
    </w:p>
    <w:p>
      <w:pPr>
        <w:spacing w:after="0" w:line="62" w:lineRule="exact"/>
        <w:rPr>
          <w:rFonts w:ascii="Arial" w:cs="Arial" w:eastAsia="Arial" w:hAnsi="Arial"/>
          <w:sz w:val="16"/>
          <w:szCs w:val="16"/>
          <w:color w:val="auto"/>
        </w:rPr>
      </w:pPr>
    </w:p>
    <w:p>
      <w:pPr>
        <w:ind w:left="964" w:right="30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 from Fab 3 transitional foundry services has been at around the $10 million level on a quarterly basis, with a high single-digit gross profit margin percentage.</w:t>
      </w:r>
    </w:p>
    <w:p>
      <w:pPr>
        <w:spacing w:after="0" w:line="274" w:lineRule="exact"/>
        <w:rPr>
          <w:rFonts w:ascii="Arial" w:cs="Arial" w:eastAsia="Arial" w:hAnsi="Arial"/>
          <w:sz w:val="18"/>
          <w:szCs w:val="18"/>
          <w:color w:val="auto"/>
        </w:rPr>
      </w:pPr>
    </w:p>
    <w:p>
      <w:pPr>
        <w:ind w:left="224" w:hanging="224"/>
        <w:spacing w:after="0"/>
        <w:tabs>
          <w:tab w:leader="none" w:pos="2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Are the three-year targets (2020-2023) that you announced last year still valid?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Answer:</w:t>
      </w:r>
    </w:p>
    <w:p>
      <w:pPr>
        <w:spacing w:after="0" w:line="131" w:lineRule="exact"/>
        <w:rPr>
          <w:sz w:val="20"/>
          <w:szCs w:val="20"/>
          <w:color w:val="auto"/>
        </w:rPr>
      </w:pPr>
    </w:p>
    <w:p>
      <w:pPr>
        <w:ind w:left="964" w:hanging="532"/>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remain committed to the previously announced 2020-2023 key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168910</wp:posOffset>
            </wp:positionV>
            <wp:extent cx="3043555" cy="934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4355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possibility that any or all of the conditions precedent to the consummation of the pending merger may not be satisfied or waived; unanticipated difficulties or expenditures relating to the proposed merger; the possibility that the merger may not be completed in a timely manner or at all; the diversion of and attention of Magnachip’s management on merger-related issues; legal proceedings, judgments or settlements following the announcement of the proposed merger; disruptions of current plans and operations caused by the announcement and pendency of the proposed merger; potential difficulties in employee retention due to the announcement and pendency of the proposed merger; the response of customers, suppliers, business partners and regulators to the announcement of the proposed merger; the impact of changes in macroeconomic and/or general economic conditions, including those caused by or related to the COVID-19 outbreak, recessions, economic instability and the outbreak of disease;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March 9, 2021 (including that the impact of</w:t>
      </w:r>
    </w:p>
    <w:p>
      <w:pPr>
        <w:spacing w:after="0" w:line="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COVID-19 pandemic, trade tensions and supply constraints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6"/>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upperLetter"/>
      <w:start w:val="16"/>
    </w:lvl>
    <w:lvl w:ilvl="1">
      <w:lvlJc w:val="left"/>
      <w:lvlText w:val="•"/>
      <w:numFmt w:val="bullet"/>
      <w:start w:val="1"/>
    </w:lvl>
  </w:abstractNum>
  <w:abstractNum w:abstractNumId="5">
    <w:nsid w:val="41B71EFB"/>
    <w:multiLevelType w:val="hybridMultilevel"/>
    <w:lvl w:ilvl="0">
      <w:lvlJc w:val="left"/>
      <w:lvlText w:val="%1"/>
      <w:numFmt w:val="upperLetter"/>
      <w:start w:val="1"/>
    </w:lvl>
    <w:lvl w:ilvl="1">
      <w:lvlJc w:val="left"/>
      <w:lvlText w:val="•"/>
      <w:numFmt w:val="bullet"/>
      <w:start w:val="1"/>
    </w:lvl>
  </w:abstractNum>
  <w:abstractNum w:abstractNumId="6">
    <w:nsid w:val="79E2A9E3"/>
    <w:multiLevelType w:val="hybridMultilevel"/>
    <w:lvl w:ilvl="0">
      <w:lvlJc w:val="left"/>
      <w:lvlText w:val="%1."/>
      <w:numFmt w:val="upperLetter"/>
      <w:start w:val="16"/>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2021-08-18T15:02:43Z</dcterms:created>
  <dcterms:modified xsi:type="dcterms:W3CDTF">2021-08-18T15:02:43Z</dcterms:modified>
</cp:coreProperties>
</file>