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46648d10q.htm"/>
        <w:bookmarkStart w:id="1" w:name="ksd546648d10q"/>
        <w:bookmarkEnd w:id="0"/>
        <w:bookmarkEnd w:id="1"/>
        <w:r>
          <w:rPr>
            <w:rStyle w:val="InternetLink"/>
          </w:rPr>
          <w:t>Table of Contents</w:t>
        </w:r>
      </w:hyperlink>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before="80" w:after="0"/>
        <w:jc w:val="center"/>
        <w:rPr>
          <w:rFonts w:ascii="Times New Roman" w:hAnsi="Times New Roman"/>
          <w:b/>
          <w:sz w:val="36"/>
          <w:shd w:fill="FFFFFF" w:val="clear"/>
        </w:rPr>
      </w:pPr>
      <w:r>
        <w:rPr>
          <w:rFonts w:ascii="Times New Roman" w:hAnsi="Times New Roman"/>
          <w:b/>
          <w:sz w:val="36"/>
          <w:shd w:fill="FFFFFF" w:val="clear"/>
        </w:rPr>
        <w:t xml:space="preserve">UNITED STATES </w:t>
      </w:r>
    </w:p>
    <w:p>
      <w:pPr>
        <w:pStyle w:val="TextBody"/>
        <w:bidi w:val="0"/>
        <w:spacing w:before="0" w:after="0"/>
        <w:jc w:val="center"/>
        <w:rPr>
          <w:rFonts w:ascii="Times New Roman" w:hAnsi="Times New Roman"/>
          <w:b/>
          <w:sz w:val="36"/>
          <w:shd w:fill="FFFFFF" w:val="clear"/>
        </w:rPr>
      </w:pPr>
      <w:r>
        <w:rPr>
          <w:rFonts w:ascii="Times New Roman" w:hAnsi="Times New Roman"/>
          <w:b/>
          <w:sz w:val="36"/>
          <w:shd w:fill="FFFFFF" w:val="clear"/>
        </w:rPr>
        <w:t xml:space="preserve">SECURITIES AND EXCHANGE COMMISSION </w:t>
      </w:r>
    </w:p>
    <w:p>
      <w:pPr>
        <w:pStyle w:val="TextBody"/>
        <w:bidi w:val="0"/>
        <w:spacing w:before="0" w:after="0"/>
        <w:jc w:val="center"/>
        <w:rPr>
          <w:rFonts w:ascii="Times New Roman" w:hAnsi="Times New Roman"/>
          <w:b/>
          <w:sz w:val="24"/>
          <w:shd w:fill="FFFFFF" w:val="clear"/>
        </w:rPr>
      </w:pPr>
      <w:r>
        <w:rPr>
          <w:rFonts w:ascii="Times New Roman" w:hAnsi="Times New Roman"/>
          <w:b/>
          <w:sz w:val="24"/>
          <w:shd w:fill="FFFFFF" w:val="clear"/>
        </w:rPr>
        <w:t xml:space="preserve">Washington, D.C. 20549 </w:t>
      </w:r>
    </w:p>
    <w:p>
      <w:pPr>
        <w:pStyle w:val="TextBody"/>
        <w:bidi w:val="0"/>
        <w:spacing w:before="0" w:after="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Times New Roman" w:hAnsi="Times New Roman"/>
          <w:b/>
          <w:sz w:val="36"/>
          <w:shd w:fill="FFFFFF" w:val="clear"/>
        </w:rPr>
      </w:pPr>
      <w:r>
        <w:rPr>
          <w:rFonts w:ascii="Times New Roman" w:hAnsi="Times New Roman"/>
          <w:b/>
          <w:sz w:val="36"/>
          <w:shd w:fill="FFFFFF" w:val="clear"/>
        </w:rPr>
        <w:t xml:space="preserve">FORM </w:t>
      </w:r>
    </w:p>
    <w:p>
      <w:pPr>
        <w:pStyle w:val="TextBody"/>
        <w:bidi w:val="0"/>
        <w:spacing w:before="240" w:after="0"/>
        <w:jc w:val="center"/>
        <w:rPr>
          <w:rFonts w:ascii="Times New Roman" w:hAnsi="Times New Roman"/>
          <w:b/>
          <w:spacing w:val="0"/>
          <w:sz w:val="36"/>
          <w:shd w:fill="FFFFFF" w:val="clear"/>
        </w:rPr>
      </w:pPr>
      <w:r>
        <w:rPr>
          <w:rFonts w:ascii="Times New Roman" w:hAnsi="Times New Roman"/>
          <w:b/>
          <w:spacing w:val="0"/>
          <w:sz w:val="36"/>
          <w:shd w:fill="FFFFFF" w:val="clear"/>
        </w:rPr>
        <w:t>10-Q</w:t>
      </w:r>
    </w:p>
    <w:p>
      <w:pPr>
        <w:pStyle w:val="TextBody"/>
        <w:bidi w:val="0"/>
        <w:spacing w:before="0" w:after="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QUARTERLY REPORT PURSUANT TO SECTION 13 OR 15(d) OF THE SECURITIES EXCHANGE ACT OF 1934 </w:t>
            </w:r>
          </w:p>
        </w:tc>
      </w:tr>
    </w:tbl>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For the quarterly period ended September 30, 2023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or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ind w:left="0" w:right="0" w:hanging="0"/>
        <w:jc w:val="center"/>
        <w:rPr>
          <w:rFonts w:ascii="Times New Roman" w:hAnsi="Times New Roman"/>
          <w:b/>
          <w:sz w:val="20"/>
          <w:shd w:fill="FFFFFF" w:val="clear"/>
        </w:rPr>
      </w:pPr>
      <w:r>
        <w:rPr>
          <w:rFonts w:ascii="Times New Roman" w:hAnsi="Times New Roman"/>
          <w:b/>
          <w:sz w:val="20"/>
          <w:shd w:fill="FFFFFF" w:val="clear"/>
        </w:rPr>
        <w:t xml:space="preserve">For the transition period from </w:t>
      </w:r>
    </w:p>
    <w:p>
      <w:pPr>
        <w:pStyle w:val="TextBody"/>
        <w:bidi w:val="0"/>
        <w:spacing w:before="240" w:after="0"/>
        <w:jc w:val="center"/>
        <w:rPr>
          <w:spacing w:val="0"/>
          <w:u w:val="single"/>
          <w:shd w:fill="FFFFFF" w:val="clear"/>
        </w:rPr>
      </w:pPr>
      <w:r>
        <w:rPr>
          <w:spacing w:val="0"/>
          <w:u w:val="single"/>
          <w:shd w:fill="FFFFFF" w:val="clear"/>
        </w:rPr>
        <w:t>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to </w:t>
      </w:r>
    </w:p>
    <w:p>
      <w:pPr>
        <w:pStyle w:val="TextBody"/>
        <w:bidi w:val="0"/>
        <w:spacing w:before="240" w:after="0"/>
        <w:jc w:val="center"/>
        <w:rPr>
          <w:spacing w:val="0"/>
          <w:u w:val="single"/>
          <w:shd w:fill="FFFFFF" w:val="clear"/>
        </w:rPr>
      </w:pPr>
      <w:r>
        <w:rPr>
          <w:spacing w:val="0"/>
          <w:u w:val="single"/>
          <w:shd w:fill="FFFFFF" w:val="clear"/>
        </w:rPr>
        <w:t>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 </w:t>
      </w:r>
    </w:p>
    <w:p>
      <w:pPr>
        <w:pStyle w:val="TextBody"/>
        <w:bidi w:val="0"/>
        <w:spacing w:before="24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Commission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File Number: </w:t>
      </w:r>
    </w:p>
    <w:p>
      <w:pPr>
        <w:pStyle w:val="TextBody"/>
        <w:bidi w:val="0"/>
        <w:spacing w:before="240" w:after="0"/>
        <w:jc w:val="center"/>
        <w:rPr>
          <w:rFonts w:ascii="Times New Roman" w:hAnsi="Times New Roman"/>
          <w:b/>
          <w:spacing w:val="0"/>
          <w:sz w:val="20"/>
          <w:shd w:fill="FFFFFF" w:val="clear"/>
        </w:rPr>
      </w:pPr>
      <w:r>
        <w:rPr>
          <w:rFonts w:ascii="Times New Roman" w:hAnsi="Times New Roman"/>
          <w:b/>
          <w:spacing w:val="0"/>
          <w:sz w:val="20"/>
          <w:shd w:fill="FFFFFF" w:val="clear"/>
        </w:rPr>
        <w:t>001-34791</w:t>
      </w:r>
    </w:p>
    <w:p>
      <w:pPr>
        <w:pStyle w:val="TextBody"/>
        <w:bidi w:val="0"/>
        <w:spacing w:before="0" w:after="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314325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43250" cy="657225"/>
                    </a:xfrm>
                    <a:prstGeom prst="rect">
                      <a:avLst/>
                    </a:prstGeom>
                  </pic:spPr>
                </pic:pic>
              </a:graphicData>
            </a:graphic>
          </wp:inline>
        </w:drawing>
      </w:r>
      <w:r>
        <w:rPr>
          <w:shd w:fill="FFFFFF" w:val="clear"/>
        </w:rPr>
        <w:t xml:space="preserve"> </w:t>
      </w:r>
    </w:p>
    <w:p>
      <w:pPr>
        <w:pStyle w:val="TextBody"/>
        <w:bidi w:val="0"/>
        <w:spacing w:before="0" w:after="0"/>
        <w:jc w:val="center"/>
        <w:rPr>
          <w:rFonts w:ascii="Times New Roman" w:hAnsi="Times New Roman"/>
          <w:b/>
          <w:sz w:val="48"/>
          <w:shd w:fill="FFFFFF" w:val="clear"/>
        </w:rPr>
      </w:pPr>
      <w:r>
        <w:rPr>
          <w:rFonts w:ascii="Times New Roman" w:hAnsi="Times New Roman"/>
          <w:b/>
          <w:sz w:val="48"/>
          <w:shd w:fill="FFFFFF" w:val="clear"/>
        </w:rPr>
        <w:t xml:space="preserve">Magnachip Semiconductor Corporation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(Exact name of registrant as specified in its charter) </w:t>
      </w:r>
    </w:p>
    <w:p>
      <w:pPr>
        <w:pStyle w:val="TextBody"/>
        <w:bidi w:val="0"/>
        <w:spacing w:before="0" w:after="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0" w:after="0"/>
        <w:jc w:val="left"/>
        <w:rPr>
          <w:shd w:fill="FFFFFF" w:val="clear"/>
        </w:rPr>
      </w:pPr>
      <w:r>
        <w:rPr>
          <w:shd w:fill="FFFFFF" w:val="clear"/>
        </w:rPr>
        <w:t> </w:t>
      </w:r>
    </w:p>
    <w:tbl>
      <w:tblPr>
        <w:tblW w:w="3715" w:type="dxa"/>
        <w:jc w:val="left"/>
        <w:tblInd w:w="0" w:type="dxa"/>
        <w:tblLayout w:type="fixed"/>
        <w:tblCellMar>
          <w:top w:w="0" w:type="dxa"/>
          <w:left w:w="0" w:type="dxa"/>
          <w:bottom w:w="0" w:type="dxa"/>
          <w:right w:w="0" w:type="dxa"/>
        </w:tblCellMar>
      </w:tblPr>
      <w:tblGrid>
        <w:gridCol w:w="2285"/>
        <w:gridCol w:w="60"/>
        <w:gridCol w:w="1370"/>
      </w:tblGrid>
      <w:tr>
        <w:trPr/>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0"/>
              <w:jc w:val="center"/>
              <w:rPr>
                <w:b/>
                <w:spacing w:val="0"/>
              </w:rPr>
            </w:pPr>
            <w:r>
              <w:rPr>
                <w:b/>
                <w:spacing w:val="0"/>
              </w:rPr>
              <w:t>Delaware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83-0406195</w:t>
            </w:r>
          </w:p>
        </w:tc>
      </w:tr>
      <w:tr>
        <w:trPr/>
        <w:tc>
          <w:tcPr>
            <w:tcW w:w="22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c/o Magnachip Semiconductor, Ltd.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15F, 76 Jikji-daero </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436beon-gil</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Heungdeok-gu</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Cheongju-si,</w:t>
      </w:r>
    </w:p>
    <w:p>
      <w:pPr>
        <w:pStyle w:val="TextBody"/>
        <w:bidi w:val="0"/>
        <w:spacing w:before="0" w:after="0"/>
        <w:jc w:val="center"/>
        <w:rPr>
          <w:rFonts w:ascii="Times New Roman" w:hAnsi="Times New Roman"/>
          <w:b/>
          <w:spacing w:val="0"/>
          <w:sz w:val="20"/>
          <w:shd w:fill="FFFFFF" w:val="clear"/>
        </w:rPr>
      </w:pPr>
      <w:r>
        <w:rPr>
          <w:rFonts w:ascii="Times New Roman" w:hAnsi="Times New Roman"/>
          <w:b/>
          <w:spacing w:val="0"/>
          <w:sz w:val="20"/>
          <w:shd w:fill="FFFFFF" w:val="clear"/>
        </w:rPr>
        <w:t>Chungcheongbuk-do,</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Republic of Korea 28581 </w:t>
      </w:r>
    </w:p>
    <w:p>
      <w:pPr>
        <w:pStyle w:val="TextBody"/>
        <w:bidi w:val="0"/>
        <w:spacing w:before="0" w:after="0"/>
        <w:jc w:val="center"/>
        <w:rPr>
          <w:rFonts w:ascii="Times New Roman" w:hAnsi="Times New Roman"/>
          <w:b/>
          <w:sz w:val="16"/>
          <w:shd w:fill="FFFFFF" w:val="clear"/>
        </w:rPr>
      </w:pPr>
      <w:r>
        <w:rPr>
          <w:rFonts w:ascii="Times New Roman" w:hAnsi="Times New Roman"/>
          <w:b/>
          <w:sz w:val="16"/>
          <w:shd w:fill="FFFFFF" w:val="clear"/>
        </w:rPr>
        <w:t xml:space="preserve">(Address of principal executive offices) (Zip Code)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Registrant’s telephone number, including area code: +82 (2) 6903-3000 </w:t>
      </w:r>
    </w:p>
    <w:p>
      <w:pPr>
        <w:pStyle w:val="TextBody"/>
        <w:bidi w:val="0"/>
        <w:spacing w:before="0" w:after="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Securities registered pursuant to Section 12(b) of the Act: </w:t>
      </w:r>
    </w:p>
    <w:p>
      <w:pPr>
        <w:pStyle w:val="TextBody"/>
        <w:bidi w:val="0"/>
        <w:spacing w:before="0" w:after="0"/>
        <w:jc w:val="left"/>
        <w:rPr>
          <w:shd w:fill="FFFFFF" w:val="clear"/>
        </w:rPr>
      </w:pPr>
      <w:r>
        <w:rPr>
          <w:shd w:fill="FFFFFF" w:val="clear"/>
        </w:rPr>
        <w:t> </w:t>
      </w:r>
    </w:p>
    <w:tbl>
      <w:tblPr>
        <w:tblW w:w="7965" w:type="dxa"/>
        <w:jc w:val="left"/>
        <w:tblInd w:w="0" w:type="dxa"/>
        <w:tblLayout w:type="fixed"/>
        <w:tblCellMar>
          <w:top w:w="0" w:type="dxa"/>
          <w:left w:w="0" w:type="dxa"/>
          <w:bottom w:w="0" w:type="dxa"/>
          <w:right w:w="0" w:type="dxa"/>
        </w:tblCellMar>
      </w:tblPr>
      <w:tblGrid>
        <w:gridCol w:w="4310"/>
        <w:gridCol w:w="60"/>
        <w:gridCol w:w="740"/>
        <w:gridCol w:w="60"/>
        <w:gridCol w:w="2795"/>
      </w:tblGrid>
      <w:tr>
        <w:trPr/>
        <w:tc>
          <w:tcPr>
            <w:tcW w:w="4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7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310" w:type="dxa"/>
            <w:tcBorders/>
            <w:vAlign w:val="center"/>
          </w:tcPr>
          <w:p>
            <w:pPr>
              <w:pStyle w:val="TableContents"/>
              <w:bidi w:val="0"/>
              <w:spacing w:before="0" w:after="0"/>
              <w:jc w:val="center"/>
              <w:rPr>
                <w:b/>
                <w:spacing w:val="0"/>
              </w:rPr>
            </w:pPr>
            <w:r>
              <w:rPr>
                <w:b/>
                <w:spacing w:val="0"/>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b/>
                <w:spacing w:val="0"/>
              </w:rPr>
            </w:pPr>
            <w:r>
              <w:rPr>
                <w:b/>
                <w:spacing w:val="0"/>
              </w:rPr>
              <w:t>MX</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jc w:val="center"/>
              <w:rPr>
                <w:b/>
                <w:spacing w:val="0"/>
              </w:rPr>
            </w:pPr>
            <w:r>
              <w:rPr>
                <w:b/>
                <w:spacing w:val="0"/>
              </w:rPr>
              <w:t>New York Stock Exchange</w:t>
            </w:r>
          </w:p>
        </w:tc>
      </w:tr>
    </w:tbl>
    <w:p>
      <w:pPr>
        <w:pStyle w:val="TextBody"/>
        <w:bidi w:val="0"/>
        <w:spacing w:before="0" w:after="0"/>
        <w:jc w:val="left"/>
        <w:rPr>
          <w:shd w:fill="FFFFFF" w:val="clear"/>
        </w:rPr>
      </w:pPr>
      <w:r>
        <w:rPr>
          <w:shd w:fill="FFFFFF" w:val="clear"/>
        </w:rPr>
        <w:t> </w:t>
      </w:r>
    </w:p>
    <w:p>
      <w:pPr>
        <w:pStyle w:val="TextBody"/>
        <w:bidi w:val="0"/>
        <w:spacing w:lineRule="atLeast" w:line="142" w:before="0" w:after="0"/>
        <w:ind w:left="0" w:right="0" w:hanging="0"/>
        <w:jc w:val="center"/>
        <w:rPr>
          <w:bdr w:val="single" w:sz="8" w:space="1" w:color="000000"/>
          <w:shd w:fill="FFFFFF" w:val="clear"/>
        </w:rPr>
      </w:pPr>
      <w:r>
        <w:rPr>
          <w:bdr w:val="single" w:sz="8" w:space="1" w:color="000000"/>
          <w:shd w:fill="FFFFFF" w:val="clear"/>
        </w:rPr>
        <w: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past 90 days.    ☒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Yes</w:t>
      </w:r>
    </w:p>
    <w:p>
      <w:pPr>
        <w:pStyle w:val="TextBody"/>
        <w:bidi w:val="0"/>
        <w:spacing w:before="240" w:after="0"/>
        <w:jc w:val="left"/>
        <w:rPr>
          <w:spacing w:val="0"/>
          <w:shd w:fill="FFFFFF" w:val="clear"/>
        </w:rPr>
      </w:pPr>
      <w:r>
        <w:rPr>
          <w:spacing w:val="0"/>
          <w:shd w:fill="FFFFFF" w:val="clear"/>
        </w:rPr>
        <w:t>    ☐  </w:t>
      </w:r>
      <w:r>
        <w:rPr>
          <w:rFonts w:ascii="Times New Roman" w:hAnsi="Times New Roman"/>
          <w:spacing w:val="0"/>
          <w:sz w:val="20"/>
          <w:shd w:fill="FFFFFF" w:val="clear"/>
        </w:rPr>
        <w:t xml:space="preserve">No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has submitted electronically every Interactive Data File required to be submitted pursuant to Rule 405 of Regulation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S-T</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(§232.405 of this chapter) during the preceding 12 months (or for such shorter period that the registrant was required to submit such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files).    ☒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Yes</w:t>
      </w:r>
    </w:p>
    <w:p>
      <w:pPr>
        <w:pStyle w:val="TextBody"/>
        <w:bidi w:val="0"/>
        <w:spacing w:before="240" w:after="0"/>
        <w:jc w:val="left"/>
        <w:rPr>
          <w:spacing w:val="0"/>
          <w:shd w:fill="FFFFFF" w:val="clear"/>
        </w:rPr>
      </w:pPr>
      <w:r>
        <w:rPr>
          <w:spacing w:val="0"/>
          <w:shd w:fill="FFFFFF" w:val="clear"/>
        </w:rPr>
        <w:t>    ☐  </w:t>
      </w:r>
      <w:r>
        <w:rPr>
          <w:rFonts w:ascii="Times New Roman" w:hAnsi="Times New Roman"/>
          <w:spacing w:val="0"/>
          <w:sz w:val="20"/>
          <w:shd w:fill="FFFFFF" w:val="clear"/>
        </w:rPr>
        <w:t xml:space="preserve">No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is a large accelerated filer, an accelerated filer, a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non-accelerated</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filer, a smaller reporting company, or an emerging growth company. See the definitions of “large accelerated filer,” “accelerated filer,” “smaller reporting company,” and “emerging growth company” in Rule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12b-2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 the Exchange Act. </w:t>
      </w:r>
    </w:p>
    <w:p>
      <w:pPr>
        <w:pStyle w:val="TextBody"/>
        <w:bidi w:val="0"/>
        <w:spacing w:before="0" w:after="0"/>
        <w:jc w:val="left"/>
        <w:rPr>
          <w:shd w:fill="FFFFFF" w:val="clear"/>
        </w:rPr>
      </w:pPr>
      <w:r>
        <w:rPr>
          <w:shd w:fill="FFFFFF" w:val="clear"/>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spacing w:val="0"/>
              </w:rPr>
            </w:pPr>
            <w:r>
              <w:rPr>
                <w:spacing w:val="0"/>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c>
          <w:tcPr>
            <w:tcW w:w="2735" w:type="dxa"/>
            <w:gridSpan w:val="2"/>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0"/>
              <w:jc w:val="left"/>
              <w:rPr>
                <w:spacing w:val="0"/>
              </w:rPr>
            </w:pPr>
            <w:r>
              <w:rPr>
                <w:spacing w:val="0"/>
              </w:rPr>
              <w:t>Non-accelerated</w:t>
            </w:r>
          </w:p>
          <w:p>
            <w:pPr>
              <w:pStyle w:val="TableContents"/>
              <w:bidi w:val="0"/>
              <w:spacing w:before="0" w:after="0"/>
              <w:jc w:val="left"/>
              <w:rPr/>
            </w:pPr>
            <w:r>
              <w:rPr/>
              <w:t>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c>
          <w:tcPr>
            <w:tcW w:w="2735" w:type="dxa"/>
            <w:gridSpan w:val="2"/>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Indicate by check mark whether the registrant is a shell company (as defined in Rule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12b-2</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 the Exchange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Act).    ☐  Yes    </w:t>
      </w:r>
    </w:p>
    <w:p>
      <w:pPr>
        <w:pStyle w:val="TextBody"/>
        <w:bidi w:val="0"/>
        <w:spacing w:before="240" w:after="0"/>
        <w:jc w:val="left"/>
        <w:rPr>
          <w:shd w:fill="FFFFFF" w:val="clear"/>
        </w:rPr>
      </w:pPr>
      <w:r>
        <w:rPr>
          <w:shd w:fill="FFFFFF" w:val="clear"/>
        </w:rPr>
        <w:t>☒</w:t>
      </w:r>
    </w:p>
    <w:p>
      <w:pPr>
        <w:pStyle w:val="TextBody"/>
        <w:bidi w:val="0"/>
        <w:spacing w:before="240" w:after="0"/>
        <w:jc w:val="left"/>
        <w:rPr>
          <w:spacing w:val="0"/>
          <w:shd w:fill="FFFFFF" w:val="clear"/>
        </w:rPr>
      </w:pPr>
      <w:r>
        <w:rPr>
          <w:spacing w:val="0"/>
          <w:shd w:fill="FFFFFF" w:val="clear"/>
        </w:rPr>
        <w:t xml:space="preserve">  </w:t>
      </w:r>
      <w:r>
        <w:rPr>
          <w:rFonts w:ascii="Times New Roman" w:hAnsi="Times New Roman"/>
          <w:spacing w:val="0"/>
          <w:sz w:val="20"/>
          <w:shd w:fill="FFFFFF" w:val="clear"/>
        </w:rPr>
        <w:t xml:space="preserve">No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October 31, 2023, the registrant had 38,763,018 shares of common stock outstanding. </w:t>
      </w:r>
    </w:p>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jc w:val="left"/>
        <w:rPr>
          <w:bdr w:val="single" w:sz="2" w:space="1" w:color="000000"/>
          <w:shd w:fill="FFFFFF" w:val="clear"/>
        </w:rPr>
      </w:pPr>
      <w:r>
        <w:rPr>
          <w:bdr w:val="single" w:sz="2" w:space="1" w:color="000000"/>
          <w:shd w:fill="FFFFFF" w:val="clea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5"/>
        <w:gridCol w:w="60"/>
        <w:gridCol w:w="8290"/>
        <w:gridCol w:w="120"/>
        <w:gridCol w:w="175"/>
        <w:gridCol w:w="760"/>
        <w:gridCol w:w="75"/>
      </w:tblGrid>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Page No.</w:t>
            </w:r>
          </w:p>
        </w:tc>
        <w:tc>
          <w:tcPr>
            <w:tcW w:w="75" w:type="dxa"/>
            <w:tcBorders/>
            <w:vAlign w:val="center"/>
          </w:tcPr>
          <w:p>
            <w:pPr>
              <w:pStyle w:val="TableContents"/>
              <w:bidi w:val="0"/>
              <w:spacing w:before="0" w:after="283"/>
              <w:jc w:val="left"/>
              <w:rPr/>
            </w:pPr>
            <w:r>
              <w:rPr/>
              <w:t> </w:t>
            </w:r>
          </w:p>
        </w:tc>
      </w:tr>
      <w:tr>
        <w:trPr/>
        <w:tc>
          <w:tcPr>
            <w:tcW w:w="9075" w:type="dxa"/>
            <w:gridSpan w:val="3"/>
            <w:tcBorders/>
            <w:vAlign w:val="center"/>
          </w:tcPr>
          <w:p>
            <w:pPr>
              <w:pStyle w:val="TableContents"/>
              <w:bidi w:val="0"/>
              <w:spacing w:before="0" w:after="0"/>
              <w:jc w:val="left"/>
              <w:rPr/>
            </w:pPr>
            <w:hyperlink w:anchor="toc546648_1">
              <w:r>
                <w:rPr>
                  <w:rStyle w:val="InternetLink"/>
                  <w:rFonts w:ascii="Times New Roman" w:hAnsi="Times New Roman"/>
                  <w:sz w:val="20"/>
                </w:rPr>
                <w:t xml:space="preserve">PART I FINANCIAL INFORMATION </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546648_2">
              <w:r>
                <w:rPr>
                  <w:rStyle w:val="InternetLink"/>
                  <w:rFonts w:ascii="Times New Roman" w:hAnsi="Times New Roman"/>
                  <w:sz w:val="20"/>
                </w:rPr>
                <w:t>Interim Consolidated Financial Statements (Unaudited)</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546648_3">
              <w:r>
                <w:rPr>
                  <w:rStyle w:val="InternetLink"/>
                  <w:rFonts w:ascii="Times New Roman" w:hAnsi="Times New Roman"/>
                  <w:sz w:val="20"/>
                </w:rPr>
                <w:t>Magnachip Semiconductor Corporation and Subsidiaries Consolidated Balance Sheets as of September 30, 2023 and December 31, 2022</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546648_4">
              <w:r>
                <w:rPr>
                  <w:rStyle w:val="InternetLink"/>
                  <w:rFonts w:ascii="Times New Roman" w:hAnsi="Times New Roman"/>
                  <w:sz w:val="20"/>
                </w:rPr>
                <w:t>Magnachip Semiconductor Corporation and Subsidiaries Consolidated Statements of Operations for the Three and Nine Months Ended September 30, 2023 and 2022</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546648_5">
              <w:r>
                <w:rPr>
                  <w:rStyle w:val="InternetLink"/>
                  <w:rFonts w:ascii="Times New Roman" w:hAnsi="Times New Roman"/>
                  <w:sz w:val="20"/>
                </w:rPr>
                <w:t>Magnachip Semiconductor Corporation and Subsidiaries Consolidated Statements of Comprehensive Loss for the Three and Nine Months Ended September 30, 2023 and 2022</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546648_6">
              <w:r>
                <w:rPr>
                  <w:rStyle w:val="InternetLink"/>
                  <w:rFonts w:ascii="Times New Roman" w:hAnsi="Times New Roman"/>
                  <w:sz w:val="20"/>
                </w:rPr>
                <w:t>Magnachip Semiconductor Corporation and Subsidiaries Consolidated Statements of Changes in Stockholders’ Equity for the Three and Nine Months Ended September 30, 2023 and 2022</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546648_7">
              <w:r>
                <w:rPr>
                  <w:rStyle w:val="InternetLink"/>
                  <w:rFonts w:ascii="Times New Roman" w:hAnsi="Times New Roman"/>
                  <w:sz w:val="20"/>
                </w:rPr>
                <w:t>Magnachip Semiconductor Corporation and Subsidiaries Consolidated Statements of Cash Flows for the Nine Months Ended September 30, 2023 and 2022</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546648_8">
              <w:r>
                <w:rPr>
                  <w:rStyle w:val="InternetLink"/>
                  <w:rFonts w:ascii="Times New Roman" w:hAnsi="Times New Roman"/>
                  <w:sz w:val="20"/>
                </w:rPr>
                <w:t>Magnachip Semiconductor Corporation and Subsidiaries Notes to Consolidated Financial Statements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546648_9">
              <w:r>
                <w:rPr>
                  <w:rStyle w:val="InternetLink"/>
                  <w:rFonts w:ascii="Times New Roman" w:hAnsi="Times New Roman"/>
                  <w:sz w:val="20"/>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546648_10">
              <w:r>
                <w:rPr>
                  <w:rStyle w:val="InternetLink"/>
                  <w:rFonts w:ascii="Times New Roman" w:hAnsi="Times New Roman"/>
                  <w:sz w:val="20"/>
                </w:rPr>
                <w:t>Quantitative and Qualitative Disclosures About Market Risk</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44</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546648_11">
              <w:r>
                <w:rPr>
                  <w:rStyle w:val="InternetLink"/>
                  <w:rFonts w:ascii="Times New Roman" w:hAnsi="Times New Roman"/>
                  <w:sz w:val="20"/>
                </w:rPr>
                <w:t xml:space="preserve">Controls and Procedures </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075" w:type="dxa"/>
            <w:gridSpan w:val="3"/>
            <w:tcBorders/>
            <w:vAlign w:val="center"/>
          </w:tcPr>
          <w:p>
            <w:pPr>
              <w:pStyle w:val="TableContents"/>
              <w:bidi w:val="0"/>
              <w:spacing w:before="0" w:after="0"/>
              <w:jc w:val="left"/>
              <w:rPr/>
            </w:pPr>
            <w:hyperlink w:anchor="toc546648_12">
              <w:r>
                <w:rPr>
                  <w:rStyle w:val="InternetLink"/>
                  <w:rFonts w:ascii="Times New Roman" w:hAnsi="Times New Roman"/>
                  <w:sz w:val="20"/>
                </w:rPr>
                <w:t xml:space="preserve">PART II OTHER INFORMATION </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546648_13">
              <w:r>
                <w:rPr>
                  <w:rStyle w:val="InternetLink"/>
                  <w:rFonts w:ascii="Times New Roman" w:hAnsi="Times New Roman"/>
                  <w:sz w:val="20"/>
                </w:rPr>
                <w:t>Legal Proceedings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1A.</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546648_14">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46</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2.</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546648_15">
              <w:r>
                <w:rPr>
                  <w:rStyle w:val="InternetLink"/>
                  <w:rFonts w:ascii="Times New Roman" w:hAnsi="Times New Roman"/>
                  <w:sz w:val="20"/>
                </w:rPr>
                <w:t>Unregistered Sales of Equity Securities and Use of Proceeds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3.</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546648_16">
              <w:r>
                <w:rPr>
                  <w:rStyle w:val="InternetLink"/>
                  <w:rFonts w:ascii="Times New Roman" w:hAnsi="Times New Roman"/>
                  <w:sz w:val="20"/>
                </w:rPr>
                <w:t>Defaults Upon Senior Securities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4.</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546648_17">
              <w:r>
                <w:rPr>
                  <w:rStyle w:val="InternetLink"/>
                  <w:rFonts w:ascii="Times New Roman" w:hAnsi="Times New Roman"/>
                  <w:sz w:val="20"/>
                </w:rPr>
                <w:t>Mine Safety Disclosures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5.</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546648_18">
              <w:r>
                <w:rPr>
                  <w:rStyle w:val="InternetLink"/>
                  <w:rFonts w:ascii="Times New Roman" w:hAnsi="Times New Roman"/>
                  <w:sz w:val="20"/>
                </w:rPr>
                <w:t>Other Information</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Item 6.</w:t>
            </w:r>
          </w:p>
        </w:tc>
        <w:tc>
          <w:tcPr>
            <w:tcW w:w="60"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0"/>
              <w:jc w:val="left"/>
              <w:rPr/>
            </w:pPr>
            <w:hyperlink w:anchor="toc546648_19">
              <w:r>
                <w:rPr>
                  <w:rStyle w:val="InternetLink"/>
                  <w:rFonts w:ascii="Times New Roman" w:hAnsi="Times New Roman"/>
                  <w:sz w:val="20"/>
                </w:rPr>
                <w:t>Exhibits</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075" w:type="dxa"/>
            <w:gridSpan w:val="3"/>
            <w:tcBorders/>
            <w:vAlign w:val="center"/>
          </w:tcPr>
          <w:p>
            <w:pPr>
              <w:pStyle w:val="TableContents"/>
              <w:bidi w:val="0"/>
              <w:spacing w:before="0" w:after="0"/>
              <w:jc w:val="left"/>
              <w:rPr/>
            </w:pPr>
            <w:hyperlink w:anchor="toc546648_20">
              <w:r>
                <w:rPr>
                  <w:rStyle w:val="InternetLink"/>
                  <w:rFonts w:ascii="Times New Roman" w:hAnsi="Times New Roman"/>
                  <w:sz w:val="20"/>
                </w:rPr>
                <w:t xml:space="preserve">SIGNATURES </w:t>
              </w:r>
            </w:hyperlink>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PART I—FINANCIAL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spacing w:val="0"/>
          <w:shd w:fill="FFFFFF" w:val="clear"/>
        </w:rPr>
      </w:pPr>
      <w:r>
        <w:rPr>
          <w:spacing w:val="0"/>
          <w:shd w:fill="FFFFFF" w:val="clear"/>
        </w:rPr>
        <w:t> </w:t>
      </w:r>
    </w:p>
    <w:tbl>
      <w:tblPr>
        <w:tblW w:w="5470" w:type="dxa"/>
        <w:jc w:val="left"/>
        <w:tblInd w:w="0" w:type="dxa"/>
        <w:tblLayout w:type="fixed"/>
        <w:tblCellMar>
          <w:top w:w="0" w:type="dxa"/>
          <w:left w:w="0" w:type="dxa"/>
          <w:bottom w:w="0" w:type="dxa"/>
          <w:right w:w="0" w:type="dxa"/>
        </w:tblCellMar>
      </w:tblPr>
      <w:tblGrid>
        <w:gridCol w:w="740"/>
        <w:gridCol w:w="4730"/>
      </w:tblGrid>
      <w:tr>
        <w:trPr/>
        <w:tc>
          <w:tcPr>
            <w:tcW w:w="740" w:type="dxa"/>
            <w:tcBorders/>
            <w:vAlign w:val="center"/>
          </w:tcPr>
          <w:p>
            <w:pPr>
              <w:pStyle w:val="TableContents"/>
              <w:bidi w:val="0"/>
              <w:spacing w:before="0" w:after="0"/>
              <w:jc w:val="left"/>
              <w:rPr>
                <w:b/>
                <w:spacing w:val="0"/>
              </w:rPr>
            </w:pPr>
            <w:bookmarkStart w:id="3" w:name="toc546648_2"/>
            <w:bookmarkEnd w:id="3"/>
            <w:r>
              <w:rPr>
                <w:b/>
                <w:spacing w:val="0"/>
              </w:rPr>
              <w:t>Item 1.</w:t>
            </w:r>
          </w:p>
        </w:tc>
        <w:tc>
          <w:tcPr>
            <w:tcW w:w="473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Interim Consolidated Financial Statements (Unaudited)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ind w:left="0" w:right="0" w:hanging="0"/>
        <w:jc w:val="center"/>
        <w:rPr>
          <w:rFonts w:ascii="Times New Roman" w:hAnsi="Times New Roman"/>
          <w:b/>
          <w:spacing w:val="0"/>
          <w:sz w:val="20"/>
        </w:rPr>
      </w:pPr>
      <w:r>
        <w:rPr>
          <w:rFonts w:ascii="Times New Roman" w:hAnsi="Times New Roman"/>
          <w:b/>
          <w:spacing w:val="0"/>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shd w:fill="FFFFFF" w:val="clear"/>
        </w:rPr>
      </w:pPr>
      <w:r>
        <w:rPr>
          <w:rFonts w:ascii="Times New Roman" w:hAnsi="Times New Roman"/>
          <w:b/>
          <w:spacing w:val="0"/>
          <w:sz w:val="20"/>
          <w:shd w:fill="FFFFFF" w:val="clear"/>
        </w:rPr>
        <w:t xml:space="preserve">CONSOLIDATED BALANCE SHEETS (Unaudited)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5095"/>
        <w:gridCol w:w="120"/>
        <w:gridCol w:w="313"/>
        <w:gridCol w:w="1969"/>
        <w:gridCol w:w="249"/>
        <w:gridCol w:w="96"/>
        <w:gridCol w:w="299"/>
        <w:gridCol w:w="1890"/>
        <w:gridCol w:w="174"/>
      </w:tblGrid>
      <w:tr>
        <w:trPr/>
        <w:tc>
          <w:tcPr>
            <w:tcW w:w="50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189"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174"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2" w:type="dxa"/>
            <w:gridSpan w:val="2"/>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189" w:type="dxa"/>
            <w:gridSpan w:val="2"/>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16" w:type="dxa"/>
            <w:gridSpan w:val="6"/>
            <w:tcBorders/>
            <w:vAlign w:val="center"/>
          </w:tcPr>
          <w:p>
            <w:pPr>
              <w:pStyle w:val="TableContents"/>
              <w:bidi w:val="0"/>
              <w:spacing w:before="0" w:after="0"/>
              <w:jc w:val="center"/>
              <w:rPr>
                <w:b/>
                <w:spacing w:val="0"/>
              </w:rPr>
            </w:pPr>
            <w:r>
              <w:rPr>
                <w:b/>
                <w:spacing w:val="0"/>
              </w:rPr>
              <w:t>(In thousands of U.S. dollars, except share data)</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969"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8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8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969" w:type="dxa"/>
            <w:tcBorders/>
            <w:shd w:fill="CCEEFF" w:val="clear"/>
            <w:vAlign w:val="center"/>
          </w:tcPr>
          <w:p>
            <w:pPr>
              <w:pStyle w:val="TableContents"/>
              <w:bidi w:val="0"/>
              <w:spacing w:before="0" w:after="283"/>
              <w:jc w:val="right"/>
              <w:rPr/>
            </w:pPr>
            <w:r>
              <w:rPr/>
              <w:t>166,644</w:t>
            </w:r>
          </w:p>
        </w:tc>
        <w:tc>
          <w:tcPr>
            <w:tcW w:w="24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w:t>
            </w:r>
          </w:p>
        </w:tc>
        <w:tc>
          <w:tcPr>
            <w:tcW w:w="1890" w:type="dxa"/>
            <w:tcBorders/>
            <w:shd w:fill="CCEEFF" w:val="clear"/>
            <w:vAlign w:val="center"/>
          </w:tcPr>
          <w:p>
            <w:pPr>
              <w:pStyle w:val="TableContents"/>
              <w:bidi w:val="0"/>
              <w:spacing w:before="0" w:after="283"/>
              <w:jc w:val="right"/>
              <w:rPr/>
            </w:pPr>
            <w:r>
              <w:rPr/>
              <w:t>225,477</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right"/>
              <w:rPr/>
            </w:pPr>
            <w:r>
              <w:rPr/>
              <w:t>41,119</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890" w:type="dxa"/>
            <w:tcBorders/>
            <w:vAlign w:val="center"/>
          </w:tcPr>
          <w:p>
            <w:pPr>
              <w:pStyle w:val="TableContents"/>
              <w:bidi w:val="0"/>
              <w:spacing w:before="0" w:after="283"/>
              <w:jc w:val="right"/>
              <w:rPr/>
            </w:pPr>
            <w:r>
              <w:rPr/>
              <w:t>35,380</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969" w:type="dxa"/>
            <w:tcBorders/>
            <w:shd w:fill="CCEEFF" w:val="clear"/>
            <w:vAlign w:val="center"/>
          </w:tcPr>
          <w:p>
            <w:pPr>
              <w:pStyle w:val="TableContents"/>
              <w:bidi w:val="0"/>
              <w:spacing w:before="0" w:after="283"/>
              <w:jc w:val="right"/>
              <w:rPr/>
            </w:pPr>
            <w:r>
              <w:rPr/>
              <w:t>30,836</w:t>
            </w:r>
          </w:p>
        </w:tc>
        <w:tc>
          <w:tcPr>
            <w:tcW w:w="24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890" w:type="dxa"/>
            <w:tcBorders/>
            <w:shd w:fill="CCEEFF" w:val="clear"/>
            <w:vAlign w:val="center"/>
          </w:tcPr>
          <w:p>
            <w:pPr>
              <w:pStyle w:val="TableContents"/>
              <w:bidi w:val="0"/>
              <w:spacing w:before="0" w:after="283"/>
              <w:jc w:val="right"/>
              <w:rPr/>
            </w:pPr>
            <w:r>
              <w:rPr/>
              <w:t>39,883</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right"/>
              <w:rPr/>
            </w:pPr>
            <w:r>
              <w:rPr/>
              <w:t>2,799</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890" w:type="dxa"/>
            <w:tcBorders/>
            <w:vAlign w:val="center"/>
          </w:tcPr>
          <w:p>
            <w:pPr>
              <w:pStyle w:val="TableContents"/>
              <w:bidi w:val="0"/>
              <w:spacing w:before="0" w:after="283"/>
              <w:jc w:val="right"/>
              <w:rPr/>
            </w:pPr>
            <w:r>
              <w:rPr/>
              <w:t>7,847</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expenses</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969" w:type="dxa"/>
            <w:tcBorders/>
            <w:shd w:fill="CCEEFF" w:val="clear"/>
            <w:vAlign w:val="center"/>
          </w:tcPr>
          <w:p>
            <w:pPr>
              <w:pStyle w:val="TableContents"/>
              <w:bidi w:val="0"/>
              <w:spacing w:before="0" w:after="283"/>
              <w:jc w:val="right"/>
              <w:rPr/>
            </w:pPr>
            <w:r>
              <w:rPr/>
              <w:t>9,095</w:t>
            </w:r>
          </w:p>
        </w:tc>
        <w:tc>
          <w:tcPr>
            <w:tcW w:w="24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890" w:type="dxa"/>
            <w:tcBorders/>
            <w:shd w:fill="CCEEFF" w:val="clear"/>
            <w:vAlign w:val="center"/>
          </w:tcPr>
          <w:p>
            <w:pPr>
              <w:pStyle w:val="TableContents"/>
              <w:bidi w:val="0"/>
              <w:spacing w:before="0" w:after="283"/>
              <w:jc w:val="right"/>
              <w:rPr/>
            </w:pPr>
            <w:r>
              <w:rPr/>
              <w:t>10,560</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Hedge collateral (Note 6)</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right"/>
              <w:rPr/>
            </w:pPr>
            <w:r>
              <w:rPr/>
              <w:t>2,680</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890" w:type="dxa"/>
            <w:tcBorders/>
            <w:vAlign w:val="center"/>
          </w:tcPr>
          <w:p>
            <w:pPr>
              <w:pStyle w:val="TableContents"/>
              <w:bidi w:val="0"/>
              <w:spacing w:before="0" w:after="283"/>
              <w:jc w:val="right"/>
              <w:rPr/>
            </w:pPr>
            <w:r>
              <w:rPr/>
              <w:t>2,940</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 (Note 16)</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969" w:type="dxa"/>
            <w:tcBorders/>
            <w:shd w:fill="CCEEFF" w:val="clear"/>
            <w:vAlign w:val="center"/>
          </w:tcPr>
          <w:p>
            <w:pPr>
              <w:pStyle w:val="TableContents"/>
              <w:bidi w:val="0"/>
              <w:spacing w:before="0" w:after="283"/>
              <w:jc w:val="right"/>
              <w:rPr/>
            </w:pPr>
            <w:r>
              <w:rPr/>
              <w:t>24,572</w:t>
            </w:r>
          </w:p>
        </w:tc>
        <w:tc>
          <w:tcPr>
            <w:tcW w:w="24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890" w:type="dxa"/>
            <w:tcBorders/>
            <w:shd w:fill="CCEEFF" w:val="clear"/>
            <w:vAlign w:val="center"/>
          </w:tcPr>
          <w:p>
            <w:pPr>
              <w:pStyle w:val="TableContents"/>
              <w:bidi w:val="0"/>
              <w:spacing w:before="0" w:after="283"/>
              <w:jc w:val="right"/>
              <w:rPr/>
            </w:pPr>
            <w:r>
              <w:rPr/>
              <w:t>15,766</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bdr w:val="single" w:sz="2" w:space="1" w:color="000000"/>
              </w:rPr>
            </w:pPr>
            <w:r>
              <w:rPr>
                <w:bdr w:val="single" w:sz="2" w:space="1" w:color="000000"/>
              </w:rPr>
              <w:t> </w:t>
            </w:r>
          </w:p>
        </w:tc>
        <w:tc>
          <w:tcPr>
            <w:tcW w:w="1969" w:type="dxa"/>
            <w:tcBorders/>
            <w:vAlign w:val="center"/>
          </w:tcPr>
          <w:p>
            <w:pPr>
              <w:pStyle w:val="TableContents"/>
              <w:bidi w:val="0"/>
              <w:spacing w:before="0" w:after="0"/>
              <w:jc w:val="left"/>
              <w:rPr>
                <w:bdr w:val="single" w:sz="2" w:space="1" w:color="000000"/>
              </w:rPr>
            </w:pPr>
            <w:r>
              <w:rPr>
                <w:bdr w:val="single" w:sz="2" w:space="1" w:color="000000"/>
              </w:rPr>
              <w:t> </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0"/>
              <w:jc w:val="left"/>
              <w:rPr>
                <w:bdr w:val="single" w:sz="2" w:space="1" w:color="000000"/>
              </w:rPr>
            </w:pPr>
            <w:r>
              <w:rPr>
                <w:bdr w:val="single" w:sz="2" w:space="1" w:color="000000"/>
              </w:rPr>
              <w:t> </w:t>
            </w:r>
          </w:p>
        </w:tc>
        <w:tc>
          <w:tcPr>
            <w:tcW w:w="18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right"/>
              <w:rPr/>
            </w:pPr>
            <w:r>
              <w:rPr/>
              <w:t>277,745</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890" w:type="dxa"/>
            <w:tcBorders/>
            <w:vAlign w:val="center"/>
          </w:tcPr>
          <w:p>
            <w:pPr>
              <w:pStyle w:val="TableContents"/>
              <w:bidi w:val="0"/>
              <w:spacing w:before="0" w:after="283"/>
              <w:jc w:val="right"/>
              <w:rPr/>
            </w:pPr>
            <w:r>
              <w:rPr/>
              <w:t>337,853</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969" w:type="dxa"/>
            <w:tcBorders/>
            <w:shd w:fill="CCEEFF" w:val="clear"/>
            <w:vAlign w:val="center"/>
          </w:tcPr>
          <w:p>
            <w:pPr>
              <w:pStyle w:val="TableContents"/>
              <w:bidi w:val="0"/>
              <w:spacing w:before="0" w:after="283"/>
              <w:jc w:val="right"/>
              <w:rPr/>
            </w:pPr>
            <w:r>
              <w:rPr/>
              <w:t>96,141</w:t>
            </w:r>
          </w:p>
        </w:tc>
        <w:tc>
          <w:tcPr>
            <w:tcW w:w="24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890" w:type="dxa"/>
            <w:tcBorders/>
            <w:shd w:fill="CCEEFF" w:val="clear"/>
            <w:vAlign w:val="center"/>
          </w:tcPr>
          <w:p>
            <w:pPr>
              <w:pStyle w:val="TableContents"/>
              <w:bidi w:val="0"/>
              <w:spacing w:before="0" w:after="283"/>
              <w:jc w:val="right"/>
              <w:rPr/>
            </w:pPr>
            <w:r>
              <w:rPr/>
              <w:t>110,747</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right"/>
              <w:rPr/>
            </w:pPr>
            <w:r>
              <w:rPr/>
              <w:t>4,725</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890" w:type="dxa"/>
            <w:tcBorders/>
            <w:vAlign w:val="center"/>
          </w:tcPr>
          <w:p>
            <w:pPr>
              <w:pStyle w:val="TableContents"/>
              <w:bidi w:val="0"/>
              <w:spacing w:before="0" w:after="283"/>
              <w:jc w:val="right"/>
              <w:rPr/>
            </w:pPr>
            <w:r>
              <w:rPr/>
              <w:t>5,265</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969" w:type="dxa"/>
            <w:tcBorders/>
            <w:shd w:fill="CCEEFF" w:val="clear"/>
            <w:vAlign w:val="center"/>
          </w:tcPr>
          <w:p>
            <w:pPr>
              <w:pStyle w:val="TableContents"/>
              <w:bidi w:val="0"/>
              <w:spacing w:before="0" w:after="283"/>
              <w:jc w:val="right"/>
              <w:rPr/>
            </w:pPr>
            <w:r>
              <w:rPr/>
              <w:t>1,583</w:t>
            </w:r>
          </w:p>
        </w:tc>
        <w:tc>
          <w:tcPr>
            <w:tcW w:w="24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890" w:type="dxa"/>
            <w:tcBorders/>
            <w:shd w:fill="CCEEFF" w:val="clear"/>
            <w:vAlign w:val="center"/>
          </w:tcPr>
          <w:p>
            <w:pPr>
              <w:pStyle w:val="TableContents"/>
              <w:bidi w:val="0"/>
              <w:spacing w:before="0" w:after="283"/>
              <w:jc w:val="right"/>
              <w:rPr/>
            </w:pPr>
            <w:r>
              <w:rPr/>
              <w:t>1,930</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Long-term prepaid expenses</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right"/>
              <w:rPr/>
            </w:pPr>
            <w:r>
              <w:rPr/>
              <w:t>6,124</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890" w:type="dxa"/>
            <w:tcBorders/>
            <w:vAlign w:val="center"/>
          </w:tcPr>
          <w:p>
            <w:pPr>
              <w:pStyle w:val="TableContents"/>
              <w:bidi w:val="0"/>
              <w:spacing w:before="0" w:after="283"/>
              <w:jc w:val="right"/>
              <w:rPr/>
            </w:pPr>
            <w:r>
              <w:rPr/>
              <w:t>10,939</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969" w:type="dxa"/>
            <w:tcBorders/>
            <w:shd w:fill="CCEEFF" w:val="clear"/>
            <w:vAlign w:val="center"/>
          </w:tcPr>
          <w:p>
            <w:pPr>
              <w:pStyle w:val="TableContents"/>
              <w:bidi w:val="0"/>
              <w:spacing w:before="0" w:after="283"/>
              <w:jc w:val="right"/>
              <w:rPr/>
            </w:pPr>
            <w:r>
              <w:rPr/>
              <w:t>36,358</w:t>
            </w:r>
          </w:p>
        </w:tc>
        <w:tc>
          <w:tcPr>
            <w:tcW w:w="24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890" w:type="dxa"/>
            <w:tcBorders/>
            <w:shd w:fill="CCEEFF" w:val="clear"/>
            <w:vAlign w:val="center"/>
          </w:tcPr>
          <w:p>
            <w:pPr>
              <w:pStyle w:val="TableContents"/>
              <w:bidi w:val="0"/>
              <w:spacing w:before="0" w:after="283"/>
              <w:jc w:val="right"/>
              <w:rPr/>
            </w:pPr>
            <w:r>
              <w:rPr/>
              <w:t>38,324</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right"/>
              <w:rPr/>
            </w:pPr>
            <w:r>
              <w:rPr/>
              <w:t>11,622</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890" w:type="dxa"/>
            <w:tcBorders/>
            <w:vAlign w:val="center"/>
          </w:tcPr>
          <w:p>
            <w:pPr>
              <w:pStyle w:val="TableContents"/>
              <w:bidi w:val="0"/>
              <w:spacing w:before="0" w:after="283"/>
              <w:jc w:val="right"/>
              <w:rPr/>
            </w:pPr>
            <w:r>
              <w:rPr/>
              <w:t>11,587</w:t>
            </w:r>
          </w:p>
        </w:tc>
        <w:tc>
          <w:tcPr>
            <w:tcW w:w="174"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bdr w:val="single" w:sz="2" w:space="1" w:color="000000"/>
              </w:rPr>
            </w:pPr>
            <w:r>
              <w:rPr>
                <w:bdr w:val="single" w:sz="2" w:space="1" w:color="000000"/>
              </w:rPr>
              <w:t> </w:t>
            </w:r>
          </w:p>
        </w:tc>
        <w:tc>
          <w:tcPr>
            <w:tcW w:w="1969" w:type="dxa"/>
            <w:tcBorders/>
            <w:vAlign w:val="center"/>
          </w:tcPr>
          <w:p>
            <w:pPr>
              <w:pStyle w:val="TableContents"/>
              <w:bidi w:val="0"/>
              <w:spacing w:before="0" w:after="0"/>
              <w:jc w:val="left"/>
              <w:rPr>
                <w:bdr w:val="single" w:sz="2" w:space="1" w:color="000000"/>
              </w:rPr>
            </w:pPr>
            <w:r>
              <w:rPr>
                <w:bdr w:val="single" w:sz="2" w:space="1" w:color="000000"/>
              </w:rPr>
              <w:t> </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0"/>
              <w:jc w:val="left"/>
              <w:rPr>
                <w:bdr w:val="single" w:sz="2" w:space="1" w:color="000000"/>
              </w:rPr>
            </w:pPr>
            <w:r>
              <w:rPr>
                <w:bdr w:val="single" w:sz="2" w:space="1" w:color="000000"/>
              </w:rPr>
              <w:t> </w:t>
            </w:r>
          </w:p>
        </w:tc>
        <w:tc>
          <w:tcPr>
            <w:tcW w:w="18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969" w:type="dxa"/>
            <w:tcBorders/>
            <w:shd w:fill="CCEEFF" w:val="clear"/>
            <w:vAlign w:val="center"/>
          </w:tcPr>
          <w:p>
            <w:pPr>
              <w:pStyle w:val="TableContents"/>
              <w:bidi w:val="0"/>
              <w:spacing w:before="0" w:after="283"/>
              <w:jc w:val="right"/>
              <w:rPr/>
            </w:pPr>
            <w:r>
              <w:rPr/>
              <w:t>434,298</w:t>
            </w:r>
          </w:p>
        </w:tc>
        <w:tc>
          <w:tcPr>
            <w:tcW w:w="24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w:t>
            </w:r>
          </w:p>
        </w:tc>
        <w:tc>
          <w:tcPr>
            <w:tcW w:w="1890" w:type="dxa"/>
            <w:tcBorders/>
            <w:shd w:fill="CCEEFF" w:val="clear"/>
            <w:vAlign w:val="center"/>
          </w:tcPr>
          <w:p>
            <w:pPr>
              <w:pStyle w:val="TableContents"/>
              <w:bidi w:val="0"/>
              <w:spacing w:before="0" w:after="283"/>
              <w:jc w:val="right"/>
              <w:rPr/>
            </w:pPr>
            <w:r>
              <w:rPr/>
              <w:t>516,645</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bdr w:val="double" w:sz="6" w:space="1" w:color="000000"/>
              </w:rPr>
            </w:pPr>
            <w:r>
              <w:rPr>
                <w:bdr w:val="double" w:sz="6" w:space="1" w:color="000000"/>
              </w:rPr>
              <w:t> </w:t>
            </w:r>
          </w:p>
        </w:tc>
        <w:tc>
          <w:tcPr>
            <w:tcW w:w="1969" w:type="dxa"/>
            <w:tcBorders/>
            <w:vAlign w:val="center"/>
          </w:tcPr>
          <w:p>
            <w:pPr>
              <w:pStyle w:val="TableContents"/>
              <w:bidi w:val="0"/>
              <w:spacing w:before="0" w:after="0"/>
              <w:jc w:val="left"/>
              <w:rPr>
                <w:bdr w:val="double" w:sz="6" w:space="1" w:color="000000"/>
              </w:rPr>
            </w:pPr>
            <w:r>
              <w:rPr>
                <w:bdr w:val="double" w:sz="6" w:space="1" w:color="000000"/>
              </w:rPr>
              <w:t> </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0"/>
              <w:jc w:val="left"/>
              <w:rPr>
                <w:bdr w:val="double" w:sz="6" w:space="1" w:color="000000"/>
              </w:rPr>
            </w:pPr>
            <w:r>
              <w:rPr>
                <w:bdr w:val="double" w:sz="6" w:space="1" w:color="000000"/>
              </w:rPr>
              <w:t> </w:t>
            </w:r>
          </w:p>
        </w:tc>
        <w:tc>
          <w:tcPr>
            <w:tcW w:w="1890" w:type="dxa"/>
            <w:tcBorders/>
            <w:vAlign w:val="center"/>
          </w:tcPr>
          <w:p>
            <w:pPr>
              <w:pStyle w:val="TableContents"/>
              <w:bidi w:val="0"/>
              <w:spacing w:before="0" w:after="0"/>
              <w:jc w:val="left"/>
              <w:rPr>
                <w:bdr w:val="double" w:sz="6" w:space="1" w:color="000000"/>
              </w:rPr>
            </w:pPr>
            <w:r>
              <w:rPr>
                <w:bdr w:val="double" w:sz="6" w:space="1" w:color="000000"/>
              </w:rPr>
              <w:t> </w:t>
            </w:r>
          </w:p>
        </w:tc>
        <w:tc>
          <w:tcPr>
            <w:tcW w:w="174"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8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969"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8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w:t>
            </w:r>
          </w:p>
        </w:tc>
        <w:tc>
          <w:tcPr>
            <w:tcW w:w="1969" w:type="dxa"/>
            <w:tcBorders/>
            <w:vAlign w:val="center"/>
          </w:tcPr>
          <w:p>
            <w:pPr>
              <w:pStyle w:val="TableContents"/>
              <w:bidi w:val="0"/>
              <w:spacing w:before="0" w:after="283"/>
              <w:jc w:val="right"/>
              <w:rPr/>
            </w:pPr>
            <w:r>
              <w:rPr/>
              <w:t>23,446</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w:t>
            </w:r>
          </w:p>
        </w:tc>
        <w:tc>
          <w:tcPr>
            <w:tcW w:w="1890" w:type="dxa"/>
            <w:tcBorders/>
            <w:vAlign w:val="center"/>
          </w:tcPr>
          <w:p>
            <w:pPr>
              <w:pStyle w:val="TableContents"/>
              <w:bidi w:val="0"/>
              <w:spacing w:before="0" w:after="283"/>
              <w:jc w:val="right"/>
              <w:rPr/>
            </w:pPr>
            <w:r>
              <w:rPr/>
              <w:t>17,998</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accounts payable</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969" w:type="dxa"/>
            <w:tcBorders/>
            <w:shd w:fill="CCEEFF" w:val="clear"/>
            <w:vAlign w:val="center"/>
          </w:tcPr>
          <w:p>
            <w:pPr>
              <w:pStyle w:val="TableContents"/>
              <w:bidi w:val="0"/>
              <w:spacing w:before="0" w:after="283"/>
              <w:jc w:val="right"/>
              <w:rPr/>
            </w:pPr>
            <w:r>
              <w:rPr/>
              <w:t>8,025</w:t>
            </w:r>
          </w:p>
        </w:tc>
        <w:tc>
          <w:tcPr>
            <w:tcW w:w="24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890" w:type="dxa"/>
            <w:tcBorders/>
            <w:shd w:fill="CCEEFF" w:val="clear"/>
            <w:vAlign w:val="center"/>
          </w:tcPr>
          <w:p>
            <w:pPr>
              <w:pStyle w:val="TableContents"/>
              <w:bidi w:val="0"/>
              <w:spacing w:before="0" w:after="283"/>
              <w:jc w:val="right"/>
              <w:rPr/>
            </w:pPr>
            <w:r>
              <w:rPr/>
              <w:t>9,702</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right"/>
              <w:rPr/>
            </w:pPr>
            <w:r>
              <w:rPr/>
              <w:t>9,668</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890" w:type="dxa"/>
            <w:tcBorders/>
            <w:vAlign w:val="center"/>
          </w:tcPr>
          <w:p>
            <w:pPr>
              <w:pStyle w:val="TableContents"/>
              <w:bidi w:val="0"/>
              <w:spacing w:before="0" w:after="283"/>
              <w:jc w:val="right"/>
              <w:rPr/>
            </w:pPr>
            <w:r>
              <w:rPr/>
              <w:t>9,688</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income taxes</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969" w:type="dxa"/>
            <w:tcBorders/>
            <w:shd w:fill="CCEEFF" w:val="clear"/>
            <w:vAlign w:val="center"/>
          </w:tcPr>
          <w:p>
            <w:pPr>
              <w:pStyle w:val="TableContents"/>
              <w:bidi w:val="0"/>
              <w:spacing w:before="0" w:after="283"/>
              <w:jc w:val="right"/>
              <w:rPr/>
            </w:pPr>
            <w:r>
              <w:rPr/>
              <w:t>48</w:t>
            </w:r>
          </w:p>
        </w:tc>
        <w:tc>
          <w:tcPr>
            <w:tcW w:w="24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890" w:type="dxa"/>
            <w:tcBorders/>
            <w:shd w:fill="CCEEFF" w:val="clear"/>
            <w:vAlign w:val="center"/>
          </w:tcPr>
          <w:p>
            <w:pPr>
              <w:pStyle w:val="TableContents"/>
              <w:bidi w:val="0"/>
              <w:spacing w:before="0" w:after="283"/>
              <w:jc w:val="right"/>
              <w:rPr/>
            </w:pPr>
            <w:r>
              <w:rPr/>
              <w:t>3,154</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right"/>
              <w:rPr/>
            </w:pPr>
            <w:r>
              <w:rPr/>
              <w:t>1,735</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890" w:type="dxa"/>
            <w:tcBorders/>
            <w:vAlign w:val="center"/>
          </w:tcPr>
          <w:p>
            <w:pPr>
              <w:pStyle w:val="TableContents"/>
              <w:bidi w:val="0"/>
              <w:spacing w:before="0" w:after="283"/>
              <w:jc w:val="right"/>
              <w:rPr/>
            </w:pPr>
            <w:r>
              <w:rPr/>
              <w:t>1,397</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969" w:type="dxa"/>
            <w:tcBorders/>
            <w:shd w:fill="CCEEFF" w:val="clear"/>
            <w:vAlign w:val="center"/>
          </w:tcPr>
          <w:p>
            <w:pPr>
              <w:pStyle w:val="TableContents"/>
              <w:bidi w:val="0"/>
              <w:spacing w:before="0" w:after="283"/>
              <w:jc w:val="right"/>
              <w:rPr/>
            </w:pPr>
            <w:r>
              <w:rPr/>
              <w:t>4,495</w:t>
            </w:r>
          </w:p>
        </w:tc>
        <w:tc>
          <w:tcPr>
            <w:tcW w:w="24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890" w:type="dxa"/>
            <w:tcBorders/>
            <w:shd w:fill="CCEEFF" w:val="clear"/>
            <w:vAlign w:val="center"/>
          </w:tcPr>
          <w:p>
            <w:pPr>
              <w:pStyle w:val="TableContents"/>
              <w:bidi w:val="0"/>
              <w:spacing w:before="0" w:after="283"/>
              <w:jc w:val="right"/>
              <w:rPr/>
            </w:pPr>
            <w:r>
              <w:rPr/>
              <w:t>5,306</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bdr w:val="single" w:sz="2" w:space="1" w:color="000000"/>
              </w:rPr>
            </w:pPr>
            <w:r>
              <w:rPr>
                <w:bdr w:val="single" w:sz="2" w:space="1" w:color="000000"/>
              </w:rPr>
              <w:t> </w:t>
            </w:r>
          </w:p>
        </w:tc>
        <w:tc>
          <w:tcPr>
            <w:tcW w:w="1969" w:type="dxa"/>
            <w:tcBorders/>
            <w:vAlign w:val="center"/>
          </w:tcPr>
          <w:p>
            <w:pPr>
              <w:pStyle w:val="TableContents"/>
              <w:bidi w:val="0"/>
              <w:spacing w:before="0" w:after="0"/>
              <w:jc w:val="left"/>
              <w:rPr>
                <w:bdr w:val="single" w:sz="2" w:space="1" w:color="000000"/>
              </w:rPr>
            </w:pPr>
            <w:r>
              <w:rPr>
                <w:bdr w:val="single" w:sz="2" w:space="1" w:color="000000"/>
              </w:rPr>
              <w:t> </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0"/>
              <w:jc w:val="left"/>
              <w:rPr>
                <w:bdr w:val="single" w:sz="2" w:space="1" w:color="000000"/>
              </w:rPr>
            </w:pPr>
            <w:r>
              <w:rPr>
                <w:bdr w:val="single" w:sz="2" w:space="1" w:color="000000"/>
              </w:rPr>
              <w:t> </w:t>
            </w:r>
          </w:p>
        </w:tc>
        <w:tc>
          <w:tcPr>
            <w:tcW w:w="18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right"/>
              <w:rPr/>
            </w:pPr>
            <w:r>
              <w:rPr/>
              <w:t>47,417</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890" w:type="dxa"/>
            <w:tcBorders/>
            <w:vAlign w:val="center"/>
          </w:tcPr>
          <w:p>
            <w:pPr>
              <w:pStyle w:val="TableContents"/>
              <w:bidi w:val="0"/>
              <w:spacing w:before="0" w:after="283"/>
              <w:jc w:val="right"/>
              <w:rPr/>
            </w:pPr>
            <w:r>
              <w:rPr/>
              <w:t>47,245</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severance benefits, net</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969" w:type="dxa"/>
            <w:tcBorders/>
            <w:shd w:fill="CCEEFF" w:val="clear"/>
            <w:vAlign w:val="center"/>
          </w:tcPr>
          <w:p>
            <w:pPr>
              <w:pStyle w:val="TableContents"/>
              <w:bidi w:val="0"/>
              <w:spacing w:before="0" w:after="283"/>
              <w:jc w:val="right"/>
              <w:rPr/>
            </w:pPr>
            <w:r>
              <w:rPr/>
              <w:t>20,160</w:t>
            </w:r>
          </w:p>
        </w:tc>
        <w:tc>
          <w:tcPr>
            <w:tcW w:w="24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890" w:type="dxa"/>
            <w:tcBorders/>
            <w:shd w:fill="CCEEFF" w:val="clear"/>
            <w:vAlign w:val="center"/>
          </w:tcPr>
          <w:p>
            <w:pPr>
              <w:pStyle w:val="TableContents"/>
              <w:bidi w:val="0"/>
              <w:spacing w:before="0" w:after="283"/>
              <w:jc w:val="right"/>
              <w:rPr/>
            </w:pPr>
            <w:r>
              <w:rPr/>
              <w:t>23,121</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right"/>
              <w:rPr/>
            </w:pPr>
            <w:r>
              <w:rPr/>
              <w:t>3,167</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890" w:type="dxa"/>
            <w:tcBorders/>
            <w:vAlign w:val="center"/>
          </w:tcPr>
          <w:p>
            <w:pPr>
              <w:pStyle w:val="TableContents"/>
              <w:bidi w:val="0"/>
              <w:spacing w:before="0" w:after="283"/>
              <w:jc w:val="right"/>
              <w:rPr/>
            </w:pPr>
            <w:r>
              <w:rPr/>
              <w:t>4,091</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969" w:type="dxa"/>
            <w:tcBorders/>
            <w:shd w:fill="CCEEFF" w:val="clear"/>
            <w:vAlign w:val="center"/>
          </w:tcPr>
          <w:p>
            <w:pPr>
              <w:pStyle w:val="TableContents"/>
              <w:bidi w:val="0"/>
              <w:spacing w:before="0" w:after="283"/>
              <w:jc w:val="right"/>
              <w:rPr/>
            </w:pPr>
            <w:r>
              <w:rPr/>
              <w:t>9,862</w:t>
            </w:r>
          </w:p>
        </w:tc>
        <w:tc>
          <w:tcPr>
            <w:tcW w:w="24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890" w:type="dxa"/>
            <w:tcBorders/>
            <w:shd w:fill="CCEEFF" w:val="clear"/>
            <w:vAlign w:val="center"/>
          </w:tcPr>
          <w:p>
            <w:pPr>
              <w:pStyle w:val="TableContents"/>
              <w:bidi w:val="0"/>
              <w:spacing w:before="0" w:after="283"/>
              <w:jc w:val="right"/>
              <w:rPr/>
            </w:pPr>
            <w:r>
              <w:rPr/>
              <w:t>14,035</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bdr w:val="single" w:sz="2" w:space="1" w:color="000000"/>
              </w:rPr>
            </w:pPr>
            <w:r>
              <w:rPr>
                <w:bdr w:val="single" w:sz="2" w:space="1" w:color="000000"/>
              </w:rPr>
              <w:t> </w:t>
            </w:r>
          </w:p>
        </w:tc>
        <w:tc>
          <w:tcPr>
            <w:tcW w:w="1969" w:type="dxa"/>
            <w:tcBorders/>
            <w:vAlign w:val="center"/>
          </w:tcPr>
          <w:p>
            <w:pPr>
              <w:pStyle w:val="TableContents"/>
              <w:bidi w:val="0"/>
              <w:spacing w:before="0" w:after="0"/>
              <w:jc w:val="left"/>
              <w:rPr>
                <w:bdr w:val="single" w:sz="2" w:space="1" w:color="000000"/>
              </w:rPr>
            </w:pPr>
            <w:r>
              <w:rPr>
                <w:bdr w:val="single" w:sz="2" w:space="1" w:color="000000"/>
              </w:rPr>
              <w:t> </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0"/>
              <w:jc w:val="left"/>
              <w:rPr>
                <w:bdr w:val="single" w:sz="2" w:space="1" w:color="000000"/>
              </w:rPr>
            </w:pPr>
            <w:r>
              <w:rPr>
                <w:bdr w:val="single" w:sz="2" w:space="1" w:color="000000"/>
              </w:rPr>
              <w:t> </w:t>
            </w:r>
          </w:p>
        </w:tc>
        <w:tc>
          <w:tcPr>
            <w:tcW w:w="18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right"/>
              <w:rPr/>
            </w:pPr>
            <w:r>
              <w:rPr/>
              <w:t>80,606</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890" w:type="dxa"/>
            <w:tcBorders/>
            <w:vAlign w:val="center"/>
          </w:tcPr>
          <w:p>
            <w:pPr>
              <w:pStyle w:val="TableContents"/>
              <w:bidi w:val="0"/>
              <w:spacing w:before="0" w:after="283"/>
              <w:jc w:val="right"/>
              <w:rPr/>
            </w:pPr>
            <w:r>
              <w:rPr/>
              <w:t>88,492</w:t>
            </w:r>
          </w:p>
        </w:tc>
        <w:tc>
          <w:tcPr>
            <w:tcW w:w="174"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bdr w:val="single" w:sz="2" w:space="1" w:color="000000"/>
              </w:rPr>
            </w:pPr>
            <w:r>
              <w:rPr>
                <w:bdr w:val="single" w:sz="2" w:space="1" w:color="000000"/>
              </w:rPr>
              <w:t> </w:t>
            </w:r>
          </w:p>
        </w:tc>
        <w:tc>
          <w:tcPr>
            <w:tcW w:w="1969" w:type="dxa"/>
            <w:tcBorders/>
            <w:vAlign w:val="center"/>
          </w:tcPr>
          <w:p>
            <w:pPr>
              <w:pStyle w:val="TableContents"/>
              <w:bidi w:val="0"/>
              <w:spacing w:before="0" w:after="0"/>
              <w:jc w:val="left"/>
              <w:rPr>
                <w:bdr w:val="single" w:sz="2" w:space="1" w:color="000000"/>
              </w:rPr>
            </w:pPr>
            <w:r>
              <w:rPr>
                <w:bdr w:val="single" w:sz="2" w:space="1" w:color="000000"/>
              </w:rPr>
              <w:t> </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0"/>
              <w:jc w:val="left"/>
              <w:rPr>
                <w:bdr w:val="single" w:sz="2" w:space="1" w:color="000000"/>
              </w:rPr>
            </w:pPr>
            <w:r>
              <w:rPr>
                <w:bdr w:val="single" w:sz="2" w:space="1" w:color="000000"/>
              </w:rPr>
              <w:t> </w:t>
            </w:r>
          </w:p>
        </w:tc>
        <w:tc>
          <w:tcPr>
            <w:tcW w:w="18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16)</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969" w:type="dxa"/>
            <w:tcBorders/>
            <w:shd w:fill="CCEEFF" w:val="clear"/>
            <w:vAlign w:val="center"/>
          </w:tcPr>
          <w:p>
            <w:pPr>
              <w:pStyle w:val="TableContents"/>
              <w:bidi w:val="0"/>
              <w:spacing w:before="0" w:after="283"/>
              <w:jc w:val="left"/>
              <w:rPr>
                <w:sz w:val="4"/>
                <w:szCs w:val="4"/>
              </w:rPr>
            </w:pPr>
            <w:r>
              <w:rPr>
                <w:sz w:val="4"/>
                <w:szCs w:val="4"/>
              </w:rPr>
            </w:r>
          </w:p>
        </w:tc>
        <w:tc>
          <w:tcPr>
            <w:tcW w:w="24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890" w:type="dxa"/>
            <w:tcBorders/>
            <w:shd w:fill="CCEEFF" w:val="clear"/>
            <w:vAlign w:val="center"/>
          </w:tcPr>
          <w:p>
            <w:pPr>
              <w:pStyle w:val="TableContents"/>
              <w:bidi w:val="0"/>
              <w:spacing w:before="0" w:after="283"/>
              <w:jc w:val="left"/>
              <w:rPr>
                <w:sz w:val="4"/>
                <w:szCs w:val="4"/>
              </w:rPr>
            </w:pPr>
            <w:r>
              <w:rPr>
                <w:sz w:val="4"/>
                <w:szCs w:val="4"/>
              </w:rPr>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8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Common stock, $0.01 par value, 150,000,000 shares authorized, 56,655,377 shares issued and 39,667,995 outstanding at September 30, 2023 and 56,432,449 shares issued and 43,824,575 outstanding at December 31, 2022</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969" w:type="dxa"/>
            <w:tcBorders/>
            <w:shd w:fill="CCEEFF" w:val="clear"/>
            <w:vAlign w:val="center"/>
          </w:tcPr>
          <w:p>
            <w:pPr>
              <w:pStyle w:val="TableContents"/>
              <w:bidi w:val="0"/>
              <w:spacing w:before="0" w:after="283"/>
              <w:jc w:val="right"/>
              <w:rPr/>
            </w:pPr>
            <w:r>
              <w:rPr/>
              <w:t>566</w:t>
            </w:r>
          </w:p>
        </w:tc>
        <w:tc>
          <w:tcPr>
            <w:tcW w:w="24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890" w:type="dxa"/>
            <w:tcBorders/>
            <w:shd w:fill="CCEEFF" w:val="clear"/>
            <w:vAlign w:val="center"/>
          </w:tcPr>
          <w:p>
            <w:pPr>
              <w:pStyle w:val="TableContents"/>
              <w:bidi w:val="0"/>
              <w:spacing w:before="0" w:after="283"/>
              <w:jc w:val="right"/>
              <w:rPr/>
            </w:pPr>
            <w:r>
              <w:rPr/>
              <w:t>564</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right"/>
              <w:rPr/>
            </w:pPr>
            <w:r>
              <w:rPr/>
              <w:t>271,419</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890" w:type="dxa"/>
            <w:tcBorders/>
            <w:vAlign w:val="center"/>
          </w:tcPr>
          <w:p>
            <w:pPr>
              <w:pStyle w:val="TableContents"/>
              <w:bidi w:val="0"/>
              <w:spacing w:before="0" w:after="283"/>
              <w:jc w:val="right"/>
              <w:rPr/>
            </w:pPr>
            <w:r>
              <w:rPr/>
              <w:t>266,058</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969" w:type="dxa"/>
            <w:tcBorders/>
            <w:shd w:fill="CCEEFF" w:val="clear"/>
            <w:vAlign w:val="center"/>
          </w:tcPr>
          <w:p>
            <w:pPr>
              <w:pStyle w:val="TableContents"/>
              <w:bidi w:val="0"/>
              <w:spacing w:before="0" w:after="283"/>
              <w:jc w:val="right"/>
              <w:rPr/>
            </w:pPr>
            <w:r>
              <w:rPr/>
              <w:t>304,924</w:t>
            </w:r>
          </w:p>
        </w:tc>
        <w:tc>
          <w:tcPr>
            <w:tcW w:w="24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890" w:type="dxa"/>
            <w:tcBorders/>
            <w:shd w:fill="CCEEFF" w:val="clear"/>
            <w:vAlign w:val="center"/>
          </w:tcPr>
          <w:p>
            <w:pPr>
              <w:pStyle w:val="TableContents"/>
              <w:bidi w:val="0"/>
              <w:spacing w:before="0" w:after="283"/>
              <w:jc w:val="right"/>
              <w:rPr/>
            </w:pPr>
            <w:r>
              <w:rPr/>
              <w:t>335,506</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Treasury stock, 16,987,382 shares at September 30, 2023 and 12,607,874 shares at December 31, 2022, respectively</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right"/>
              <w:rPr/>
            </w:pPr>
            <w:r>
              <w:rPr/>
              <w:t>(204,645</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890" w:type="dxa"/>
            <w:tcBorders/>
            <w:vAlign w:val="center"/>
          </w:tcPr>
          <w:p>
            <w:pPr>
              <w:pStyle w:val="TableContents"/>
              <w:bidi w:val="0"/>
              <w:spacing w:before="0" w:after="283"/>
              <w:jc w:val="right"/>
              <w:rPr/>
            </w:pPr>
            <w:r>
              <w:rPr/>
              <w:t>(161,422</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 </w:t>
            </w:r>
          </w:p>
        </w:tc>
        <w:tc>
          <w:tcPr>
            <w:tcW w:w="1969" w:type="dxa"/>
            <w:tcBorders/>
            <w:shd w:fill="CCEEFF" w:val="clear"/>
            <w:vAlign w:val="center"/>
          </w:tcPr>
          <w:p>
            <w:pPr>
              <w:pStyle w:val="TableContents"/>
              <w:bidi w:val="0"/>
              <w:spacing w:before="0" w:after="283"/>
              <w:jc w:val="right"/>
              <w:rPr/>
            </w:pPr>
            <w:r>
              <w:rPr/>
              <w:t>(18,572</w:t>
            </w:r>
          </w:p>
        </w:tc>
        <w:tc>
          <w:tcPr>
            <w:tcW w:w="24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890" w:type="dxa"/>
            <w:tcBorders/>
            <w:shd w:fill="CCEEFF" w:val="clear"/>
            <w:vAlign w:val="center"/>
          </w:tcPr>
          <w:p>
            <w:pPr>
              <w:pStyle w:val="TableContents"/>
              <w:bidi w:val="0"/>
              <w:spacing w:before="0" w:after="283"/>
              <w:jc w:val="right"/>
              <w:rPr/>
            </w:pPr>
            <w:r>
              <w:rPr/>
              <w:t>(12,553</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bdr w:val="single" w:sz="2" w:space="1" w:color="000000"/>
              </w:rPr>
            </w:pPr>
            <w:r>
              <w:rPr>
                <w:bdr w:val="single" w:sz="2" w:space="1" w:color="000000"/>
              </w:rPr>
              <w:t> </w:t>
            </w:r>
          </w:p>
        </w:tc>
        <w:tc>
          <w:tcPr>
            <w:tcW w:w="1969" w:type="dxa"/>
            <w:tcBorders/>
            <w:vAlign w:val="center"/>
          </w:tcPr>
          <w:p>
            <w:pPr>
              <w:pStyle w:val="TableContents"/>
              <w:bidi w:val="0"/>
              <w:spacing w:before="0" w:after="0"/>
              <w:jc w:val="left"/>
              <w:rPr>
                <w:bdr w:val="single" w:sz="2" w:space="1" w:color="000000"/>
              </w:rPr>
            </w:pPr>
            <w:r>
              <w:rPr>
                <w:bdr w:val="single" w:sz="2" w:space="1" w:color="000000"/>
              </w:rPr>
              <w:t> </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0"/>
              <w:jc w:val="left"/>
              <w:rPr>
                <w:bdr w:val="single" w:sz="2" w:space="1" w:color="000000"/>
              </w:rPr>
            </w:pPr>
            <w:r>
              <w:rPr>
                <w:bdr w:val="single" w:sz="2" w:space="1" w:color="000000"/>
              </w:rPr>
              <w:t> </w:t>
            </w:r>
          </w:p>
        </w:tc>
        <w:tc>
          <w:tcPr>
            <w:tcW w:w="18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right"/>
              <w:rPr/>
            </w:pPr>
            <w:r>
              <w:rPr/>
              <w:t>353,692</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1890" w:type="dxa"/>
            <w:tcBorders/>
            <w:vAlign w:val="center"/>
          </w:tcPr>
          <w:p>
            <w:pPr>
              <w:pStyle w:val="TableContents"/>
              <w:bidi w:val="0"/>
              <w:spacing w:before="0" w:after="283"/>
              <w:jc w:val="right"/>
              <w:rPr/>
            </w:pPr>
            <w:r>
              <w:rPr/>
              <w:t>428,153</w:t>
            </w:r>
          </w:p>
        </w:tc>
        <w:tc>
          <w:tcPr>
            <w:tcW w:w="174" w:type="dxa"/>
            <w:tcBorders/>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bdr w:val="single" w:sz="2" w:space="1" w:color="000000"/>
              </w:rPr>
            </w:pPr>
            <w:r>
              <w:rPr>
                <w:bdr w:val="single" w:sz="2" w:space="1" w:color="000000"/>
              </w:rPr>
              <w:t> </w:t>
            </w:r>
          </w:p>
        </w:tc>
        <w:tc>
          <w:tcPr>
            <w:tcW w:w="1969" w:type="dxa"/>
            <w:tcBorders/>
            <w:vAlign w:val="center"/>
          </w:tcPr>
          <w:p>
            <w:pPr>
              <w:pStyle w:val="TableContents"/>
              <w:bidi w:val="0"/>
              <w:spacing w:before="0" w:after="0"/>
              <w:jc w:val="left"/>
              <w:rPr>
                <w:bdr w:val="single" w:sz="2" w:space="1" w:color="000000"/>
              </w:rPr>
            </w:pPr>
            <w:r>
              <w:rPr>
                <w:bdr w:val="single" w:sz="2" w:space="1" w:color="000000"/>
              </w:rPr>
              <w:t> </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0"/>
              <w:jc w:val="left"/>
              <w:rPr>
                <w:bdr w:val="single" w:sz="2" w:space="1" w:color="000000"/>
              </w:rPr>
            </w:pPr>
            <w:r>
              <w:rPr>
                <w:bdr w:val="single" w:sz="2" w:space="1" w:color="000000"/>
              </w:rPr>
              <w:t> </w:t>
            </w:r>
          </w:p>
        </w:tc>
        <w:tc>
          <w:tcPr>
            <w:tcW w:w="1890" w:type="dxa"/>
            <w:tcBorders/>
            <w:vAlign w:val="center"/>
          </w:tcPr>
          <w:p>
            <w:pPr>
              <w:pStyle w:val="TableContents"/>
              <w:bidi w:val="0"/>
              <w:spacing w:before="0" w:after="0"/>
              <w:jc w:val="left"/>
              <w:rPr>
                <w:bdr w:val="single" w:sz="2" w:space="1" w:color="000000"/>
              </w:rPr>
            </w:pPr>
            <w:r>
              <w:rPr>
                <w:bdr w:val="single" w:sz="2" w:space="1" w:color="000000"/>
              </w:rPr>
              <w:t> </w:t>
            </w:r>
          </w:p>
        </w:tc>
        <w:tc>
          <w:tcPr>
            <w:tcW w:w="174" w:type="dxa"/>
            <w:tcBorders/>
            <w:vAlign w:val="center"/>
          </w:tcPr>
          <w:p>
            <w:pPr>
              <w:pStyle w:val="TableContents"/>
              <w:bidi w:val="0"/>
              <w:spacing w:before="0" w:after="283"/>
              <w:jc w:val="left"/>
              <w:rPr/>
            </w:pPr>
            <w:r>
              <w:rPr/>
              <w:t> </w:t>
            </w:r>
          </w:p>
        </w:tc>
      </w:tr>
      <w:tr>
        <w:trPr/>
        <w:tc>
          <w:tcPr>
            <w:tcW w:w="50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120" w:type="dxa"/>
            <w:tcBorders/>
            <w:shd w:fill="CCEEFF" w:val="clear"/>
            <w:vAlign w:val="center"/>
          </w:tcPr>
          <w:p>
            <w:pPr>
              <w:pStyle w:val="TableContents"/>
              <w:bidi w:val="0"/>
              <w:spacing w:before="0" w:after="283"/>
              <w:jc w:val="left"/>
              <w:rPr/>
            </w:pPr>
            <w:r>
              <w:rPr/>
              <w:t>  </w:t>
            </w:r>
          </w:p>
        </w:tc>
        <w:tc>
          <w:tcPr>
            <w:tcW w:w="313" w:type="dxa"/>
            <w:tcBorders/>
            <w:shd w:fill="CCEEFF" w:val="clear"/>
            <w:vAlign w:val="center"/>
          </w:tcPr>
          <w:p>
            <w:pPr>
              <w:pStyle w:val="TableContents"/>
              <w:bidi w:val="0"/>
              <w:spacing w:before="0" w:after="283"/>
              <w:jc w:val="left"/>
              <w:rPr/>
            </w:pPr>
            <w:r>
              <w:rPr/>
              <w:t>$</w:t>
            </w:r>
          </w:p>
        </w:tc>
        <w:tc>
          <w:tcPr>
            <w:tcW w:w="1969" w:type="dxa"/>
            <w:tcBorders/>
            <w:shd w:fill="CCEEFF" w:val="clear"/>
            <w:vAlign w:val="center"/>
          </w:tcPr>
          <w:p>
            <w:pPr>
              <w:pStyle w:val="TableContents"/>
              <w:bidi w:val="0"/>
              <w:spacing w:before="0" w:after="283"/>
              <w:jc w:val="right"/>
              <w:rPr/>
            </w:pPr>
            <w:r>
              <w:rPr/>
              <w:t>434,298</w:t>
            </w:r>
          </w:p>
        </w:tc>
        <w:tc>
          <w:tcPr>
            <w:tcW w:w="249"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w:t>
            </w:r>
          </w:p>
        </w:tc>
        <w:tc>
          <w:tcPr>
            <w:tcW w:w="1890" w:type="dxa"/>
            <w:tcBorders/>
            <w:shd w:fill="CCEEFF" w:val="clear"/>
            <w:vAlign w:val="center"/>
          </w:tcPr>
          <w:p>
            <w:pPr>
              <w:pStyle w:val="TableContents"/>
              <w:bidi w:val="0"/>
              <w:spacing w:before="0" w:after="283"/>
              <w:jc w:val="right"/>
              <w:rPr/>
            </w:pPr>
            <w:r>
              <w:rPr/>
              <w:t>516,645</w:t>
            </w:r>
          </w:p>
        </w:tc>
        <w:tc>
          <w:tcPr>
            <w:tcW w:w="174" w:type="dxa"/>
            <w:tcBorders/>
            <w:shd w:fill="CCEEFF" w:val="clear"/>
            <w:vAlign w:val="center"/>
          </w:tcPr>
          <w:p>
            <w:pPr>
              <w:pStyle w:val="TableContents"/>
              <w:bidi w:val="0"/>
              <w:spacing w:before="0" w:after="283"/>
              <w:jc w:val="left"/>
              <w:rPr/>
            </w:pPr>
            <w:r>
              <w:rPr/>
              <w:t> </w:t>
            </w:r>
          </w:p>
        </w:tc>
      </w:tr>
      <w:tr>
        <w:trPr/>
        <w:tc>
          <w:tcPr>
            <w:tcW w:w="50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0"/>
              <w:jc w:val="left"/>
              <w:rPr>
                <w:bdr w:val="double" w:sz="6" w:space="1" w:color="000000"/>
              </w:rPr>
            </w:pPr>
            <w:r>
              <w:rPr>
                <w:bdr w:val="double" w:sz="6" w:space="1" w:color="000000"/>
              </w:rPr>
              <w:t> </w:t>
            </w:r>
          </w:p>
        </w:tc>
        <w:tc>
          <w:tcPr>
            <w:tcW w:w="1969" w:type="dxa"/>
            <w:tcBorders/>
            <w:vAlign w:val="center"/>
          </w:tcPr>
          <w:p>
            <w:pPr>
              <w:pStyle w:val="TableContents"/>
              <w:bidi w:val="0"/>
              <w:spacing w:before="0" w:after="0"/>
              <w:jc w:val="left"/>
              <w:rPr>
                <w:bdr w:val="double" w:sz="6" w:space="1" w:color="000000"/>
              </w:rPr>
            </w:pPr>
            <w:r>
              <w:rPr>
                <w:bdr w:val="double" w:sz="6" w:space="1" w:color="000000"/>
              </w:rPr>
              <w:t> </w:t>
            </w:r>
          </w:p>
        </w:tc>
        <w:tc>
          <w:tcPr>
            <w:tcW w:w="24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0"/>
              <w:jc w:val="left"/>
              <w:rPr>
                <w:bdr w:val="double" w:sz="6" w:space="1" w:color="000000"/>
              </w:rPr>
            </w:pPr>
            <w:r>
              <w:rPr>
                <w:bdr w:val="double" w:sz="6" w:space="1" w:color="000000"/>
              </w:rPr>
              <w:t> </w:t>
            </w:r>
          </w:p>
        </w:tc>
        <w:tc>
          <w:tcPr>
            <w:tcW w:w="1890" w:type="dxa"/>
            <w:tcBorders/>
            <w:vAlign w:val="center"/>
          </w:tcPr>
          <w:p>
            <w:pPr>
              <w:pStyle w:val="TableContents"/>
              <w:bidi w:val="0"/>
              <w:spacing w:before="0" w:after="0"/>
              <w:jc w:val="left"/>
              <w:rPr>
                <w:bdr w:val="double" w:sz="6" w:space="1" w:color="000000"/>
              </w:rPr>
            </w:pPr>
            <w:r>
              <w:rPr>
                <w:bdr w:val="double" w:sz="6" w:space="1" w:color="000000"/>
              </w:rPr>
              <w:t> </w:t>
            </w:r>
          </w:p>
        </w:tc>
        <w:tc>
          <w:tcPr>
            <w:tcW w:w="174"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CONSOLIDATED STATEMENTS OF OPERATIONS (Unaudited)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3412"/>
        <w:gridCol w:w="120"/>
        <w:gridCol w:w="163"/>
        <w:gridCol w:w="1297"/>
        <w:gridCol w:w="155"/>
        <w:gridCol w:w="60"/>
        <w:gridCol w:w="163"/>
        <w:gridCol w:w="1297"/>
        <w:gridCol w:w="155"/>
        <w:gridCol w:w="60"/>
        <w:gridCol w:w="166"/>
        <w:gridCol w:w="1309"/>
        <w:gridCol w:w="155"/>
        <w:gridCol w:w="60"/>
        <w:gridCol w:w="163"/>
        <w:gridCol w:w="1297"/>
        <w:gridCol w:w="173"/>
      </w:tblGrid>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41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173" w:type="dxa"/>
            <w:tcBorders/>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173" w:type="dxa"/>
            <w:tcBorders/>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00" w:type="dxa"/>
            <w:gridSpan w:val="14"/>
            <w:tcBorders/>
            <w:vAlign w:val="center"/>
          </w:tcPr>
          <w:p>
            <w:pPr>
              <w:pStyle w:val="TableContents"/>
              <w:bidi w:val="0"/>
              <w:spacing w:before="0" w:after="0"/>
              <w:jc w:val="center"/>
              <w:rPr>
                <w:b/>
                <w:spacing w:val="0"/>
              </w:rPr>
            </w:pPr>
            <w:r>
              <w:rPr>
                <w:b/>
                <w:spacing w:val="0"/>
              </w:rPr>
              <w:t>(In thousands of U.S. dollars, except share data)</w:t>
            </w:r>
          </w:p>
        </w:tc>
        <w:tc>
          <w:tcPr>
            <w:tcW w:w="173" w:type="dxa"/>
            <w:tcBorders/>
            <w:vAlign w:val="center"/>
          </w:tcPr>
          <w:p>
            <w:pPr>
              <w:pStyle w:val="TableContents"/>
              <w:bidi w:val="0"/>
              <w:spacing w:before="0" w:after="283"/>
              <w:jc w:val="left"/>
              <w:rPr/>
            </w:pPr>
            <w:r>
              <w:rPr/>
              <w:t> </w:t>
            </w:r>
          </w:p>
        </w:tc>
      </w:tr>
      <w:tr>
        <w:trPr/>
        <w:tc>
          <w:tcPr>
            <w:tcW w:w="34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6337" w:type="dxa"/>
            <w:gridSpan w:val="13"/>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34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sales – standard products business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7" w:type="dxa"/>
            <w:tcBorders/>
            <w:vAlign w:val="center"/>
          </w:tcPr>
          <w:p>
            <w:pPr>
              <w:pStyle w:val="TableContents"/>
              <w:bidi w:val="0"/>
              <w:spacing w:before="0" w:after="283"/>
              <w:jc w:val="right"/>
              <w:rPr/>
            </w:pPr>
            <w:r>
              <w:rPr/>
              <w:t>51,619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7" w:type="dxa"/>
            <w:tcBorders/>
            <w:vAlign w:val="center"/>
          </w:tcPr>
          <w:p>
            <w:pPr>
              <w:pStyle w:val="TableContents"/>
              <w:bidi w:val="0"/>
              <w:spacing w:before="0" w:after="283"/>
              <w:jc w:val="right"/>
              <w:rPr/>
            </w:pPr>
            <w:r>
              <w:rPr/>
              <w:t>62,771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154,508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7" w:type="dxa"/>
            <w:tcBorders/>
            <w:vAlign w:val="center"/>
          </w:tcPr>
          <w:p>
            <w:pPr>
              <w:pStyle w:val="TableContents"/>
              <w:bidi w:val="0"/>
              <w:spacing w:before="0" w:after="283"/>
              <w:jc w:val="right"/>
              <w:rPr/>
            </w:pPr>
            <w:r>
              <w:rPr/>
              <w:t>248,069</w:t>
            </w:r>
          </w:p>
        </w:tc>
        <w:tc>
          <w:tcPr>
            <w:tcW w:w="173" w:type="dxa"/>
            <w:tcBorders/>
            <w:vAlign w:val="center"/>
          </w:tcPr>
          <w:p>
            <w:pPr>
              <w:pStyle w:val="TableContents"/>
              <w:bidi w:val="0"/>
              <w:spacing w:before="0" w:after="283"/>
              <w:jc w:val="left"/>
              <w:rPr/>
            </w:pPr>
            <w:r>
              <w:rPr/>
              <w:t> </w:t>
            </w:r>
          </w:p>
        </w:tc>
      </w:tr>
      <w:tr>
        <w:trPr/>
        <w:tc>
          <w:tcPr>
            <w:tcW w:w="34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9,626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8,428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24,721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28,599</w:t>
            </w:r>
          </w:p>
        </w:tc>
        <w:tc>
          <w:tcPr>
            <w:tcW w:w="173" w:type="dxa"/>
            <w:tcBorders/>
            <w:shd w:fill="CCEEFF" w:val="clear"/>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61,245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71,199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179,229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276,668</w:t>
            </w:r>
          </w:p>
        </w:tc>
        <w:tc>
          <w:tcPr>
            <w:tcW w:w="173" w:type="dxa"/>
            <w:tcBorders/>
            <w:vAlign w:val="center"/>
          </w:tcPr>
          <w:p>
            <w:pPr>
              <w:pStyle w:val="TableContents"/>
              <w:bidi w:val="0"/>
              <w:spacing w:before="0" w:after="283"/>
              <w:jc w:val="left"/>
              <w:rPr/>
            </w:pPr>
            <w:r>
              <w:rPr/>
              <w:t> </w:t>
            </w:r>
          </w:p>
        </w:tc>
      </w:tr>
      <w:tr>
        <w:trPr/>
        <w:tc>
          <w:tcPr>
            <w:tcW w:w="34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34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standard products business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36,829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45,497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112,008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165,197</w:t>
            </w:r>
          </w:p>
        </w:tc>
        <w:tc>
          <w:tcPr>
            <w:tcW w:w="173" w:type="dxa"/>
            <w:tcBorders/>
            <w:vAlign w:val="center"/>
          </w:tcPr>
          <w:p>
            <w:pPr>
              <w:pStyle w:val="TableContents"/>
              <w:bidi w:val="0"/>
              <w:spacing w:before="0" w:after="283"/>
              <w:jc w:val="left"/>
              <w:rPr/>
            </w:pPr>
            <w:r>
              <w:rPr/>
              <w:t> </w:t>
            </w:r>
          </w:p>
        </w:tc>
      </w:tr>
      <w:tr>
        <w:trPr/>
        <w:tc>
          <w:tcPr>
            <w:tcW w:w="34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9,935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8,477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27,108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26,305</w:t>
            </w:r>
          </w:p>
        </w:tc>
        <w:tc>
          <w:tcPr>
            <w:tcW w:w="173" w:type="dxa"/>
            <w:tcBorders/>
            <w:shd w:fill="CCEEFF" w:val="clear"/>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cost of sales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46,764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53,974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139,116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191,502</w:t>
            </w:r>
          </w:p>
        </w:tc>
        <w:tc>
          <w:tcPr>
            <w:tcW w:w="173" w:type="dxa"/>
            <w:tcBorders/>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34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14,481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17,225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40,113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85,166</w:t>
            </w:r>
          </w:p>
        </w:tc>
        <w:tc>
          <w:tcPr>
            <w:tcW w:w="173" w:type="dxa"/>
            <w:tcBorders/>
            <w:shd w:fill="CCEEFF" w:val="clear"/>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4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12,089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11,411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36,391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38,310</w:t>
            </w:r>
          </w:p>
        </w:tc>
        <w:tc>
          <w:tcPr>
            <w:tcW w:w="173" w:type="dxa"/>
            <w:tcBorders/>
            <w:shd w:fill="CCEEFF" w:val="clear"/>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11,627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13,321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36,180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38,685</w:t>
            </w:r>
          </w:p>
        </w:tc>
        <w:tc>
          <w:tcPr>
            <w:tcW w:w="173" w:type="dxa"/>
            <w:tcBorders/>
            <w:vAlign w:val="center"/>
          </w:tcPr>
          <w:p>
            <w:pPr>
              <w:pStyle w:val="TableContents"/>
              <w:bidi w:val="0"/>
              <w:spacing w:before="0" w:after="283"/>
              <w:jc w:val="left"/>
              <w:rPr/>
            </w:pPr>
            <w:r>
              <w:rPr/>
              <w:t> </w:t>
            </w:r>
          </w:p>
        </w:tc>
      </w:tr>
      <w:tr>
        <w:trPr/>
        <w:tc>
          <w:tcPr>
            <w:tcW w:w="34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Early termination and other charges, net</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2,501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9,251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3,298</w:t>
            </w:r>
          </w:p>
        </w:tc>
        <w:tc>
          <w:tcPr>
            <w:tcW w:w="173" w:type="dxa"/>
            <w:tcBorders/>
            <w:shd w:fill="CCEEFF" w:val="clear"/>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23,716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27,233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81,822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80,293</w:t>
            </w:r>
          </w:p>
        </w:tc>
        <w:tc>
          <w:tcPr>
            <w:tcW w:w="173" w:type="dxa"/>
            <w:tcBorders/>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34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(9,235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(10,008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(41,709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4,873</w:t>
            </w:r>
          </w:p>
        </w:tc>
        <w:tc>
          <w:tcPr>
            <w:tcW w:w="173" w:type="dxa"/>
            <w:tcBorders/>
            <w:shd w:fill="CCEEFF" w:val="clear"/>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2,382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1,784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7,916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3,560</w:t>
            </w:r>
          </w:p>
        </w:tc>
        <w:tc>
          <w:tcPr>
            <w:tcW w:w="173" w:type="dxa"/>
            <w:tcBorders/>
            <w:vAlign w:val="center"/>
          </w:tcPr>
          <w:p>
            <w:pPr>
              <w:pStyle w:val="TableContents"/>
              <w:bidi w:val="0"/>
              <w:spacing w:before="0" w:after="283"/>
              <w:jc w:val="left"/>
              <w:rPr/>
            </w:pPr>
            <w:r>
              <w:rPr/>
              <w:t> </w:t>
            </w:r>
          </w:p>
        </w:tc>
      </w:tr>
      <w:tr>
        <w:trPr/>
        <w:tc>
          <w:tcPr>
            <w:tcW w:w="34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(278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(645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(888</w:t>
            </w:r>
          </w:p>
        </w:tc>
        <w:tc>
          <w:tcPr>
            <w:tcW w:w="173" w:type="dxa"/>
            <w:tcBorders/>
            <w:shd w:fill="CCEEFF" w:val="clear"/>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loss, net</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(2,583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(12,809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(4,776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(20,511</w:t>
            </w:r>
          </w:p>
        </w:tc>
        <w:tc>
          <w:tcPr>
            <w:tcW w:w="173" w:type="dxa"/>
            <w:tcBorders/>
            <w:vAlign w:val="center"/>
          </w:tcPr>
          <w:p>
            <w:pPr>
              <w:pStyle w:val="TableContents"/>
              <w:bidi w:val="0"/>
              <w:spacing w:before="0" w:after="283"/>
              <w:jc w:val="left"/>
              <w:rPr/>
            </w:pPr>
            <w:r>
              <w:rPr/>
              <w:t>) </w:t>
            </w:r>
          </w:p>
        </w:tc>
      </w:tr>
      <w:tr>
        <w:trPr/>
        <w:tc>
          <w:tcPr>
            <w:tcW w:w="34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603</w:t>
            </w:r>
          </w:p>
        </w:tc>
        <w:tc>
          <w:tcPr>
            <w:tcW w:w="173" w:type="dxa"/>
            <w:tcBorders/>
            <w:shd w:fill="CCEEFF" w:val="clear"/>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Loss before income tax expense</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(9,538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(21,137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(39,159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(12,363</w:t>
            </w:r>
          </w:p>
        </w:tc>
        <w:tc>
          <w:tcPr>
            <w:tcW w:w="173" w:type="dxa"/>
            <w:tcBorders/>
            <w:vAlign w:val="center"/>
          </w:tcPr>
          <w:p>
            <w:pPr>
              <w:pStyle w:val="TableContents"/>
              <w:bidi w:val="0"/>
              <w:spacing w:before="0" w:after="283"/>
              <w:jc w:val="left"/>
              <w:rPr/>
            </w:pPr>
            <w:r>
              <w:rPr/>
              <w:t>) </w:t>
            </w:r>
          </w:p>
        </w:tc>
      </w:tr>
      <w:tr>
        <w:trPr/>
        <w:tc>
          <w:tcPr>
            <w:tcW w:w="34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benefit</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(4,373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(3,942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(8,577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(1,356</w:t>
            </w:r>
          </w:p>
        </w:tc>
        <w:tc>
          <w:tcPr>
            <w:tcW w:w="173" w:type="dxa"/>
            <w:tcBorders/>
            <w:shd w:fill="CCEEFF" w:val="clear"/>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single" w:sz="2" w:space="1" w:color="000000"/>
              </w:rPr>
            </w:pPr>
            <w:r>
              <w:rPr>
                <w:bdr w:val="single" w:sz="2" w:space="1" w:color="000000"/>
              </w:rPr>
              <w:t> </w:t>
            </w:r>
          </w:p>
        </w:tc>
        <w:tc>
          <w:tcPr>
            <w:tcW w:w="130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7"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7" w:type="dxa"/>
            <w:tcBorders/>
            <w:vAlign w:val="center"/>
          </w:tcPr>
          <w:p>
            <w:pPr>
              <w:pStyle w:val="TableContents"/>
              <w:bidi w:val="0"/>
              <w:spacing w:before="0" w:after="283"/>
              <w:jc w:val="right"/>
              <w:rPr/>
            </w:pPr>
            <w:r>
              <w:rPr/>
              <w:t>(5,165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7" w:type="dxa"/>
            <w:tcBorders/>
            <w:vAlign w:val="center"/>
          </w:tcPr>
          <w:p>
            <w:pPr>
              <w:pStyle w:val="TableContents"/>
              <w:bidi w:val="0"/>
              <w:spacing w:before="0" w:after="283"/>
              <w:jc w:val="right"/>
              <w:rPr/>
            </w:pPr>
            <w:r>
              <w:rPr/>
              <w:t>(17,195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(30,582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7" w:type="dxa"/>
            <w:tcBorders/>
            <w:vAlign w:val="center"/>
          </w:tcPr>
          <w:p>
            <w:pPr>
              <w:pStyle w:val="TableContents"/>
              <w:bidi w:val="0"/>
              <w:spacing w:before="0" w:after="283"/>
              <w:jc w:val="right"/>
              <w:rPr/>
            </w:pPr>
            <w:r>
              <w:rPr/>
              <w:t>(11,007</w:t>
            </w:r>
          </w:p>
        </w:tc>
        <w:tc>
          <w:tcPr>
            <w:tcW w:w="173" w:type="dxa"/>
            <w:tcBorders/>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129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129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bdr w:val="double" w:sz="6" w:space="1" w:color="000000"/>
              </w:rPr>
            </w:pPr>
            <w:r>
              <w:rPr>
                <w:bdr w:val="double" w:sz="6" w:space="1" w:color="000000"/>
              </w:rPr>
              <w:t> </w:t>
            </w:r>
          </w:p>
        </w:tc>
        <w:tc>
          <w:tcPr>
            <w:tcW w:w="130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1297" w:type="dxa"/>
            <w:tcBorders/>
            <w:vAlign w:val="center"/>
          </w:tcPr>
          <w:p>
            <w:pPr>
              <w:pStyle w:val="TableContents"/>
              <w:bidi w:val="0"/>
              <w:spacing w:before="0" w:after="0"/>
              <w:jc w:val="left"/>
              <w:rPr>
                <w:bdr w:val="double" w:sz="6" w:space="1" w:color="000000"/>
              </w:rPr>
            </w:pPr>
            <w:r>
              <w:rPr>
                <w:bdr w:val="double" w:sz="6" w:space="1" w:color="000000"/>
              </w:rPr>
              <w:t> </w:t>
            </w:r>
          </w:p>
        </w:tc>
        <w:tc>
          <w:tcPr>
            <w:tcW w:w="173" w:type="dxa"/>
            <w:tcBorders/>
            <w:vAlign w:val="center"/>
          </w:tcPr>
          <w:p>
            <w:pPr>
              <w:pStyle w:val="TableContents"/>
              <w:bidi w:val="0"/>
              <w:spacing w:before="0" w:after="283"/>
              <w:jc w:val="left"/>
              <w:rPr/>
            </w:pPr>
            <w:r>
              <w:rPr/>
              <w:t> </w:t>
            </w:r>
          </w:p>
        </w:tc>
      </w:tr>
      <w:tr>
        <w:trPr/>
        <w:tc>
          <w:tcPr>
            <w:tcW w:w="34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loss per common share—</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297" w:type="dxa"/>
            <w:tcBorders/>
            <w:shd w:fill="CCEEFF" w:val="clear"/>
            <w:vAlign w:val="center"/>
          </w:tcPr>
          <w:p>
            <w:pPr>
              <w:pStyle w:val="TableContents"/>
              <w:bidi w:val="0"/>
              <w:spacing w:before="0" w:after="283"/>
              <w:jc w:val="right"/>
              <w:rPr/>
            </w:pPr>
            <w:r>
              <w:rPr/>
              <w:t>(0.13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297" w:type="dxa"/>
            <w:tcBorders/>
            <w:shd w:fill="CCEEFF" w:val="clear"/>
            <w:vAlign w:val="center"/>
          </w:tcPr>
          <w:p>
            <w:pPr>
              <w:pStyle w:val="TableContents"/>
              <w:bidi w:val="0"/>
              <w:spacing w:before="0" w:after="283"/>
              <w:jc w:val="right"/>
              <w:rPr/>
            </w:pPr>
            <w:r>
              <w:rPr/>
              <w:t>(0.38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1297" w:type="dxa"/>
            <w:tcBorders/>
            <w:shd w:fill="CCEEFF" w:val="clear"/>
            <w:vAlign w:val="center"/>
          </w:tcPr>
          <w:p>
            <w:pPr>
              <w:pStyle w:val="TableContents"/>
              <w:bidi w:val="0"/>
              <w:spacing w:before="0" w:after="283"/>
              <w:jc w:val="right"/>
              <w:rPr/>
            </w:pPr>
            <w:r>
              <w:rPr/>
              <w:t>(0.24</w:t>
            </w:r>
          </w:p>
        </w:tc>
        <w:tc>
          <w:tcPr>
            <w:tcW w:w="173" w:type="dxa"/>
            <w:tcBorders/>
            <w:shd w:fill="CCEEFF" w:val="clear"/>
            <w:vAlign w:val="center"/>
          </w:tcPr>
          <w:p>
            <w:pPr>
              <w:pStyle w:val="TableContents"/>
              <w:bidi w:val="0"/>
              <w:spacing w:before="0" w:after="283"/>
              <w:jc w:val="left"/>
              <w:rPr/>
            </w:pPr>
            <w:r>
              <w:rPr/>
              <w:t>) </w:t>
            </w:r>
          </w:p>
        </w:tc>
      </w:tr>
      <w:tr>
        <w:trPr/>
        <w:tc>
          <w:tcPr>
            <w:tcW w:w="34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Diluted loss per common share—</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7" w:type="dxa"/>
            <w:tcBorders/>
            <w:vAlign w:val="center"/>
          </w:tcPr>
          <w:p>
            <w:pPr>
              <w:pStyle w:val="TableContents"/>
              <w:bidi w:val="0"/>
              <w:spacing w:before="0" w:after="283"/>
              <w:jc w:val="right"/>
              <w:rPr/>
            </w:pPr>
            <w:r>
              <w:rPr/>
              <w:t>(0.13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7" w:type="dxa"/>
            <w:tcBorders/>
            <w:vAlign w:val="center"/>
          </w:tcPr>
          <w:p>
            <w:pPr>
              <w:pStyle w:val="TableContents"/>
              <w:bidi w:val="0"/>
              <w:spacing w:before="0" w:after="283"/>
              <w:jc w:val="right"/>
              <w:rPr/>
            </w:pPr>
            <w:r>
              <w:rPr/>
              <w:t>(0.38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7" w:type="dxa"/>
            <w:tcBorders/>
            <w:vAlign w:val="center"/>
          </w:tcPr>
          <w:p>
            <w:pPr>
              <w:pStyle w:val="TableContents"/>
              <w:bidi w:val="0"/>
              <w:spacing w:before="0" w:after="283"/>
              <w:jc w:val="right"/>
              <w:rPr/>
            </w:pPr>
            <w:r>
              <w:rPr/>
              <w:t>(0.24</w:t>
            </w:r>
          </w:p>
        </w:tc>
        <w:tc>
          <w:tcPr>
            <w:tcW w:w="173" w:type="dxa"/>
            <w:tcBorders/>
            <w:vAlign w:val="center"/>
          </w:tcPr>
          <w:p>
            <w:pPr>
              <w:pStyle w:val="TableContents"/>
              <w:bidi w:val="0"/>
              <w:spacing w:before="0" w:after="283"/>
              <w:jc w:val="left"/>
              <w:rPr/>
            </w:pPr>
            <w:r>
              <w:rPr/>
              <w:t>) </w:t>
            </w:r>
          </w:p>
        </w:tc>
      </w:tr>
      <w:tr>
        <w:trPr/>
        <w:tc>
          <w:tcPr>
            <w:tcW w:w="34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shares—</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sz w:val="4"/>
                <w:szCs w:val="4"/>
              </w:rPr>
            </w:pPr>
            <w:r>
              <w:rPr>
                <w:sz w:val="4"/>
                <w:szCs w:val="4"/>
              </w:rPr>
            </w:r>
          </w:p>
        </w:tc>
        <w:tc>
          <w:tcPr>
            <w:tcW w:w="1309"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4"/>
                <w:szCs w:val="4"/>
              </w:rPr>
            </w:pPr>
            <w:r>
              <w:rPr>
                <w:sz w:val="4"/>
                <w:szCs w:val="4"/>
              </w:rPr>
            </w:r>
          </w:p>
        </w:tc>
        <w:tc>
          <w:tcPr>
            <w:tcW w:w="1297"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34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40,145,290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44,865,266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41,747,255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7" w:type="dxa"/>
            <w:tcBorders/>
            <w:vAlign w:val="center"/>
          </w:tcPr>
          <w:p>
            <w:pPr>
              <w:pStyle w:val="TableContents"/>
              <w:bidi w:val="0"/>
              <w:spacing w:before="0" w:after="283"/>
              <w:jc w:val="right"/>
              <w:rPr/>
            </w:pPr>
            <w:r>
              <w:rPr/>
              <w:t>45,119,214</w:t>
            </w:r>
          </w:p>
        </w:tc>
        <w:tc>
          <w:tcPr>
            <w:tcW w:w="173" w:type="dxa"/>
            <w:tcBorders/>
            <w:vAlign w:val="center"/>
          </w:tcPr>
          <w:p>
            <w:pPr>
              <w:pStyle w:val="TableContents"/>
              <w:bidi w:val="0"/>
              <w:spacing w:before="0" w:after="283"/>
              <w:jc w:val="left"/>
              <w:rPr/>
            </w:pPr>
            <w:r>
              <w:rPr/>
              <w:t> </w:t>
            </w:r>
          </w:p>
        </w:tc>
      </w:tr>
      <w:tr>
        <w:trPr/>
        <w:tc>
          <w:tcPr>
            <w:tcW w:w="341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40,145,290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44,865,266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41,747,255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7" w:type="dxa"/>
            <w:tcBorders/>
            <w:shd w:fill="CCEEFF" w:val="clear"/>
            <w:vAlign w:val="center"/>
          </w:tcPr>
          <w:p>
            <w:pPr>
              <w:pStyle w:val="TableContents"/>
              <w:bidi w:val="0"/>
              <w:spacing w:before="0" w:after="283"/>
              <w:jc w:val="right"/>
              <w:rPr/>
            </w:pPr>
            <w:r>
              <w:rPr/>
              <w:t>45,119,214</w:t>
            </w:r>
          </w:p>
        </w:tc>
        <w:tc>
          <w:tcPr>
            <w:tcW w:w="173"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CONSOLIDATED STATEMENTS OF COMPREHENSIVE LOSS (Unaudited)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3453"/>
        <w:gridCol w:w="120"/>
        <w:gridCol w:w="259"/>
        <w:gridCol w:w="1183"/>
        <w:gridCol w:w="181"/>
        <w:gridCol w:w="70"/>
        <w:gridCol w:w="224"/>
        <w:gridCol w:w="1218"/>
        <w:gridCol w:w="155"/>
        <w:gridCol w:w="60"/>
        <w:gridCol w:w="224"/>
        <w:gridCol w:w="1218"/>
        <w:gridCol w:w="160"/>
        <w:gridCol w:w="62"/>
        <w:gridCol w:w="223"/>
        <w:gridCol w:w="1219"/>
        <w:gridCol w:w="176"/>
      </w:tblGrid>
      <w:tr>
        <w:trPr/>
        <w:tc>
          <w:tcPr>
            <w:tcW w:w="34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5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3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6"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176" w:type="dxa"/>
            <w:tcBorders/>
            <w:vAlign w:val="center"/>
          </w:tcPr>
          <w:p>
            <w:pPr>
              <w:pStyle w:val="TableContents"/>
              <w:bidi w:val="0"/>
              <w:spacing w:before="0" w:after="283"/>
              <w:jc w:val="left"/>
              <w:rPr/>
            </w:pPr>
            <w:r>
              <w:rPr/>
              <w:t> </w:t>
            </w:r>
          </w:p>
        </w:tc>
      </w:tr>
      <w:tr>
        <w:trPr/>
        <w:tc>
          <w:tcPr>
            <w:tcW w:w="345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4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42"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176" w:type="dxa"/>
            <w:tcBorders/>
            <w:vAlign w:val="center"/>
          </w:tcPr>
          <w:p>
            <w:pPr>
              <w:pStyle w:val="TableContents"/>
              <w:bidi w:val="0"/>
              <w:spacing w:before="0" w:after="283"/>
              <w:jc w:val="left"/>
              <w:rPr/>
            </w:pPr>
            <w:r>
              <w:rPr/>
              <w:t> </w:t>
            </w:r>
          </w:p>
        </w:tc>
      </w:tr>
      <w:tr>
        <w:trPr/>
        <w:tc>
          <w:tcPr>
            <w:tcW w:w="345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42"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42"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2" w:type="dxa"/>
            <w:gridSpan w:val="2"/>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442" w:type="dxa"/>
            <w:gridSpan w:val="2"/>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r>
      <w:tr>
        <w:trPr/>
        <w:tc>
          <w:tcPr>
            <w:tcW w:w="345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56" w:type="dxa"/>
            <w:gridSpan w:val="14"/>
            <w:tcBorders/>
            <w:vAlign w:val="center"/>
          </w:tcPr>
          <w:p>
            <w:pPr>
              <w:pStyle w:val="TableContents"/>
              <w:bidi w:val="0"/>
              <w:spacing w:before="0" w:after="0"/>
              <w:jc w:val="center"/>
              <w:rPr>
                <w:b/>
                <w:spacing w:val="0"/>
              </w:rPr>
            </w:pPr>
            <w:r>
              <w:rPr>
                <w:b/>
                <w:spacing w:val="0"/>
              </w:rPr>
              <w:t>(In thousands of U.S. dollars)</w:t>
            </w:r>
          </w:p>
        </w:tc>
        <w:tc>
          <w:tcPr>
            <w:tcW w:w="176" w:type="dxa"/>
            <w:tcBorders/>
            <w:vAlign w:val="center"/>
          </w:tcPr>
          <w:p>
            <w:pPr>
              <w:pStyle w:val="TableContents"/>
              <w:bidi w:val="0"/>
              <w:spacing w:before="0" w:after="283"/>
              <w:jc w:val="left"/>
              <w:rPr/>
            </w:pPr>
            <w:r>
              <w:rPr/>
              <w:t> </w:t>
            </w:r>
          </w:p>
        </w:tc>
      </w:tr>
      <w:tr>
        <w:trPr/>
        <w:tc>
          <w:tcPr>
            <w:tcW w:w="34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183" w:type="dxa"/>
            <w:tcBorders/>
            <w:shd w:fill="CCEEFF" w:val="clear"/>
            <w:vAlign w:val="center"/>
          </w:tcPr>
          <w:p>
            <w:pPr>
              <w:pStyle w:val="TableContents"/>
              <w:bidi w:val="0"/>
              <w:spacing w:before="0" w:after="283"/>
              <w:jc w:val="right"/>
              <w:rPr/>
            </w:pPr>
            <w:r>
              <w:rPr/>
              <w:t>(5,165</w:t>
            </w:r>
          </w:p>
        </w:tc>
        <w:tc>
          <w:tcPr>
            <w:tcW w:w="18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(17,195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218" w:type="dxa"/>
            <w:tcBorders/>
            <w:shd w:fill="CCEEFF" w:val="clear"/>
            <w:vAlign w:val="center"/>
          </w:tcPr>
          <w:p>
            <w:pPr>
              <w:pStyle w:val="TableContents"/>
              <w:bidi w:val="0"/>
              <w:spacing w:before="0" w:after="283"/>
              <w:jc w:val="right"/>
              <w:rPr/>
            </w:pPr>
            <w:r>
              <w:rPr/>
              <w:t>(30,582</w:t>
            </w:r>
          </w:p>
        </w:tc>
        <w:tc>
          <w:tcPr>
            <w:tcW w:w="1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219" w:type="dxa"/>
            <w:tcBorders/>
            <w:shd w:fill="CCEEFF" w:val="clear"/>
            <w:vAlign w:val="center"/>
          </w:tcPr>
          <w:p>
            <w:pPr>
              <w:pStyle w:val="TableContents"/>
              <w:bidi w:val="0"/>
              <w:spacing w:before="0" w:after="283"/>
              <w:jc w:val="right"/>
              <w:rPr/>
            </w:pPr>
            <w:r>
              <w:rPr/>
              <w:t>(11,007</w:t>
            </w:r>
          </w:p>
        </w:tc>
        <w:tc>
          <w:tcPr>
            <w:tcW w:w="176" w:type="dxa"/>
            <w:tcBorders/>
            <w:shd w:fill="CCEEFF" w:val="clear"/>
            <w:vAlign w:val="center"/>
          </w:tcPr>
          <w:p>
            <w:pPr>
              <w:pStyle w:val="TableContents"/>
              <w:bidi w:val="0"/>
              <w:spacing w:before="0" w:after="283"/>
              <w:jc w:val="left"/>
              <w:rPr/>
            </w:pPr>
            <w:r>
              <w:rPr/>
              <w:t>) </w:t>
            </w:r>
          </w:p>
        </w:tc>
      </w:tr>
      <w:tr>
        <w:trPr/>
        <w:tc>
          <w:tcPr>
            <w:tcW w:w="34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jc w:val="left"/>
              <w:rPr>
                <w:bdr w:val="single" w:sz="2" w:space="1" w:color="000000"/>
              </w:rPr>
            </w:pPr>
            <w:r>
              <w:rPr>
                <w:bdr w:val="single" w:sz="2" w:space="1" w:color="000000"/>
              </w:rPr>
              <w:t> </w:t>
            </w:r>
          </w:p>
        </w:tc>
        <w:tc>
          <w:tcPr>
            <w:tcW w:w="1183" w:type="dxa"/>
            <w:tcBorders/>
            <w:vAlign w:val="center"/>
          </w:tcPr>
          <w:p>
            <w:pPr>
              <w:pStyle w:val="TableContents"/>
              <w:bidi w:val="0"/>
              <w:spacing w:before="0" w:after="0"/>
              <w:jc w:val="left"/>
              <w:rPr>
                <w:bdr w:val="single" w:sz="2" w:space="1" w:color="000000"/>
              </w:rPr>
            </w:pPr>
            <w:r>
              <w:rPr>
                <w:bdr w:val="single" w:sz="2" w:space="1" w:color="000000"/>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single" w:sz="2" w:space="1" w:color="000000"/>
              </w:rPr>
            </w:pPr>
            <w:r>
              <w:rPr>
                <w:bdr w:val="single" w:sz="2" w:space="1" w:color="000000"/>
              </w:rPr>
              <w:t> </w:t>
            </w:r>
          </w:p>
        </w:tc>
        <w:tc>
          <w:tcPr>
            <w:tcW w:w="1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34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(1,847</w:t>
            </w:r>
          </w:p>
        </w:tc>
        <w:tc>
          <w:tcPr>
            <w:tcW w:w="18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(5,974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(6,040</w:t>
            </w:r>
          </w:p>
        </w:tc>
        <w:tc>
          <w:tcPr>
            <w:tcW w:w="1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(15,881</w:t>
            </w:r>
          </w:p>
        </w:tc>
        <w:tc>
          <w:tcPr>
            <w:tcW w:w="176" w:type="dxa"/>
            <w:tcBorders/>
            <w:shd w:fill="CCEEFF" w:val="clear"/>
            <w:vAlign w:val="center"/>
          </w:tcPr>
          <w:p>
            <w:pPr>
              <w:pStyle w:val="TableContents"/>
              <w:bidi w:val="0"/>
              <w:spacing w:before="0" w:after="283"/>
              <w:jc w:val="left"/>
              <w:rPr/>
            </w:pPr>
            <w:r>
              <w:rPr/>
              <w:t>) </w:t>
            </w:r>
          </w:p>
        </w:tc>
      </w:tr>
      <w:tr>
        <w:trPr/>
        <w:tc>
          <w:tcPr>
            <w:tcW w:w="34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adjustments</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valuation of derivatives</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(1,013</w:t>
            </w:r>
          </w:p>
        </w:tc>
        <w:tc>
          <w:tcPr>
            <w:tcW w:w="18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(11,757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(2,523</w:t>
            </w:r>
          </w:p>
        </w:tc>
        <w:tc>
          <w:tcPr>
            <w:tcW w:w="1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(19,498</w:t>
            </w:r>
          </w:p>
        </w:tc>
        <w:tc>
          <w:tcPr>
            <w:tcW w:w="176" w:type="dxa"/>
            <w:tcBorders/>
            <w:shd w:fill="CCEEFF" w:val="clear"/>
            <w:vAlign w:val="center"/>
          </w:tcPr>
          <w:p>
            <w:pPr>
              <w:pStyle w:val="TableContents"/>
              <w:bidi w:val="0"/>
              <w:spacing w:before="0" w:after="283"/>
              <w:jc w:val="left"/>
              <w:rPr/>
            </w:pPr>
            <w:r>
              <w:rPr/>
              <w:t>) </w:t>
            </w:r>
          </w:p>
        </w:tc>
      </w:tr>
      <w:tr>
        <w:trPr/>
        <w:tc>
          <w:tcPr>
            <w:tcW w:w="34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Reclassification adjustment for loss on derivatives included in net loss</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698</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right"/>
              <w:rPr/>
            </w:pPr>
            <w:r>
              <w:rPr/>
              <w:t>2,820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1218" w:type="dxa"/>
            <w:tcBorders/>
            <w:vAlign w:val="center"/>
          </w:tcPr>
          <w:p>
            <w:pPr>
              <w:pStyle w:val="TableContents"/>
              <w:bidi w:val="0"/>
              <w:spacing w:before="0" w:after="283"/>
              <w:jc w:val="right"/>
              <w:rPr/>
            </w:pPr>
            <w:r>
              <w:rPr/>
              <w:t>2,544</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pPr>
            <w:r>
              <w:rPr/>
              <w:t>5,378</w:t>
            </w:r>
          </w:p>
        </w:tc>
        <w:tc>
          <w:tcPr>
            <w:tcW w:w="176" w:type="dxa"/>
            <w:tcBorders/>
            <w:vAlign w:val="center"/>
          </w:tcPr>
          <w:p>
            <w:pPr>
              <w:pStyle w:val="TableContents"/>
              <w:bidi w:val="0"/>
              <w:spacing w:before="0" w:after="283"/>
              <w:jc w:val="left"/>
              <w:rPr/>
            </w:pPr>
            <w:r>
              <w:rPr/>
              <w:t> </w:t>
            </w:r>
          </w:p>
        </w:tc>
      </w:tr>
      <w:tr>
        <w:trPr/>
        <w:tc>
          <w:tcPr>
            <w:tcW w:w="34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jc w:val="left"/>
              <w:rPr>
                <w:bdr w:val="single" w:sz="2" w:space="1" w:color="000000"/>
              </w:rPr>
            </w:pPr>
            <w:r>
              <w:rPr>
                <w:bdr w:val="single" w:sz="2" w:space="1" w:color="000000"/>
              </w:rPr>
              <w:t> </w:t>
            </w:r>
          </w:p>
        </w:tc>
        <w:tc>
          <w:tcPr>
            <w:tcW w:w="1183" w:type="dxa"/>
            <w:tcBorders/>
            <w:vAlign w:val="center"/>
          </w:tcPr>
          <w:p>
            <w:pPr>
              <w:pStyle w:val="TableContents"/>
              <w:bidi w:val="0"/>
              <w:spacing w:before="0" w:after="0"/>
              <w:jc w:val="left"/>
              <w:rPr>
                <w:bdr w:val="single" w:sz="2" w:space="1" w:color="000000"/>
              </w:rPr>
            </w:pPr>
            <w:r>
              <w:rPr>
                <w:bdr w:val="single" w:sz="2" w:space="1" w:color="000000"/>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single" w:sz="2" w:space="1" w:color="000000"/>
              </w:rPr>
            </w:pPr>
            <w:r>
              <w:rPr>
                <w:bdr w:val="single" w:sz="2" w:space="1" w:color="000000"/>
              </w:rPr>
              <w:t> </w:t>
            </w:r>
          </w:p>
        </w:tc>
        <w:tc>
          <w:tcPr>
            <w:tcW w:w="1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345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other comprehensive loss</w:t>
            </w:r>
          </w:p>
        </w:tc>
        <w:tc>
          <w:tcPr>
            <w:tcW w:w="12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(2,162</w:t>
            </w:r>
          </w:p>
        </w:tc>
        <w:tc>
          <w:tcPr>
            <w:tcW w:w="18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(14,911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(6,019</w:t>
            </w:r>
          </w:p>
        </w:tc>
        <w:tc>
          <w:tcPr>
            <w:tcW w:w="1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(30,001</w:t>
            </w:r>
          </w:p>
        </w:tc>
        <w:tc>
          <w:tcPr>
            <w:tcW w:w="176" w:type="dxa"/>
            <w:tcBorders/>
            <w:shd w:fill="CCEEFF" w:val="clear"/>
            <w:vAlign w:val="center"/>
          </w:tcPr>
          <w:p>
            <w:pPr>
              <w:pStyle w:val="TableContents"/>
              <w:bidi w:val="0"/>
              <w:spacing w:before="0" w:after="283"/>
              <w:jc w:val="left"/>
              <w:rPr/>
            </w:pPr>
            <w:r>
              <w:rPr/>
              <w:t>) </w:t>
            </w:r>
          </w:p>
        </w:tc>
      </w:tr>
      <w:tr>
        <w:trPr/>
        <w:tc>
          <w:tcPr>
            <w:tcW w:w="34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jc w:val="left"/>
              <w:rPr>
                <w:bdr w:val="single" w:sz="2" w:space="1" w:color="000000"/>
              </w:rPr>
            </w:pPr>
            <w:r>
              <w:rPr>
                <w:bdr w:val="single" w:sz="2" w:space="1" w:color="000000"/>
              </w:rPr>
              <w:t> </w:t>
            </w:r>
          </w:p>
        </w:tc>
        <w:tc>
          <w:tcPr>
            <w:tcW w:w="1183" w:type="dxa"/>
            <w:tcBorders/>
            <w:vAlign w:val="center"/>
          </w:tcPr>
          <w:p>
            <w:pPr>
              <w:pStyle w:val="TableContents"/>
              <w:bidi w:val="0"/>
              <w:spacing w:before="0" w:after="0"/>
              <w:jc w:val="left"/>
              <w:rPr>
                <w:bdr w:val="single" w:sz="2" w:space="1" w:color="000000"/>
              </w:rPr>
            </w:pPr>
            <w:r>
              <w:rPr>
                <w:bdr w:val="single" w:sz="2" w:space="1" w:color="000000"/>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single" w:sz="2" w:space="1" w:color="000000"/>
              </w:rPr>
            </w:pPr>
            <w:r>
              <w:rPr>
                <w:bdr w:val="single" w:sz="2" w:space="1" w:color="000000"/>
              </w:rPr>
              <w:t> </w:t>
            </w:r>
          </w:p>
        </w:tc>
        <w:tc>
          <w:tcPr>
            <w:tcW w:w="1219" w:type="dxa"/>
            <w:tcBorders/>
            <w:vAlign w:val="center"/>
          </w:tcPr>
          <w:p>
            <w:pPr>
              <w:pStyle w:val="TableContents"/>
              <w:bidi w:val="0"/>
              <w:spacing w:before="0" w:after="0"/>
              <w:jc w:val="left"/>
              <w:rPr>
                <w:bdr w:val="single" w:sz="2" w:space="1" w:color="000000"/>
              </w:rPr>
            </w:pPr>
            <w:r>
              <w:rPr>
                <w:bdr w:val="single" w:sz="2" w:space="1" w:color="000000"/>
              </w:rPr>
              <w:t> </w:t>
            </w:r>
          </w:p>
        </w:tc>
        <w:tc>
          <w:tcPr>
            <w:tcW w:w="176" w:type="dxa"/>
            <w:tcBorders/>
            <w:vAlign w:val="center"/>
          </w:tcPr>
          <w:p>
            <w:pPr>
              <w:pStyle w:val="TableContents"/>
              <w:bidi w:val="0"/>
              <w:spacing w:before="0" w:after="283"/>
              <w:jc w:val="left"/>
              <w:rPr/>
            </w:pPr>
            <w:r>
              <w:rPr/>
              <w:t> </w:t>
            </w:r>
          </w:p>
        </w:tc>
      </w:tr>
      <w:tr>
        <w:trPr/>
        <w:tc>
          <w:tcPr>
            <w:tcW w:w="34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comprehensive loss</w:t>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w:t>
            </w:r>
          </w:p>
        </w:tc>
        <w:tc>
          <w:tcPr>
            <w:tcW w:w="1183" w:type="dxa"/>
            <w:tcBorders/>
            <w:vAlign w:val="center"/>
          </w:tcPr>
          <w:p>
            <w:pPr>
              <w:pStyle w:val="TableContents"/>
              <w:bidi w:val="0"/>
              <w:spacing w:before="0" w:after="283"/>
              <w:jc w:val="right"/>
              <w:rPr/>
            </w:pPr>
            <w:r>
              <w:rPr/>
              <w:t>(7,327</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w:t>
            </w:r>
          </w:p>
        </w:tc>
        <w:tc>
          <w:tcPr>
            <w:tcW w:w="1218" w:type="dxa"/>
            <w:tcBorders/>
            <w:vAlign w:val="center"/>
          </w:tcPr>
          <w:p>
            <w:pPr>
              <w:pStyle w:val="TableContents"/>
              <w:bidi w:val="0"/>
              <w:spacing w:before="0" w:after="283"/>
              <w:jc w:val="right"/>
              <w:rPr/>
            </w:pPr>
            <w:r>
              <w:rPr/>
              <w:t>(32,106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w:t>
            </w:r>
          </w:p>
        </w:tc>
        <w:tc>
          <w:tcPr>
            <w:tcW w:w="1218" w:type="dxa"/>
            <w:tcBorders/>
            <w:vAlign w:val="center"/>
          </w:tcPr>
          <w:p>
            <w:pPr>
              <w:pStyle w:val="TableContents"/>
              <w:bidi w:val="0"/>
              <w:spacing w:before="0" w:after="283"/>
              <w:jc w:val="right"/>
              <w:rPr/>
            </w:pPr>
            <w:r>
              <w:rPr/>
              <w:t>(36,601</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w:t>
            </w:r>
          </w:p>
        </w:tc>
        <w:tc>
          <w:tcPr>
            <w:tcW w:w="1219" w:type="dxa"/>
            <w:tcBorders/>
            <w:vAlign w:val="center"/>
          </w:tcPr>
          <w:p>
            <w:pPr>
              <w:pStyle w:val="TableContents"/>
              <w:bidi w:val="0"/>
              <w:spacing w:before="0" w:after="283"/>
              <w:jc w:val="right"/>
              <w:rPr/>
            </w:pPr>
            <w:r>
              <w:rPr/>
              <w:t>(41,008</w:t>
            </w:r>
          </w:p>
        </w:tc>
        <w:tc>
          <w:tcPr>
            <w:tcW w:w="176" w:type="dxa"/>
            <w:tcBorders/>
            <w:vAlign w:val="center"/>
          </w:tcPr>
          <w:p>
            <w:pPr>
              <w:pStyle w:val="TableContents"/>
              <w:bidi w:val="0"/>
              <w:spacing w:before="0" w:after="283"/>
              <w:jc w:val="left"/>
              <w:rPr/>
            </w:pPr>
            <w:r>
              <w:rPr/>
              <w:t>) </w:t>
            </w:r>
          </w:p>
        </w:tc>
      </w:tr>
      <w:tr>
        <w:trPr/>
        <w:tc>
          <w:tcPr>
            <w:tcW w:w="34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0"/>
              <w:jc w:val="left"/>
              <w:rPr>
                <w:bdr w:val="double" w:sz="6" w:space="1" w:color="000000"/>
              </w:rPr>
            </w:pPr>
            <w:r>
              <w:rPr>
                <w:bdr w:val="double" w:sz="6" w:space="1" w:color="000000"/>
              </w:rPr>
              <w:t> </w:t>
            </w:r>
          </w:p>
        </w:tc>
        <w:tc>
          <w:tcPr>
            <w:tcW w:w="1183" w:type="dxa"/>
            <w:tcBorders/>
            <w:vAlign w:val="center"/>
          </w:tcPr>
          <w:p>
            <w:pPr>
              <w:pStyle w:val="TableContents"/>
              <w:bidi w:val="0"/>
              <w:spacing w:before="0" w:after="0"/>
              <w:jc w:val="left"/>
              <w:rPr>
                <w:bdr w:val="double" w:sz="6" w:space="1" w:color="000000"/>
              </w:rPr>
            </w:pPr>
            <w:r>
              <w:rPr>
                <w:bdr w:val="double" w:sz="6" w:space="1" w:color="000000"/>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double" w:sz="6" w:space="1" w:color="000000"/>
              </w:rPr>
            </w:pPr>
            <w:r>
              <w:rPr>
                <w:bdr w:val="double" w:sz="6" w:space="1" w:color="000000"/>
              </w:rPr>
              <w:t> </w:t>
            </w:r>
          </w:p>
        </w:tc>
        <w:tc>
          <w:tcPr>
            <w:tcW w:w="121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0"/>
              <w:jc w:val="left"/>
              <w:rPr>
                <w:bdr w:val="double" w:sz="6" w:space="1" w:color="000000"/>
              </w:rPr>
            </w:pPr>
            <w:r>
              <w:rPr>
                <w:bdr w:val="double" w:sz="6" w:space="1" w:color="000000"/>
              </w:rPr>
              <w:t> </w:t>
            </w:r>
          </w:p>
        </w:tc>
        <w:tc>
          <w:tcPr>
            <w:tcW w:w="1218" w:type="dxa"/>
            <w:tcBorders/>
            <w:vAlign w:val="center"/>
          </w:tcPr>
          <w:p>
            <w:pPr>
              <w:pStyle w:val="TableContents"/>
              <w:bidi w:val="0"/>
              <w:spacing w:before="0" w:after="0"/>
              <w:jc w:val="left"/>
              <w:rPr>
                <w:bdr w:val="double" w:sz="6" w:space="1" w:color="000000"/>
              </w:rPr>
            </w:pPr>
            <w:r>
              <w:rPr>
                <w:bdr w:val="double" w:sz="6" w:space="1" w:color="000000"/>
              </w:rPr>
              <w:t> </w:t>
            </w:r>
          </w:p>
        </w:tc>
        <w:tc>
          <w:tcPr>
            <w:tcW w:w="1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jc w:val="left"/>
              <w:rPr>
                <w:bdr w:val="double" w:sz="6" w:space="1" w:color="000000"/>
              </w:rPr>
            </w:pPr>
            <w:r>
              <w:rPr>
                <w:bdr w:val="double" w:sz="6" w:space="1" w:color="000000"/>
              </w:rPr>
              <w:t> </w:t>
            </w:r>
          </w:p>
        </w:tc>
        <w:tc>
          <w:tcPr>
            <w:tcW w:w="1219" w:type="dxa"/>
            <w:tcBorders/>
            <w:vAlign w:val="center"/>
          </w:tcPr>
          <w:p>
            <w:pPr>
              <w:pStyle w:val="TableContents"/>
              <w:bidi w:val="0"/>
              <w:spacing w:before="0" w:after="0"/>
              <w:jc w:val="left"/>
              <w:rPr>
                <w:bdr w:val="double" w:sz="6" w:space="1" w:color="000000"/>
              </w:rPr>
            </w:pPr>
            <w:r>
              <w:rPr>
                <w:bdr w:val="double" w:sz="6" w:space="1" w:color="000000"/>
              </w:rPr>
              <w:t> </w:t>
            </w:r>
          </w:p>
        </w:tc>
        <w:tc>
          <w:tcPr>
            <w:tcW w:w="176"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CONSOLIDATED STATEMENTS OF CHANGES IN STOCKHOLDERS’ EQUITY (Unaudited) </w:t>
      </w:r>
    </w:p>
    <w:p>
      <w:pPr>
        <w:pStyle w:val="TextBody"/>
        <w:bidi w:val="0"/>
        <w:spacing w:before="0" w:after="0"/>
        <w:jc w:val="left"/>
        <w:rPr>
          <w:shd w:fill="FFFFFF" w:val="clear"/>
        </w:rPr>
      </w:pPr>
      <w:r>
        <w:rPr>
          <w:shd w:fill="FFFFFF" w:val="clear"/>
        </w:rPr>
        <w:t> </w:t>
      </w:r>
    </w:p>
    <w:p>
      <w:pPr>
        <w:pStyle w:val="TextBody"/>
        <w:bidi w:val="0"/>
        <w:spacing w:before="0" w:after="0"/>
        <w:jc w:val="left"/>
        <w:rPr>
          <w:sz w:val="24"/>
        </w:rPr>
      </w:pPr>
      <w:r>
        <w:rPr>
          <w:sz w:val="24"/>
        </w:rPr>
      </w:r>
    </w:p>
    <w:tbl>
      <w:tblPr>
        <w:tblW w:w="12625" w:type="dxa"/>
        <w:jc w:val="left"/>
        <w:tblInd w:w="0" w:type="dxa"/>
        <w:tblLayout w:type="fixed"/>
        <w:tblCellMar>
          <w:top w:w="0" w:type="dxa"/>
          <w:left w:w="0" w:type="dxa"/>
          <w:bottom w:w="0" w:type="dxa"/>
          <w:right w:w="0" w:type="dxa"/>
        </w:tblCellMar>
      </w:tblPr>
      <w:tblGrid>
        <w:gridCol w:w="3455"/>
        <w:gridCol w:w="120"/>
        <w:gridCol w:w="60"/>
        <w:gridCol w:w="1100"/>
        <w:gridCol w:w="155"/>
        <w:gridCol w:w="60"/>
        <w:gridCol w:w="231"/>
        <w:gridCol w:w="629"/>
        <w:gridCol w:w="60"/>
        <w:gridCol w:w="120"/>
        <w:gridCol w:w="163"/>
        <w:gridCol w:w="937"/>
        <w:gridCol w:w="155"/>
        <w:gridCol w:w="60"/>
        <w:gridCol w:w="140"/>
        <w:gridCol w:w="800"/>
        <w:gridCol w:w="155"/>
        <w:gridCol w:w="60"/>
        <w:gridCol w:w="140"/>
        <w:gridCol w:w="875"/>
        <w:gridCol w:w="155"/>
        <w:gridCol w:w="60"/>
        <w:gridCol w:w="251"/>
        <w:gridCol w:w="1359"/>
        <w:gridCol w:w="155"/>
        <w:gridCol w:w="60"/>
        <w:gridCol w:w="140"/>
        <w:gridCol w:w="800"/>
        <w:gridCol w:w="170"/>
      </w:tblGrid>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vMerge w:val="restart"/>
            <w:tcBorders/>
            <w:vAlign w:val="center"/>
          </w:tcPr>
          <w:p>
            <w:pPr>
              <w:pStyle w:val="TableContents"/>
              <w:bidi w:val="0"/>
              <w:spacing w:before="0" w:after="0"/>
              <w:jc w:val="left"/>
              <w:rPr/>
            </w:pPr>
            <w:r>
              <w:rPr/>
              <w:t>  </w:t>
            </w:r>
          </w:p>
        </w:tc>
        <w:tc>
          <w:tcPr>
            <w:tcW w:w="1100" w:type="dxa"/>
            <w:gridSpan w:val="2"/>
            <w:vMerge w:val="restart"/>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155" w:type="dxa"/>
            <w:vMerge w:val="restart"/>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40" w:type="dxa"/>
            <w:gridSpan w:val="2"/>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015" w:type="dxa"/>
            <w:gridSpan w:val="2"/>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vMerge w:val="restart"/>
            <w:tcBorders/>
            <w:vAlign w:val="center"/>
          </w:tcPr>
          <w:p>
            <w:pPr>
              <w:pStyle w:val="TableContents"/>
              <w:bidi w:val="0"/>
              <w:spacing w:before="0" w:after="0"/>
              <w:jc w:val="left"/>
              <w:rPr/>
            </w:pPr>
            <w:r>
              <w:rPr/>
              <w:t> </w:t>
            </w:r>
          </w:p>
        </w:tc>
        <w:tc>
          <w:tcPr>
            <w:tcW w:w="1610" w:type="dxa"/>
            <w:gridSpan w:val="2"/>
            <w:vMerge w:val="restart"/>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Other</w:t>
            </w:r>
          </w:p>
          <w:p>
            <w:pPr>
              <w:pStyle w:val="TableContents"/>
              <w:bidi w:val="0"/>
              <w:spacing w:before="0" w:after="0"/>
              <w:jc w:val="center"/>
              <w:rPr/>
            </w:pPr>
            <w:r>
              <w:rPr/>
            </w:r>
          </w:p>
          <w:p>
            <w:pPr>
              <w:pStyle w:val="TableContents"/>
              <w:bidi w:val="0"/>
              <w:spacing w:before="0" w:after="0"/>
              <w:jc w:val="center"/>
              <w:rPr>
                <w:b/>
                <w:spacing w:val="0"/>
              </w:rPr>
            </w:pPr>
            <w:r>
              <w:rPr>
                <w:b/>
                <w:spacing w:val="0"/>
              </w:rP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Loss</w:t>
            </w:r>
          </w:p>
        </w:tc>
        <w:tc>
          <w:tcPr>
            <w:tcW w:w="155" w:type="dxa"/>
            <w:vMerge w:val="restart"/>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40" w:type="dxa"/>
            <w:gridSpan w:val="2"/>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r>
      <w:tr>
        <w:trPr/>
        <w:tc>
          <w:tcPr>
            <w:tcW w:w="34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235" w:type="dxa"/>
            <w:gridSpan w:val="6"/>
            <w:tcBorders>
              <w:bottom w:val="single" w:sz="8" w:space="0" w:color="000000"/>
            </w:tcBorders>
            <w:tcMar>
              <w:bottom w:w="28" w:type="dxa"/>
            </w:tcMar>
            <w:vAlign w:val="center"/>
          </w:tcPr>
          <w:p>
            <w:pPr>
              <w:pStyle w:val="TableContents"/>
              <w:bidi w:val="0"/>
              <w:spacing w:before="0" w:after="0"/>
              <w:jc w:val="center"/>
              <w:rPr>
                <w:b/>
                <w:spacing w:val="0"/>
                <w:sz w:val="16"/>
              </w:rPr>
            </w:pPr>
            <w:r>
              <w:rPr>
                <w:b/>
                <w:spacing w:val="0"/>
                <w:sz w:val="16"/>
              </w:rPr>
              <w:t>Common Stock</w:t>
            </w:r>
          </w:p>
        </w:tc>
        <w:tc>
          <w:tcPr>
            <w:tcW w:w="60" w:type="dxa"/>
            <w:tcBorders/>
            <w:vAlign w:val="center"/>
          </w:tcPr>
          <w:p>
            <w:pPr>
              <w:pStyle w:val="TableContents"/>
              <w:bidi w:val="0"/>
              <w:spacing w:before="0" w:after="0"/>
              <w:jc w:val="left"/>
              <w:rPr/>
            </w:pPr>
            <w:r>
              <w:rPr/>
              <w:t> </w:t>
            </w:r>
          </w:p>
        </w:tc>
        <w:tc>
          <w:tcPr>
            <w:tcW w:w="120" w:type="dxa"/>
            <w:vMerge w:val="continue"/>
            <w:tcBorders/>
            <w:vAlign w:val="center"/>
          </w:tcPr>
          <w:p>
            <w:pPr>
              <w:pStyle w:val="Normal"/>
              <w:bidi w:val="0"/>
              <w:jc w:val="left"/>
              <w:rPr/>
            </w:pPr>
            <w:r>
              <w:rPr/>
            </w:r>
          </w:p>
        </w:tc>
        <w:tc>
          <w:tcPr>
            <w:tcW w:w="110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0"/>
              <w:jc w:val="left"/>
              <w:rPr/>
            </w:pPr>
            <w:r>
              <w:rPr/>
              <w:t> </w:t>
            </w:r>
          </w:p>
        </w:tc>
        <w:tc>
          <w:tcPr>
            <w:tcW w:w="940" w:type="dxa"/>
            <w:gridSpan w:val="2"/>
            <w:vMerge w:val="restart"/>
            <w:tcBorders/>
            <w:vAlign w:val="center"/>
          </w:tcPr>
          <w:p>
            <w:pPr>
              <w:pStyle w:val="TableContents"/>
              <w:bidi w:val="0"/>
              <w:spacing w:before="0" w:after="0"/>
              <w:jc w:val="center"/>
              <w:rPr>
                <w:b/>
                <w:spacing w:val="0"/>
                <w:sz w:val="16"/>
              </w:rPr>
            </w:pPr>
            <w:r>
              <w:rPr>
                <w:b/>
                <w:spacing w:val="0"/>
                <w:sz w:val="16"/>
              </w:rPr>
              <w:t>Retained</w:t>
            </w:r>
          </w:p>
          <w:p>
            <w:pPr>
              <w:pStyle w:val="TableContents"/>
              <w:bidi w:val="0"/>
              <w:spacing w:before="0" w:after="0"/>
              <w:jc w:val="center"/>
              <w:rPr/>
            </w:pPr>
            <w:r>
              <w:rPr/>
            </w:r>
          </w:p>
          <w:p>
            <w:pPr>
              <w:pStyle w:val="TableContents"/>
              <w:bidi w:val="0"/>
              <w:spacing w:before="0" w:after="0"/>
              <w:jc w:val="center"/>
              <w:rPr>
                <w:b/>
                <w:spacing w:val="0"/>
                <w:sz w:val="16"/>
              </w:rPr>
            </w:pPr>
            <w:r>
              <w:rPr>
                <w:b/>
                <w:spacing w:val="0"/>
                <w:sz w:val="16"/>
              </w:rPr>
              <w:t>Earnings</w:t>
            </w:r>
          </w:p>
        </w:tc>
        <w:tc>
          <w:tcPr>
            <w:tcW w:w="155" w:type="dxa"/>
            <w:vMerge w:val="restart"/>
            <w:tcBorders/>
            <w:vAlign w:val="center"/>
          </w:tcPr>
          <w:p>
            <w:pPr>
              <w:pStyle w:val="TableContents"/>
              <w:bidi w:val="0"/>
              <w:spacing w:before="0" w:after="0"/>
              <w:jc w:val="left"/>
              <w:rPr/>
            </w:pPr>
            <w:r>
              <w:rPr/>
              <w:t> </w:t>
            </w:r>
          </w:p>
        </w:tc>
        <w:tc>
          <w:tcPr>
            <w:tcW w:w="60" w:type="dxa"/>
            <w:vMerge w:val="restart"/>
            <w:tcBorders/>
            <w:vAlign w:val="center"/>
          </w:tcPr>
          <w:p>
            <w:pPr>
              <w:pStyle w:val="TableContents"/>
              <w:bidi w:val="0"/>
              <w:spacing w:before="0" w:after="0"/>
              <w:jc w:val="left"/>
              <w:rPr/>
            </w:pPr>
            <w:r>
              <w:rPr/>
              <w:t> </w:t>
            </w:r>
          </w:p>
        </w:tc>
        <w:tc>
          <w:tcPr>
            <w:tcW w:w="1015" w:type="dxa"/>
            <w:gridSpan w:val="2"/>
            <w:vMerge w:val="restart"/>
            <w:tcBorders/>
            <w:vAlign w:val="center"/>
          </w:tcPr>
          <w:p>
            <w:pPr>
              <w:pStyle w:val="TableContents"/>
              <w:bidi w:val="0"/>
              <w:spacing w:before="0" w:after="0"/>
              <w:jc w:val="center"/>
              <w:rPr>
                <w:b/>
                <w:spacing w:val="0"/>
                <w:sz w:val="16"/>
              </w:rPr>
            </w:pPr>
            <w:r>
              <w:rPr>
                <w:b/>
                <w:spacing w:val="0"/>
                <w:sz w:val="16"/>
              </w:rPr>
              <w:t>Treasury</w:t>
            </w:r>
          </w:p>
          <w:p>
            <w:pPr>
              <w:pStyle w:val="TableContents"/>
              <w:bidi w:val="0"/>
              <w:spacing w:before="0" w:after="0"/>
              <w:jc w:val="center"/>
              <w:rPr/>
            </w:pPr>
            <w:r>
              <w:rPr/>
            </w:r>
          </w:p>
          <w:p>
            <w:pPr>
              <w:pStyle w:val="TableContents"/>
              <w:bidi w:val="0"/>
              <w:spacing w:before="0" w:after="0"/>
              <w:jc w:val="center"/>
              <w:rPr>
                <w:b/>
                <w:spacing w:val="0"/>
                <w:sz w:val="16"/>
              </w:rPr>
            </w:pPr>
            <w:r>
              <w:rPr>
                <w:b/>
                <w:spacing w:val="0"/>
                <w:sz w:val="16"/>
              </w:rPr>
              <w:t>Stock</w:t>
            </w:r>
          </w:p>
        </w:tc>
        <w:tc>
          <w:tcPr>
            <w:tcW w:w="155" w:type="dxa"/>
            <w:vMerge w:val="restart"/>
            <w:tcBorders/>
            <w:vAlign w:val="center"/>
          </w:tcPr>
          <w:p>
            <w:pPr>
              <w:pStyle w:val="TableContents"/>
              <w:bidi w:val="0"/>
              <w:spacing w:before="0" w:after="0"/>
              <w:jc w:val="left"/>
              <w:rPr/>
            </w:pPr>
            <w:r>
              <w:rPr/>
              <w:t> </w:t>
            </w:r>
          </w:p>
        </w:tc>
        <w:tc>
          <w:tcPr>
            <w:tcW w:w="60" w:type="dxa"/>
            <w:vMerge w:val="continue"/>
            <w:tcBorders/>
            <w:vAlign w:val="center"/>
          </w:tcPr>
          <w:p>
            <w:pPr>
              <w:pStyle w:val="Normal"/>
              <w:bidi w:val="0"/>
              <w:jc w:val="left"/>
              <w:rPr/>
            </w:pPr>
            <w:r>
              <w:rPr/>
            </w:r>
          </w:p>
        </w:tc>
        <w:tc>
          <w:tcPr>
            <w:tcW w:w="161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0"/>
              <w:jc w:val="left"/>
              <w:rPr/>
            </w:pPr>
            <w:r>
              <w:rPr/>
              <w:t> </w:t>
            </w:r>
          </w:p>
        </w:tc>
        <w:tc>
          <w:tcPr>
            <w:tcW w:w="9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sz w:val="16"/>
              </w:rPr>
            </w:pPr>
            <w:r>
              <w:rPr>
                <w:b/>
                <w:spacing w:val="0"/>
                <w:sz w:val="16"/>
              </w:rPr>
              <w:t>Total</w:t>
            </w:r>
          </w:p>
        </w:tc>
        <w:tc>
          <w:tcPr>
            <w:tcW w:w="170" w:type="dxa"/>
            <w:vMerge w:val="restart"/>
            <w:tcBorders/>
            <w:vAlign w:val="center"/>
          </w:tcPr>
          <w:p>
            <w:pPr>
              <w:pStyle w:val="TableContents"/>
              <w:bidi w:val="0"/>
              <w:spacing w:before="0" w:after="0"/>
              <w:jc w:val="left"/>
              <w:rPr/>
            </w:pPr>
            <w:r>
              <w:rPr/>
              <w:t> </w:t>
            </w:r>
          </w:p>
        </w:tc>
      </w:tr>
      <w:tr>
        <w:trPr/>
        <w:tc>
          <w:tcPr>
            <w:tcW w:w="345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(In thousands of U.S. dollars, except share data)</w:t>
            </w:r>
          </w:p>
        </w:tc>
        <w:tc>
          <w:tcPr>
            <w:tcW w:w="12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pPr>
            <w:r>
              <w:rPr/>
              <w:t> </w:t>
            </w:r>
          </w:p>
        </w:tc>
        <w:tc>
          <w:tcPr>
            <w:tcW w:w="120" w:type="dxa"/>
            <w:vMerge w:val="continue"/>
            <w:tcBorders/>
            <w:vAlign w:val="center"/>
          </w:tcPr>
          <w:p>
            <w:pPr>
              <w:pStyle w:val="Normal"/>
              <w:bidi w:val="0"/>
              <w:jc w:val="left"/>
              <w:rPr/>
            </w:pPr>
            <w:r>
              <w:rPr/>
            </w:r>
          </w:p>
        </w:tc>
        <w:tc>
          <w:tcPr>
            <w:tcW w:w="110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4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015"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4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Three Months Ended September 30,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June 30,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40,133,898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269,297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310,089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(199,248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(16,410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364,292</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2,171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2,171</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205,595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(47</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(671,498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(5,397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(5,397</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(2,162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(2,162</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(5,165</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September 30, 2023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39,667,995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271,419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304,924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(204,645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(18,572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353,692</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Three Months Ended September 30,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June 30, 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44,903,718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263,698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349,730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(148,523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(17,320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448,147</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861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861</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(49</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(324,643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(3,638</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(14,911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(14,911</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(17,195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(17,195</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September 30, 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44,579,075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264,510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332,535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(152,161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(32,231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413,215</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hd w:fill="FFFFFF" w:val="clear"/>
        </w:rPr>
      </w:pPr>
      <w:r>
        <w:rPr>
          <w:shd w:fill="FFFFFF" w:val="clear"/>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tbl>
      <w:tblPr>
        <w:tblW w:w="12625" w:type="dxa"/>
        <w:jc w:val="left"/>
        <w:tblInd w:w="0" w:type="dxa"/>
        <w:tblLayout w:type="fixed"/>
        <w:tblCellMar>
          <w:top w:w="0" w:type="dxa"/>
          <w:left w:w="0" w:type="dxa"/>
          <w:bottom w:w="0" w:type="dxa"/>
          <w:right w:w="0" w:type="dxa"/>
        </w:tblCellMar>
      </w:tblPr>
      <w:tblGrid>
        <w:gridCol w:w="3455"/>
        <w:gridCol w:w="120"/>
        <w:gridCol w:w="60"/>
        <w:gridCol w:w="1100"/>
        <w:gridCol w:w="155"/>
        <w:gridCol w:w="60"/>
        <w:gridCol w:w="231"/>
        <w:gridCol w:w="629"/>
        <w:gridCol w:w="60"/>
        <w:gridCol w:w="120"/>
        <w:gridCol w:w="163"/>
        <w:gridCol w:w="937"/>
        <w:gridCol w:w="155"/>
        <w:gridCol w:w="60"/>
        <w:gridCol w:w="140"/>
        <w:gridCol w:w="800"/>
        <w:gridCol w:w="155"/>
        <w:gridCol w:w="60"/>
        <w:gridCol w:w="140"/>
        <w:gridCol w:w="875"/>
        <w:gridCol w:w="155"/>
        <w:gridCol w:w="60"/>
        <w:gridCol w:w="251"/>
        <w:gridCol w:w="1359"/>
        <w:gridCol w:w="155"/>
        <w:gridCol w:w="60"/>
        <w:gridCol w:w="140"/>
        <w:gridCol w:w="800"/>
        <w:gridCol w:w="170"/>
      </w:tblGrid>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vMerge w:val="restart"/>
            <w:tcBorders/>
            <w:vAlign w:val="center"/>
          </w:tcPr>
          <w:p>
            <w:pPr>
              <w:pStyle w:val="TableContents"/>
              <w:bidi w:val="0"/>
              <w:spacing w:before="0" w:after="0"/>
              <w:jc w:val="left"/>
              <w:rPr/>
            </w:pPr>
            <w:r>
              <w:rPr/>
              <w:t>  </w:t>
            </w:r>
          </w:p>
        </w:tc>
        <w:tc>
          <w:tcPr>
            <w:tcW w:w="1100" w:type="dxa"/>
            <w:gridSpan w:val="2"/>
            <w:vMerge w:val="restart"/>
            <w:tcBorders/>
            <w:vAlign w:val="center"/>
          </w:tcPr>
          <w:p>
            <w:pPr>
              <w:pStyle w:val="TableContents"/>
              <w:bidi w:val="0"/>
              <w:spacing w:before="0" w:after="0"/>
              <w:jc w:val="center"/>
              <w:rPr>
                <w:b/>
                <w:spacing w:val="0"/>
              </w:rPr>
            </w:pPr>
            <w:r>
              <w:rPr>
                <w:b/>
                <w:spacing w:val="0"/>
              </w:rPr>
              <w:t>Additional</w:t>
            </w:r>
          </w:p>
          <w:p>
            <w:pPr>
              <w:pStyle w:val="TableContents"/>
              <w:bidi w:val="0"/>
              <w:spacing w:before="0" w:after="0"/>
              <w:jc w:val="center"/>
              <w:rPr/>
            </w:pPr>
            <w:r>
              <w:rPr/>
            </w:r>
          </w:p>
          <w:p>
            <w:pPr>
              <w:pStyle w:val="TableContents"/>
              <w:bidi w:val="0"/>
              <w:spacing w:before="0" w:after="0"/>
              <w:jc w:val="center"/>
              <w:rPr>
                <w:b/>
                <w:spacing w:val="0"/>
              </w:rPr>
            </w:pPr>
            <w:r>
              <w:rPr>
                <w:b/>
                <w:spacing w:val="0"/>
              </w:rPr>
              <w:t>Paid-In</w:t>
            </w:r>
          </w:p>
          <w:p>
            <w:pPr>
              <w:pStyle w:val="TableContents"/>
              <w:bidi w:val="0"/>
              <w:spacing w:before="0" w:after="0"/>
              <w:jc w:val="center"/>
              <w:rPr/>
            </w:pPr>
            <w:r>
              <w:rPr/>
            </w:r>
          </w:p>
          <w:p>
            <w:pPr>
              <w:pStyle w:val="TableContents"/>
              <w:bidi w:val="0"/>
              <w:spacing w:before="0" w:after="0"/>
              <w:jc w:val="center"/>
              <w:rPr>
                <w:b/>
                <w:spacing w:val="0"/>
              </w:rPr>
            </w:pPr>
            <w:r>
              <w:rPr>
                <w:b/>
                <w:spacing w:val="0"/>
              </w:rPr>
              <w:t>Capital</w:t>
            </w:r>
          </w:p>
        </w:tc>
        <w:tc>
          <w:tcPr>
            <w:tcW w:w="155" w:type="dxa"/>
            <w:vMerge w:val="restart"/>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40" w:type="dxa"/>
            <w:gridSpan w:val="2"/>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015" w:type="dxa"/>
            <w:gridSpan w:val="2"/>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vMerge w:val="restart"/>
            <w:tcBorders/>
            <w:vAlign w:val="center"/>
          </w:tcPr>
          <w:p>
            <w:pPr>
              <w:pStyle w:val="TableContents"/>
              <w:bidi w:val="0"/>
              <w:spacing w:before="0" w:after="0"/>
              <w:jc w:val="left"/>
              <w:rPr/>
            </w:pPr>
            <w:r>
              <w:rPr/>
              <w:t> </w:t>
            </w:r>
          </w:p>
        </w:tc>
        <w:tc>
          <w:tcPr>
            <w:tcW w:w="1610" w:type="dxa"/>
            <w:gridSpan w:val="2"/>
            <w:vMerge w:val="restart"/>
            <w:tcBorders/>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Other</w:t>
            </w:r>
          </w:p>
          <w:p>
            <w:pPr>
              <w:pStyle w:val="TableContents"/>
              <w:bidi w:val="0"/>
              <w:spacing w:before="0" w:after="0"/>
              <w:jc w:val="center"/>
              <w:rPr/>
            </w:pPr>
            <w:r>
              <w:rPr/>
            </w:r>
          </w:p>
          <w:p>
            <w:pPr>
              <w:pStyle w:val="TableContents"/>
              <w:bidi w:val="0"/>
              <w:spacing w:before="0" w:after="0"/>
              <w:jc w:val="center"/>
              <w:rPr>
                <w:b/>
                <w:spacing w:val="0"/>
              </w:rPr>
            </w:pPr>
            <w:r>
              <w:rPr>
                <w:b/>
                <w:spacing w:val="0"/>
              </w:rPr>
              <w:t>Comprehensive</w:t>
            </w:r>
          </w:p>
          <w:p>
            <w:pPr>
              <w:pStyle w:val="TableContents"/>
              <w:bidi w:val="0"/>
              <w:spacing w:before="0" w:after="0"/>
              <w:jc w:val="center"/>
              <w:rPr/>
            </w:pPr>
            <w:r>
              <w:rPr/>
            </w:r>
          </w:p>
          <w:p>
            <w:pPr>
              <w:pStyle w:val="TableContents"/>
              <w:bidi w:val="0"/>
              <w:spacing w:before="0" w:after="0"/>
              <w:jc w:val="center"/>
              <w:rPr>
                <w:b/>
                <w:spacing w:val="0"/>
              </w:rPr>
            </w:pPr>
            <w:r>
              <w:rPr>
                <w:b/>
                <w:spacing w:val="0"/>
              </w:rPr>
              <w:t>Loss</w:t>
            </w:r>
          </w:p>
        </w:tc>
        <w:tc>
          <w:tcPr>
            <w:tcW w:w="155" w:type="dxa"/>
            <w:vMerge w:val="restart"/>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40" w:type="dxa"/>
            <w:gridSpan w:val="2"/>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r>
      <w:tr>
        <w:trPr/>
        <w:tc>
          <w:tcPr>
            <w:tcW w:w="345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235" w:type="dxa"/>
            <w:gridSpan w:val="6"/>
            <w:tcBorders>
              <w:bottom w:val="single" w:sz="8" w:space="0" w:color="000000"/>
            </w:tcBorders>
            <w:tcMar>
              <w:bottom w:w="28" w:type="dxa"/>
            </w:tcMar>
            <w:vAlign w:val="center"/>
          </w:tcPr>
          <w:p>
            <w:pPr>
              <w:pStyle w:val="TableContents"/>
              <w:bidi w:val="0"/>
              <w:spacing w:before="0" w:after="0"/>
              <w:jc w:val="center"/>
              <w:rPr>
                <w:b/>
                <w:spacing w:val="0"/>
                <w:sz w:val="16"/>
              </w:rPr>
            </w:pPr>
            <w:r>
              <w:rPr>
                <w:b/>
                <w:spacing w:val="0"/>
                <w:sz w:val="16"/>
              </w:rPr>
              <w:t>Common Stock</w:t>
            </w:r>
          </w:p>
        </w:tc>
        <w:tc>
          <w:tcPr>
            <w:tcW w:w="60" w:type="dxa"/>
            <w:tcBorders/>
            <w:vAlign w:val="center"/>
          </w:tcPr>
          <w:p>
            <w:pPr>
              <w:pStyle w:val="TableContents"/>
              <w:bidi w:val="0"/>
              <w:spacing w:before="0" w:after="0"/>
              <w:jc w:val="left"/>
              <w:rPr/>
            </w:pPr>
            <w:r>
              <w:rPr/>
              <w:t> </w:t>
            </w:r>
          </w:p>
        </w:tc>
        <w:tc>
          <w:tcPr>
            <w:tcW w:w="120" w:type="dxa"/>
            <w:vMerge w:val="continue"/>
            <w:tcBorders/>
            <w:vAlign w:val="center"/>
          </w:tcPr>
          <w:p>
            <w:pPr>
              <w:pStyle w:val="Normal"/>
              <w:bidi w:val="0"/>
              <w:jc w:val="left"/>
              <w:rPr/>
            </w:pPr>
            <w:r>
              <w:rPr/>
            </w:r>
          </w:p>
        </w:tc>
        <w:tc>
          <w:tcPr>
            <w:tcW w:w="110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0"/>
              <w:jc w:val="left"/>
              <w:rPr/>
            </w:pPr>
            <w:r>
              <w:rPr/>
              <w:t> </w:t>
            </w:r>
          </w:p>
        </w:tc>
        <w:tc>
          <w:tcPr>
            <w:tcW w:w="940" w:type="dxa"/>
            <w:gridSpan w:val="2"/>
            <w:vMerge w:val="restart"/>
            <w:tcBorders/>
            <w:vAlign w:val="center"/>
          </w:tcPr>
          <w:p>
            <w:pPr>
              <w:pStyle w:val="TableContents"/>
              <w:bidi w:val="0"/>
              <w:spacing w:before="0" w:after="0"/>
              <w:jc w:val="center"/>
              <w:rPr>
                <w:b/>
                <w:spacing w:val="0"/>
                <w:sz w:val="16"/>
              </w:rPr>
            </w:pPr>
            <w:r>
              <w:rPr>
                <w:b/>
                <w:spacing w:val="0"/>
                <w:sz w:val="16"/>
              </w:rPr>
              <w:t>Retained</w:t>
            </w:r>
          </w:p>
          <w:p>
            <w:pPr>
              <w:pStyle w:val="TableContents"/>
              <w:bidi w:val="0"/>
              <w:spacing w:before="0" w:after="0"/>
              <w:jc w:val="center"/>
              <w:rPr/>
            </w:pPr>
            <w:r>
              <w:rPr/>
            </w:r>
          </w:p>
          <w:p>
            <w:pPr>
              <w:pStyle w:val="TableContents"/>
              <w:bidi w:val="0"/>
              <w:spacing w:before="0" w:after="0"/>
              <w:jc w:val="center"/>
              <w:rPr>
                <w:b/>
                <w:spacing w:val="0"/>
                <w:sz w:val="16"/>
              </w:rPr>
            </w:pPr>
            <w:r>
              <w:rPr>
                <w:b/>
                <w:spacing w:val="0"/>
                <w:sz w:val="16"/>
              </w:rPr>
              <w:t>Earnings</w:t>
            </w:r>
          </w:p>
        </w:tc>
        <w:tc>
          <w:tcPr>
            <w:tcW w:w="155" w:type="dxa"/>
            <w:vMerge w:val="restart"/>
            <w:tcBorders/>
            <w:vAlign w:val="center"/>
          </w:tcPr>
          <w:p>
            <w:pPr>
              <w:pStyle w:val="TableContents"/>
              <w:bidi w:val="0"/>
              <w:spacing w:before="0" w:after="0"/>
              <w:jc w:val="left"/>
              <w:rPr/>
            </w:pPr>
            <w:r>
              <w:rPr/>
              <w:t> </w:t>
            </w:r>
          </w:p>
        </w:tc>
        <w:tc>
          <w:tcPr>
            <w:tcW w:w="60" w:type="dxa"/>
            <w:vMerge w:val="restart"/>
            <w:tcBorders/>
            <w:vAlign w:val="center"/>
          </w:tcPr>
          <w:p>
            <w:pPr>
              <w:pStyle w:val="TableContents"/>
              <w:bidi w:val="0"/>
              <w:spacing w:before="0" w:after="0"/>
              <w:jc w:val="left"/>
              <w:rPr/>
            </w:pPr>
            <w:r>
              <w:rPr/>
              <w:t> </w:t>
            </w:r>
          </w:p>
        </w:tc>
        <w:tc>
          <w:tcPr>
            <w:tcW w:w="1015" w:type="dxa"/>
            <w:gridSpan w:val="2"/>
            <w:vMerge w:val="restart"/>
            <w:tcBorders/>
            <w:vAlign w:val="center"/>
          </w:tcPr>
          <w:p>
            <w:pPr>
              <w:pStyle w:val="TableContents"/>
              <w:bidi w:val="0"/>
              <w:spacing w:before="0" w:after="0"/>
              <w:jc w:val="center"/>
              <w:rPr>
                <w:b/>
                <w:spacing w:val="0"/>
                <w:sz w:val="16"/>
              </w:rPr>
            </w:pPr>
            <w:r>
              <w:rPr>
                <w:b/>
                <w:spacing w:val="0"/>
                <w:sz w:val="16"/>
              </w:rPr>
              <w:t>Treasury</w:t>
            </w:r>
          </w:p>
          <w:p>
            <w:pPr>
              <w:pStyle w:val="TableContents"/>
              <w:bidi w:val="0"/>
              <w:spacing w:before="0" w:after="0"/>
              <w:jc w:val="center"/>
              <w:rPr/>
            </w:pPr>
            <w:r>
              <w:rPr/>
            </w:r>
          </w:p>
          <w:p>
            <w:pPr>
              <w:pStyle w:val="TableContents"/>
              <w:bidi w:val="0"/>
              <w:spacing w:before="0" w:after="0"/>
              <w:jc w:val="center"/>
              <w:rPr>
                <w:b/>
                <w:spacing w:val="0"/>
                <w:sz w:val="16"/>
              </w:rPr>
            </w:pPr>
            <w:r>
              <w:rPr>
                <w:b/>
                <w:spacing w:val="0"/>
                <w:sz w:val="16"/>
              </w:rPr>
              <w:t>Stock</w:t>
            </w:r>
          </w:p>
        </w:tc>
        <w:tc>
          <w:tcPr>
            <w:tcW w:w="155" w:type="dxa"/>
            <w:vMerge w:val="restart"/>
            <w:tcBorders/>
            <w:vAlign w:val="center"/>
          </w:tcPr>
          <w:p>
            <w:pPr>
              <w:pStyle w:val="TableContents"/>
              <w:bidi w:val="0"/>
              <w:spacing w:before="0" w:after="0"/>
              <w:jc w:val="left"/>
              <w:rPr/>
            </w:pPr>
            <w:r>
              <w:rPr/>
              <w:t> </w:t>
            </w:r>
          </w:p>
        </w:tc>
        <w:tc>
          <w:tcPr>
            <w:tcW w:w="60" w:type="dxa"/>
            <w:vMerge w:val="continue"/>
            <w:tcBorders/>
            <w:vAlign w:val="center"/>
          </w:tcPr>
          <w:p>
            <w:pPr>
              <w:pStyle w:val="Normal"/>
              <w:bidi w:val="0"/>
              <w:jc w:val="left"/>
              <w:rPr/>
            </w:pPr>
            <w:r>
              <w:rPr/>
            </w:r>
          </w:p>
        </w:tc>
        <w:tc>
          <w:tcPr>
            <w:tcW w:w="161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restart"/>
            <w:tcBorders/>
            <w:vAlign w:val="center"/>
          </w:tcPr>
          <w:p>
            <w:pPr>
              <w:pStyle w:val="TableContents"/>
              <w:bidi w:val="0"/>
              <w:spacing w:before="0" w:after="0"/>
              <w:jc w:val="left"/>
              <w:rPr/>
            </w:pPr>
            <w:r>
              <w:rPr/>
              <w:t> </w:t>
            </w:r>
          </w:p>
        </w:tc>
        <w:tc>
          <w:tcPr>
            <w:tcW w:w="9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sz w:val="16"/>
              </w:rPr>
            </w:pPr>
            <w:r>
              <w:rPr>
                <w:b/>
                <w:spacing w:val="0"/>
                <w:sz w:val="16"/>
              </w:rPr>
              <w:t>Total</w:t>
            </w:r>
          </w:p>
        </w:tc>
        <w:tc>
          <w:tcPr>
            <w:tcW w:w="170" w:type="dxa"/>
            <w:vMerge w:val="restart"/>
            <w:tcBorders/>
            <w:vAlign w:val="center"/>
          </w:tcPr>
          <w:p>
            <w:pPr>
              <w:pStyle w:val="TableContents"/>
              <w:bidi w:val="0"/>
              <w:spacing w:before="0" w:after="0"/>
              <w:jc w:val="left"/>
              <w:rPr/>
            </w:pPr>
            <w:r>
              <w:rPr/>
              <w:t> </w:t>
            </w:r>
          </w:p>
        </w:tc>
      </w:tr>
      <w:tr>
        <w:trPr/>
        <w:tc>
          <w:tcPr>
            <w:tcW w:w="345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(In thousands of U.S. dollars, except share data)</w:t>
            </w:r>
          </w:p>
        </w:tc>
        <w:tc>
          <w:tcPr>
            <w:tcW w:w="12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Shares</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pPr>
            <w:r>
              <w:rPr/>
              <w:t> </w:t>
            </w:r>
          </w:p>
        </w:tc>
        <w:tc>
          <w:tcPr>
            <w:tcW w:w="120" w:type="dxa"/>
            <w:vMerge w:val="continue"/>
            <w:tcBorders/>
            <w:vAlign w:val="center"/>
          </w:tcPr>
          <w:p>
            <w:pPr>
              <w:pStyle w:val="Normal"/>
              <w:bidi w:val="0"/>
              <w:jc w:val="left"/>
              <w:rPr/>
            </w:pPr>
            <w:r>
              <w:rPr/>
            </w:r>
          </w:p>
        </w:tc>
        <w:tc>
          <w:tcPr>
            <w:tcW w:w="110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40"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015" w:type="dxa"/>
            <w:gridSpan w:val="2"/>
            <w:vMerge w:val="continue"/>
            <w:tcBorders/>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610" w:type="dxa"/>
            <w:gridSpan w:val="2"/>
            <w:vMerge w:val="continue"/>
            <w:tcBorders>
              <w:bottom w:val="single" w:sz="8" w:space="0" w:color="000000"/>
            </w:tcBorders>
            <w:tcMar>
              <w:bottom w:w="28" w:type="dxa"/>
            </w:tcMar>
            <w:vAlign w:val="center"/>
          </w:tcPr>
          <w:p>
            <w:pPr>
              <w:pStyle w:val="Normal"/>
              <w:bidi w:val="0"/>
              <w:jc w:val="left"/>
              <w:rPr/>
            </w:pPr>
            <w:r>
              <w:rPr/>
            </w:r>
          </w:p>
        </w:tc>
        <w:tc>
          <w:tcPr>
            <w:tcW w:w="15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940" w:type="dxa"/>
            <w:gridSpan w:val="2"/>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r>
      <w:tr>
        <w:trPr/>
        <w:tc>
          <w:tcPr>
            <w:tcW w:w="3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Nine Months Ended September 30,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43,824,575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w:t>
            </w:r>
          </w:p>
        </w:tc>
        <w:tc>
          <w:tcPr>
            <w:tcW w:w="629" w:type="dxa"/>
            <w:tcBorders/>
            <w:vAlign w:val="center"/>
          </w:tcPr>
          <w:p>
            <w:pPr>
              <w:pStyle w:val="TableContents"/>
              <w:bidi w:val="0"/>
              <w:spacing w:before="0" w:after="283"/>
              <w:jc w:val="right"/>
              <w:rPr/>
            </w:pPr>
            <w:r>
              <w:rPr/>
              <w:t>564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937" w:type="dxa"/>
            <w:tcBorders/>
            <w:vAlign w:val="center"/>
          </w:tcPr>
          <w:p>
            <w:pPr>
              <w:pStyle w:val="TableContents"/>
              <w:bidi w:val="0"/>
              <w:spacing w:before="0" w:after="283"/>
              <w:jc w:val="right"/>
              <w:rPr/>
            </w:pPr>
            <w:r>
              <w:rPr/>
              <w:t>266,058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335,506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75" w:type="dxa"/>
            <w:tcBorders/>
            <w:vAlign w:val="center"/>
          </w:tcPr>
          <w:p>
            <w:pPr>
              <w:pStyle w:val="TableContents"/>
              <w:bidi w:val="0"/>
              <w:spacing w:before="0" w:after="283"/>
              <w:jc w:val="right"/>
              <w:rPr/>
            </w:pPr>
            <w:r>
              <w:rPr/>
              <w:t>(161,422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359" w:type="dxa"/>
            <w:tcBorders/>
            <w:vAlign w:val="center"/>
          </w:tcPr>
          <w:p>
            <w:pPr>
              <w:pStyle w:val="TableContents"/>
              <w:bidi w:val="0"/>
              <w:spacing w:before="0" w:after="283"/>
              <w:jc w:val="right"/>
              <w:rPr/>
            </w:pPr>
            <w:r>
              <w:rPr/>
              <w:t>(12,553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428,153</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5,383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5,383</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Exercise of stock options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27</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218,928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(4,379,508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(43,223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(43,223</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(6,019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(6,019</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(30,582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(30,582</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September 30, 2023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39,667,995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566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271,419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304,924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(204,645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(18,572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353,692</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Nine Months Ended September 30, 2022: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December 31, 2021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45,659,304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559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241,197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343,542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(130,306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(2,230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452,762</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4,487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4,487</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 of stock options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152,326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1,785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1,786</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Settlement of restricted stock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177,128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(174</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(378,107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(4,638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(4,638</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Accelerated stock repurchase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(1,031,576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17,217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(17,217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(30,001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(30,001</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(11,007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(11,007</w:t>
            </w:r>
          </w:p>
        </w:tc>
        <w:tc>
          <w:tcPr>
            <w:tcW w:w="170"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single" w:sz="2" w:space="1" w:color="000000"/>
              </w:rPr>
            </w:pPr>
            <w:r>
              <w:rPr>
                <w:bdr w:val="single" w:sz="2" w:space="1" w:color="000000"/>
              </w:rPr>
              <w:t> </w:t>
            </w:r>
          </w:p>
        </w:tc>
        <w:tc>
          <w:tcPr>
            <w:tcW w:w="629"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937"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359"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at September 30, 2022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44,579,075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562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264,510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332,535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(152,161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359" w:type="dxa"/>
            <w:tcBorders/>
            <w:shd w:fill="CCEEFF" w:val="clear"/>
            <w:vAlign w:val="center"/>
          </w:tcPr>
          <w:p>
            <w:pPr>
              <w:pStyle w:val="TableContents"/>
              <w:bidi w:val="0"/>
              <w:spacing w:before="0" w:after="283"/>
              <w:jc w:val="right"/>
              <w:rPr/>
            </w:pPr>
            <w:r>
              <w:rPr/>
              <w:t>(32,231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413,215</w:t>
            </w:r>
          </w:p>
        </w:tc>
        <w:tc>
          <w:tcPr>
            <w:tcW w:w="170" w:type="dxa"/>
            <w:tcBorders/>
            <w:shd w:fill="CCEEFF" w:val="cle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0"/>
              <w:jc w:val="left"/>
              <w:rPr>
                <w:bdr w:val="double" w:sz="6" w:space="1" w:color="000000"/>
              </w:rPr>
            </w:pPr>
            <w:r>
              <w:rPr>
                <w:bdr w:val="double" w:sz="6" w:space="1" w:color="000000"/>
              </w:rPr>
              <w:t> </w:t>
            </w:r>
          </w:p>
        </w:tc>
        <w:tc>
          <w:tcPr>
            <w:tcW w:w="629"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double" w:sz="6" w:space="1" w:color="000000"/>
              </w:rPr>
            </w:pPr>
            <w:r>
              <w:rPr>
                <w:bdr w:val="double" w:sz="6" w:space="1" w:color="000000"/>
              </w:rPr>
              <w:t> </w:t>
            </w:r>
          </w:p>
        </w:tc>
        <w:tc>
          <w:tcPr>
            <w:tcW w:w="937"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359"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CONSOLIDATED STATEMENTS OF CASH FLOWS (Unaudited) </w:t>
      </w:r>
    </w:p>
    <w:p>
      <w:pPr>
        <w:pStyle w:val="TextBody"/>
        <w:bidi w:val="0"/>
        <w:spacing w:before="0" w:after="0"/>
        <w:jc w:val="left"/>
        <w:rPr>
          <w:shd w:fill="FFFFFF" w:val="clear"/>
        </w:rPr>
      </w:pPr>
      <w:r>
        <w:rPr>
          <w:shd w:fill="FFFFFF" w:val="clear"/>
        </w:rPr>
        <w:t> </w:t>
      </w:r>
    </w:p>
    <w:p>
      <w:pPr>
        <w:pStyle w:val="TextBody"/>
        <w:bidi w:val="0"/>
        <w:spacing w:before="0" w:after="0"/>
        <w:jc w:val="left"/>
        <w:rPr>
          <w:sz w:val="24"/>
        </w:rPr>
      </w:pPr>
      <w:r>
        <w:rPr>
          <w:sz w:val="24"/>
        </w:rPr>
      </w:r>
    </w:p>
    <w:tbl>
      <w:tblPr>
        <w:tblW w:w="10205" w:type="dxa"/>
        <w:jc w:val="left"/>
        <w:tblInd w:w="0" w:type="dxa"/>
        <w:tblLayout w:type="fixed"/>
        <w:tblCellMar>
          <w:top w:w="0" w:type="dxa"/>
          <w:left w:w="0" w:type="dxa"/>
          <w:bottom w:w="0" w:type="dxa"/>
          <w:right w:w="0" w:type="dxa"/>
        </w:tblCellMar>
      </w:tblPr>
      <w:tblGrid>
        <w:gridCol w:w="6757"/>
        <w:gridCol w:w="120"/>
        <w:gridCol w:w="217"/>
        <w:gridCol w:w="1253"/>
        <w:gridCol w:w="155"/>
        <w:gridCol w:w="60"/>
        <w:gridCol w:w="217"/>
        <w:gridCol w:w="1253"/>
        <w:gridCol w:w="173"/>
      </w:tblGrid>
      <w:tr>
        <w:trPr/>
        <w:tc>
          <w:tcPr>
            <w:tcW w:w="67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6757"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3155" w:type="dxa"/>
            <w:gridSpan w:val="6"/>
            <w:tcBorders/>
            <w:vAlign w:val="center"/>
          </w:tcPr>
          <w:p>
            <w:pPr>
              <w:pStyle w:val="TableContents"/>
              <w:bidi w:val="0"/>
              <w:spacing w:before="0" w:after="0"/>
              <w:jc w:val="center"/>
              <w:rPr>
                <w:b/>
                <w:spacing w:val="0"/>
              </w:rPr>
            </w:pPr>
            <w:r>
              <w:rPr>
                <w:b/>
                <w:spacing w:val="0"/>
              </w:rPr>
              <w:t>Nine Months Ended</w:t>
            </w:r>
          </w:p>
        </w:tc>
        <w:tc>
          <w:tcPr>
            <w:tcW w:w="173" w:type="dxa"/>
            <w:tcBorders/>
            <w:vAlign w:val="center"/>
          </w:tcPr>
          <w:p>
            <w:pPr>
              <w:pStyle w:val="TableContents"/>
              <w:bidi w:val="0"/>
              <w:spacing w:before="0" w:after="0"/>
              <w:jc w:val="left"/>
              <w:rPr/>
            </w:pPr>
            <w:r>
              <w:rPr/>
              <w:t> </w:t>
            </w:r>
          </w:p>
        </w:tc>
      </w:tr>
      <w:tr>
        <w:trPr/>
        <w:tc>
          <w:tcPr>
            <w:tcW w:w="6757"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70" w:type="dxa"/>
            <w:gridSpan w:val="2"/>
            <w:tcBorders/>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70" w:type="dxa"/>
            <w:gridSpan w:val="2"/>
            <w:tcBorders/>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173" w:type="dxa"/>
            <w:tcBorders/>
            <w:vAlign w:val="center"/>
          </w:tcPr>
          <w:p>
            <w:pPr>
              <w:pStyle w:val="TableContents"/>
              <w:bidi w:val="0"/>
              <w:spacing w:before="0" w:after="0"/>
              <w:jc w:val="left"/>
              <w:rPr/>
            </w:pPr>
            <w:r>
              <w:rPr/>
              <w:t> </w:t>
            </w:r>
          </w:p>
        </w:tc>
      </w:tr>
      <w:tr>
        <w:trPr/>
        <w:tc>
          <w:tcPr>
            <w:tcW w:w="6757"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70" w:type="dxa"/>
            <w:gridSpan w:val="2"/>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470" w:type="dxa"/>
            <w:gridSpan w:val="2"/>
            <w:tcBorders/>
            <w:vAlign w:val="center"/>
          </w:tcPr>
          <w:p>
            <w:pPr>
              <w:pStyle w:val="TableContents"/>
              <w:bidi w:val="0"/>
              <w:spacing w:before="0" w:after="0"/>
              <w:jc w:val="left"/>
              <w:rPr/>
            </w:pPr>
            <w:r>
              <w:rPr/>
              <w:t> </w:t>
            </w:r>
          </w:p>
        </w:tc>
        <w:tc>
          <w:tcPr>
            <w:tcW w:w="173" w:type="dxa"/>
            <w:tcBorders/>
            <w:vAlign w:val="center"/>
          </w:tcPr>
          <w:p>
            <w:pPr>
              <w:pStyle w:val="TableContents"/>
              <w:bidi w:val="0"/>
              <w:spacing w:before="0" w:after="0"/>
              <w:jc w:val="left"/>
              <w:rPr/>
            </w:pPr>
            <w:r>
              <w:rPr/>
              <w:t> </w:t>
            </w:r>
          </w:p>
        </w:tc>
      </w:tr>
      <w:tr>
        <w:trPr/>
        <w:tc>
          <w:tcPr>
            <w:tcW w:w="6757"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3155" w:type="dxa"/>
            <w:gridSpan w:val="6"/>
            <w:tcBorders/>
            <w:vAlign w:val="center"/>
          </w:tcPr>
          <w:p>
            <w:pPr>
              <w:pStyle w:val="TableContents"/>
              <w:bidi w:val="0"/>
              <w:spacing w:before="0" w:after="0"/>
              <w:jc w:val="center"/>
              <w:rPr>
                <w:b/>
                <w:spacing w:val="0"/>
              </w:rPr>
            </w:pPr>
            <w:r>
              <w:rPr>
                <w:b/>
                <w:spacing w:val="0"/>
              </w:rPr>
              <w:t>(In thousands of U.S. dollars)</w:t>
            </w:r>
          </w:p>
        </w:tc>
        <w:tc>
          <w:tcPr>
            <w:tcW w:w="173" w:type="dxa"/>
            <w:tcBorders/>
            <w:vAlign w:val="center"/>
          </w:tcPr>
          <w:p>
            <w:pPr>
              <w:pStyle w:val="TableContents"/>
              <w:bidi w:val="0"/>
              <w:spacing w:before="0" w:after="0"/>
              <w:jc w:val="left"/>
              <w:rPr/>
            </w:pPr>
            <w:r>
              <w:rPr/>
              <w:t> </w:t>
            </w:r>
          </w:p>
        </w:tc>
      </w:tr>
      <w:tr>
        <w:trPr/>
        <w:tc>
          <w:tcPr>
            <w:tcW w:w="67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6757"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1253" w:type="dxa"/>
            <w:tcBorders/>
            <w:shd w:fill="FFFFFF" w:val="clear"/>
            <w:vAlign w:val="center"/>
          </w:tcPr>
          <w:p>
            <w:pPr>
              <w:pStyle w:val="TableContents"/>
              <w:bidi w:val="0"/>
              <w:spacing w:before="0" w:after="283"/>
              <w:jc w:val="right"/>
              <w:rPr/>
            </w:pPr>
            <w:r>
              <w:rPr/>
              <w:t>(30,582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1253" w:type="dxa"/>
            <w:tcBorders/>
            <w:shd w:fill="FFFFFF" w:val="clear"/>
            <w:vAlign w:val="center"/>
          </w:tcPr>
          <w:p>
            <w:pPr>
              <w:pStyle w:val="TableContents"/>
              <w:bidi w:val="0"/>
              <w:spacing w:before="0" w:after="283"/>
              <w:jc w:val="right"/>
              <w:rPr/>
            </w:pPr>
            <w:r>
              <w:rPr/>
              <w:t>(11,007</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provided by (used in) operating activities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12,583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11,225</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severance benefits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5,358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5,163</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on foreign currency, net</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14,532</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66,335</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inventory reserves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3,035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7,730</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5,383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4,487</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680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631</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(6,409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7,805</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3,635</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(13,208</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receivables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4,993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17,115</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(2,291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(14,117</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6,066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(14,792</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accounts payable</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(6,738</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(6,215</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619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5,866</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income taxes</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(3,014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(11,483</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(741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(1,583</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(279</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523</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of severance benefits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(6,183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(4,181</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(841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(50</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253"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253"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operating activities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(194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50,244</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settlement of hedge collateral</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3,335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2,805</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of hedge collateral</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(3,154</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(15,282</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 of property, plant and equipment</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(2,280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(11,812</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for intellectual property registration</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(230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(301</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Collection of guarantee deposits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4,984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242</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of guarantee deposits</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(7,276</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(2,075</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550</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253"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253"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(4,621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(25,873</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27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1,786</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Acquisition of treasury stock</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(43,087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(5,065</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financing related to water treatment facility arrangement</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(371</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(381</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principal portion of finance lease liabilities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(50</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253"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253"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(43,500</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(3,710</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rates on cash and cash equivalents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(10,518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right"/>
              <w:rPr/>
            </w:pPr>
            <w:r>
              <w:rPr/>
              <w:t>(49,377</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253"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253"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decrease in cash and cash equivalents</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(58,833</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(28,716</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253"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period</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225,477</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right"/>
              <w:rPr/>
            </w:pPr>
            <w:r>
              <w:rPr/>
              <w:t>279,547</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253"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253" w:type="dxa"/>
            <w:tcBorders/>
            <w:shd w:fill="FFFFFF" w:val="clear"/>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end of period</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253" w:type="dxa"/>
            <w:tcBorders/>
            <w:shd w:fill="CCEEFF" w:val="clear"/>
            <w:vAlign w:val="center"/>
          </w:tcPr>
          <w:p>
            <w:pPr>
              <w:pStyle w:val="TableContents"/>
              <w:bidi w:val="0"/>
              <w:spacing w:before="0" w:after="283"/>
              <w:jc w:val="right"/>
              <w:rPr/>
            </w:pPr>
            <w:r>
              <w:rPr/>
              <w:t>166,644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253" w:type="dxa"/>
            <w:tcBorders/>
            <w:shd w:fill="CCEEFF" w:val="clear"/>
            <w:vAlign w:val="center"/>
          </w:tcPr>
          <w:p>
            <w:pPr>
              <w:pStyle w:val="TableContents"/>
              <w:bidi w:val="0"/>
              <w:spacing w:before="0" w:after="283"/>
              <w:jc w:val="right"/>
              <w:rPr/>
            </w:pPr>
            <w:r>
              <w:rPr/>
              <w:t>250,831</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1253"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1253" w:type="dxa"/>
            <w:tcBorders/>
            <w:shd w:fill="FFFFFF" w:val="clear"/>
            <w:vAlign w:val="center"/>
          </w:tcPr>
          <w:p>
            <w:pPr>
              <w:pStyle w:val="TableContents"/>
              <w:bidi w:val="0"/>
              <w:spacing w:before="0" w:after="0"/>
              <w:jc w:val="left"/>
              <w:rPr>
                <w:bdr w:val="double" w:sz="6" w:space="1" w:color="000000"/>
              </w:rPr>
            </w:pPr>
            <w:r>
              <w:rPr>
                <w:bdr w:val="double" w:sz="6" w:space="1" w:color="000000"/>
              </w:rPr>
              <w:t> </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Supplemental cash flow information</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income taxes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253" w:type="dxa"/>
            <w:tcBorders/>
            <w:shd w:fill="CCEEFF" w:val="clear"/>
            <w:vAlign w:val="center"/>
          </w:tcPr>
          <w:p>
            <w:pPr>
              <w:pStyle w:val="TableContents"/>
              <w:bidi w:val="0"/>
              <w:spacing w:before="0" w:after="283"/>
              <w:jc w:val="right"/>
              <w:rPr/>
            </w:pPr>
            <w:r>
              <w:rPr/>
              <w:t>4,000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253" w:type="dxa"/>
            <w:tcBorders/>
            <w:shd w:fill="CCEEFF" w:val="clear"/>
            <w:vAlign w:val="center"/>
          </w:tcPr>
          <w:p>
            <w:pPr>
              <w:pStyle w:val="TableContents"/>
              <w:bidi w:val="0"/>
              <w:spacing w:before="0" w:after="283"/>
              <w:jc w:val="right"/>
              <w:rPr/>
            </w:pPr>
            <w:r>
              <w:rPr/>
              <w:t>17,856</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investing activities</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additions in other accounts payable</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253" w:type="dxa"/>
            <w:tcBorders/>
            <w:shd w:fill="CCEEFF" w:val="clear"/>
            <w:vAlign w:val="center"/>
          </w:tcPr>
          <w:p>
            <w:pPr>
              <w:pStyle w:val="TableContents"/>
              <w:bidi w:val="0"/>
              <w:spacing w:before="0" w:after="283"/>
              <w:jc w:val="right"/>
              <w:rPr/>
            </w:pPr>
            <w:r>
              <w:rPr/>
              <w:t>1,029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253" w:type="dxa"/>
            <w:tcBorders/>
            <w:shd w:fill="CCEEFF" w:val="clear"/>
            <w:vAlign w:val="center"/>
          </w:tcPr>
          <w:p>
            <w:pPr>
              <w:pStyle w:val="TableContents"/>
              <w:bidi w:val="0"/>
              <w:spacing w:before="0" w:after="283"/>
              <w:jc w:val="right"/>
              <w:rPr/>
            </w:pPr>
            <w:r>
              <w:rPr/>
              <w:t>3,957</w:t>
            </w:r>
          </w:p>
        </w:tc>
        <w:tc>
          <w:tcPr>
            <w:tcW w:w="173" w:type="dxa"/>
            <w:tcBorders/>
            <w:shd w:fill="CCEEFF" w:val="clear"/>
            <w:vAlign w:val="center"/>
          </w:tcPr>
          <w:p>
            <w:pPr>
              <w:pStyle w:val="TableContents"/>
              <w:bidi w:val="0"/>
              <w:spacing w:before="0" w:after="283"/>
              <w:jc w:val="left"/>
              <w:rPr/>
            </w:pPr>
            <w:r>
              <w:rPr/>
              <w:t> </w:t>
            </w:r>
          </w:p>
        </w:tc>
      </w:tr>
      <w:tr>
        <w:trPr/>
        <w:tc>
          <w:tcPr>
            <w:tcW w:w="6757" w:type="dxa"/>
            <w:tcBorders/>
            <w:shd w:fill="FFFF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financing activities</w:t>
            </w:r>
          </w:p>
        </w:tc>
        <w:tc>
          <w:tcPr>
            <w:tcW w:w="12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25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r>
      <w:tr>
        <w:trPr/>
        <w:tc>
          <w:tcPr>
            <w:tcW w:w="67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Unsettled common stock repurchases</w:t>
            </w:r>
          </w:p>
        </w:tc>
        <w:tc>
          <w:tcPr>
            <w:tcW w:w="12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253" w:type="dxa"/>
            <w:tcBorders/>
            <w:shd w:fill="CCEEFF" w:val="clear"/>
            <w:vAlign w:val="center"/>
          </w:tcPr>
          <w:p>
            <w:pPr>
              <w:pStyle w:val="TableContents"/>
              <w:bidi w:val="0"/>
              <w:spacing w:before="0" w:after="283"/>
              <w:jc w:val="right"/>
              <w:rPr/>
            </w:pPr>
            <w:r>
              <w:rPr/>
              <w:t>494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253" w:type="dxa"/>
            <w:tcBorders/>
            <w:shd w:fill="CCEEFF" w:val="clear"/>
            <w:vAlign w:val="center"/>
          </w:tcPr>
          <w:p>
            <w:pPr>
              <w:pStyle w:val="TableContents"/>
              <w:bidi w:val="0"/>
              <w:spacing w:before="0" w:after="283"/>
              <w:jc w:val="right"/>
              <w:rPr/>
            </w:pPr>
            <w:r>
              <w:rPr/>
              <w:t>399</w:t>
            </w:r>
          </w:p>
        </w:tc>
        <w:tc>
          <w:tcPr>
            <w:tcW w:w="173" w:type="dxa"/>
            <w:tcBorders/>
            <w:shd w:fill="CCEEFF" w:val="clear"/>
            <w:vAlign w:val="center"/>
          </w:tcPr>
          <w:p>
            <w:pPr>
              <w:pStyle w:val="TableContents"/>
              <w:bidi w:val="0"/>
              <w:spacing w:before="0" w:after="283"/>
              <w:jc w:val="left"/>
              <w:rPr/>
            </w:pPr>
            <w:r>
              <w:rPr/>
              <w:t> </w:t>
            </w:r>
          </w:p>
        </w:tc>
      </w:tr>
    </w:tbl>
    <w:p>
      <w:pPr>
        <w:pStyle w:val="TextBody"/>
        <w:bidi w:val="0"/>
        <w:spacing w:before="240" w:after="0"/>
        <w:ind w:left="0" w:right="0" w:hanging="0"/>
        <w:jc w:val="center"/>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The accompanying notes are an integral part of these consolidated financial statements.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MAGNACHIP SEMICONDUCTOR CORPORATION AND SUBSIDIARIES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center"/>
        <w:rPr>
          <w:rFonts w:ascii="Times New Roman" w:hAnsi="Times New Roman"/>
          <w:b/>
          <w:sz w:val="20"/>
          <w:shd w:fill="FFFFFF" w:val="clear"/>
        </w:rPr>
      </w:pPr>
      <w:r>
        <w:rPr>
          <w:rFonts w:ascii="Times New Roman" w:hAnsi="Times New Roman"/>
          <w:b/>
          <w:sz w:val="20"/>
          <w:shd w:fill="FFFFFF" w:val="clear"/>
        </w:rPr>
        <w:t xml:space="preserve">NOTES TO CONSOLIDATED FINANCIAL STATEMENTS </w:t>
      </w:r>
    </w:p>
    <w:p>
      <w:pPr>
        <w:pStyle w:val="TextBody"/>
        <w:bidi w:val="0"/>
        <w:spacing w:before="0" w:after="0"/>
        <w:jc w:val="center"/>
        <w:rPr>
          <w:rFonts w:ascii="Times New Roman" w:hAnsi="Times New Roman"/>
          <w:b/>
          <w:sz w:val="20"/>
          <w:shd w:fill="FFFFFF" w:val="clear"/>
        </w:rPr>
      </w:pPr>
      <w:r>
        <w:rPr>
          <w:rFonts w:ascii="Times New Roman" w:hAnsi="Times New Roman"/>
          <w:b/>
          <w:sz w:val="20"/>
          <w:shd w:fill="FFFFFF" w:val="clear"/>
        </w:rPr>
        <w:t xml:space="preserve">(TABULAR DOLLARS IN THOUSANDS, EXCEPT SHARE DATA) </w:t>
      </w:r>
    </w:p>
    <w:p>
      <w:pPr>
        <w:pStyle w:val="TextBody"/>
        <w:bidi w:val="0"/>
        <w:spacing w:before="240" w:after="0"/>
        <w:jc w:val="left"/>
        <w:rPr>
          <w:rFonts w:ascii="Times New Roman" w:hAnsi="Times New Roman"/>
          <w:b/>
          <w:sz w:val="20"/>
          <w:shd w:fill="FFFFFF" w:val="clear"/>
        </w:rPr>
      </w:pPr>
      <w:r>
        <w:rPr>
          <w:rFonts w:ascii="Times New Roman" w:hAnsi="Times New Roman"/>
          <w:b/>
          <w:sz w:val="20"/>
          <w:shd w:fill="FFFFFF" w:val="clear"/>
        </w:rPr>
        <w:t xml:space="preserve">1. Business, Basis of Presentation and Significant Accounting Policies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Business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Magnachip Semiconductor Corporation (together with its subsidiaries, the “Company”) is a designer and manufacturer of analog and mixed-signal semiconductor platform solutions for communications, Internet of Things (“IoT”) applications, consumer, computing, industrial and automotive applications.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Company’s standard products business includes its Display Solutions and Power Solutions business lines. The Company’s Display Solutions products provide panel display solutions to major suppliers of large and small rigid and flexible panel displays, and a wide range of applications including smartphones, TVs, automotive and IT applications such as monitors, notebook PCs, tablet PCs as well as AR/VRs. The Company’s Power Solutions products include discrete and integrated circuit solutions for power management in communications, consumer, computing, servers, automotive, and industrial applications.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On September 1, 2020, the Company completed the sale of the Company’s Foundry Services Group business and its fabrication facility located in Cheongju, Korea, known as “Fab 4”, to Key Foundry Co., Ltd., a Korean corporation (“Key Foundry”). Following the consummation of the sale, the Company provided Key Foundry with transitional foundry services associated with its fabrication facility located in Gumi, Korea, known as “Fab 3”, at an agreed upon cost plus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mark-up</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“Transitional Fab 3 Foundry Services”). The contractual obligation to provide the Transitional Fab 3 Foundry Services ended August 31, 2023, and the Company is planning to wind down these foundry services and convert portions of the idle capacity to Power Solutions standard products beginning around the second half of 2024. Because these foundry services during the wind-down period are still provided to Key Foundry by the Company using its Fab 3 based on mutually agreed terms and conditions, the Company will continue to report its revenue from providing these foundry services and related cost of sales within the Transitional Fab 3 Foundry Services line in its consolidated statement of operations until such wind down is completed. </w:t>
      </w:r>
    </w:p>
    <w:p>
      <w:pPr>
        <w:pStyle w:val="TextBody"/>
        <w:bidi w:val="0"/>
        <w:spacing w:before="36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Basis of Presentation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accompanying unaudited interim consolidated financial statements of the Company have been prepared in accordance with generally accepted accounting principles in the United States of America (“U.S. GAAP”). These interim consolidated financial statements include normal recurring adjustments and the elimination of all intercompany accounts and transactions which are, in the opinion of management, necessary to provide a fair statement of the Company’s financial condition and results of operations for the periods presented. These interim consolidated financial statements are presented in accordance with Accounting Standards Codification (“ASC”) 270, “Interim Reporting” and, accordingly, do not include all of the information and note disclosures required by U.S. GAAP for complete financial statements. The results of operations for the three and nine months ended September 30, 2023 are not necessarily indicative of the results to be expected for a full year or for any other periods.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December 31, 2022 balance sheet data was derived from the Company’s audited financial statements, but does not include all disclosures required by U.S. GAAP. The interim consolidated financial statements should be read in conjunction with the Company’s Annual Report on Form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10-K</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fiscal year ended December 31, 2022.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There have been no material changes to the Company’s significant accounting policies as of and for the nine months ended September 30, 2023 as compared to the significant accounting policies described in the Company’s Annual Report on Form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10-K</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fiscal year ended December 31, 2022.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2. Inventories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Inventories as of September 30, 2023 and December 31, 2022 consist of the following (in thousands): </w:t>
      </w:r>
    </w:p>
    <w:p>
      <w:pPr>
        <w:pStyle w:val="TextBody"/>
        <w:bidi w:val="0"/>
        <w:spacing w:before="0" w:after="0"/>
        <w:jc w:val="left"/>
        <w:rPr>
          <w:shd w:fill="FFFFFF" w:val="clear"/>
        </w:rPr>
      </w:pPr>
      <w:r>
        <w:rPr>
          <w:shd w:fill="FFFFFF" w:val="clear"/>
        </w:rPr>
        <w:t> </w:t>
      </w:r>
    </w:p>
    <w:tbl>
      <w:tblPr>
        <w:tblW w:w="5543" w:type="dxa"/>
        <w:jc w:val="left"/>
        <w:tblInd w:w="0" w:type="dxa"/>
        <w:tblLayout w:type="fixed"/>
        <w:tblCellMar>
          <w:top w:w="0" w:type="dxa"/>
          <w:left w:w="0" w:type="dxa"/>
          <w:bottom w:w="0" w:type="dxa"/>
          <w:right w:w="0" w:type="dxa"/>
        </w:tblCellMar>
      </w:tblPr>
      <w:tblGrid>
        <w:gridCol w:w="2090"/>
        <w:gridCol w:w="120"/>
        <w:gridCol w:w="230"/>
        <w:gridCol w:w="1244"/>
        <w:gridCol w:w="155"/>
        <w:gridCol w:w="120"/>
        <w:gridCol w:w="220"/>
        <w:gridCol w:w="1194"/>
        <w:gridCol w:w="170"/>
      </w:tblGrid>
      <w:tr>
        <w:trPr/>
        <w:tc>
          <w:tcPr>
            <w:tcW w:w="20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5,555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6,799</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Semi-finished goods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work-in-process</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35,684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40,265</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5,666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7,460</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Materials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in-transit</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4" w:type="dxa"/>
            <w:tcBorders/>
            <w:vAlign w:val="center"/>
          </w:tcPr>
          <w:p>
            <w:pPr>
              <w:pStyle w:val="TableContents"/>
              <w:bidi w:val="0"/>
              <w:spacing w:before="0" w:after="283"/>
              <w:jc w:val="right"/>
              <w:rPr/>
            </w:pPr>
            <w:r>
              <w:rPr/>
              <w:t>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36</w:t>
            </w:r>
          </w:p>
        </w:tc>
        <w:tc>
          <w:tcPr>
            <w:tcW w:w="170" w:type="dxa"/>
            <w:tcBorders/>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inventory reserve</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4" w:type="dxa"/>
            <w:tcBorders/>
            <w:shd w:fill="CCEEFF" w:val="clear"/>
            <w:vAlign w:val="center"/>
          </w:tcPr>
          <w:p>
            <w:pPr>
              <w:pStyle w:val="TableContents"/>
              <w:bidi w:val="0"/>
              <w:spacing w:before="0" w:after="283"/>
              <w:jc w:val="right"/>
              <w:rPr/>
            </w:pPr>
            <w:r>
              <w:rPr/>
              <w:t>(16,079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194" w:type="dxa"/>
            <w:tcBorders/>
            <w:shd w:fill="CCEEFF" w:val="clear"/>
            <w:vAlign w:val="center"/>
          </w:tcPr>
          <w:p>
            <w:pPr>
              <w:pStyle w:val="TableContents"/>
              <w:bidi w:val="0"/>
              <w:spacing w:before="0" w:after="283"/>
              <w:jc w:val="right"/>
              <w:rPr/>
            </w:pPr>
            <w:r>
              <w:rPr/>
              <w:t>(14,677</w:t>
            </w:r>
          </w:p>
        </w:tc>
        <w:tc>
          <w:tcPr>
            <w:tcW w:w="170" w:type="dxa"/>
            <w:tcBorders/>
            <w:shd w:fill="CCEEFF" w:val="cle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19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Inventories, net</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44" w:type="dxa"/>
            <w:tcBorders/>
            <w:vAlign w:val="center"/>
          </w:tcPr>
          <w:p>
            <w:pPr>
              <w:pStyle w:val="TableContents"/>
              <w:bidi w:val="0"/>
              <w:spacing w:before="0" w:after="283"/>
              <w:jc w:val="right"/>
              <w:rPr/>
            </w:pPr>
            <w:r>
              <w:rPr/>
              <w:t>30,836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w:t>
            </w:r>
          </w:p>
        </w:tc>
        <w:tc>
          <w:tcPr>
            <w:tcW w:w="1194" w:type="dxa"/>
            <w:tcBorders/>
            <w:vAlign w:val="center"/>
          </w:tcPr>
          <w:p>
            <w:pPr>
              <w:pStyle w:val="TableContents"/>
              <w:bidi w:val="0"/>
              <w:spacing w:before="0" w:after="283"/>
              <w:jc w:val="right"/>
              <w:rPr/>
            </w:pPr>
            <w:r>
              <w:rPr/>
              <w:t>39,883</w:t>
            </w:r>
          </w:p>
        </w:tc>
        <w:tc>
          <w:tcPr>
            <w:tcW w:w="17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19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Changes in inventory reserve for the three and nine months ended September 30, 2023 and 2022 are as follows (in thousands): </w:t>
      </w:r>
    </w:p>
    <w:p>
      <w:pPr>
        <w:pStyle w:val="TextBody"/>
        <w:bidi w:val="0"/>
        <w:spacing w:before="0" w:after="0"/>
        <w:jc w:val="left"/>
        <w:rPr>
          <w:shd w:fill="FFFFFF" w:val="clear"/>
        </w:rPr>
      </w:pPr>
      <w:r>
        <w:rPr>
          <w:shd w:fill="FFFFFF" w:val="clear"/>
        </w:rPr>
        <w:t> </w:t>
      </w:r>
    </w:p>
    <w:tbl>
      <w:tblPr>
        <w:tblW w:w="10185" w:type="dxa"/>
        <w:jc w:val="left"/>
        <w:tblInd w:w="0" w:type="dxa"/>
        <w:tblLayout w:type="fixed"/>
        <w:tblCellMar>
          <w:top w:w="0" w:type="dxa"/>
          <w:left w:w="0" w:type="dxa"/>
          <w:bottom w:w="0" w:type="dxa"/>
          <w:right w:w="0" w:type="dxa"/>
        </w:tblCellMar>
      </w:tblPr>
      <w:tblGrid>
        <w:gridCol w:w="3440"/>
        <w:gridCol w:w="120"/>
        <w:gridCol w:w="230"/>
        <w:gridCol w:w="1245"/>
        <w:gridCol w:w="155"/>
        <w:gridCol w:w="120"/>
        <w:gridCol w:w="209"/>
        <w:gridCol w:w="1131"/>
        <w:gridCol w:w="155"/>
        <w:gridCol w:w="120"/>
        <w:gridCol w:w="230"/>
        <w:gridCol w:w="1245"/>
        <w:gridCol w:w="155"/>
        <w:gridCol w:w="120"/>
        <w:gridCol w:w="209"/>
        <w:gridCol w:w="1131"/>
        <w:gridCol w:w="170"/>
      </w:tblGrid>
      <w:tr>
        <w:trPr/>
        <w:tc>
          <w:tcPr>
            <w:tcW w:w="3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w:t>
            </w:r>
          </w:p>
          <w:p>
            <w:pPr>
              <w:pStyle w:val="TableContents"/>
              <w:bidi w:val="0"/>
              <w:spacing w:before="0" w:after="0"/>
              <w:jc w:val="center"/>
              <w:rPr/>
            </w:pPr>
            <w:r>
              <w:rPr/>
            </w:r>
          </w:p>
          <w:p>
            <w:pPr>
              <w:pStyle w:val="TableContents"/>
              <w:bidi w:val="0"/>
              <w:spacing w:before="0" w:after="0"/>
              <w:jc w:val="center"/>
              <w:rPr>
                <w:b/>
                <w:spacing w:val="0"/>
              </w:rPr>
            </w:pPr>
            <w:r>
              <w:rPr>
                <w:b/>
                <w:spacing w:val="0"/>
              </w:rPr>
              <w:t>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w:t>
            </w:r>
          </w:p>
          <w:p>
            <w:pPr>
              <w:pStyle w:val="TableContents"/>
              <w:bidi w:val="0"/>
              <w:spacing w:before="0" w:after="0"/>
              <w:jc w:val="center"/>
              <w:rPr/>
            </w:pPr>
            <w:r>
              <w:rPr/>
            </w:r>
          </w:p>
          <w:p>
            <w:pPr>
              <w:pStyle w:val="TableContents"/>
              <w:bidi w:val="0"/>
              <w:spacing w:before="0" w:after="0"/>
              <w:jc w:val="center"/>
              <w:rPr>
                <w:b/>
                <w:spacing w:val="0"/>
              </w:rPr>
            </w:pPr>
            <w:r>
              <w:rPr>
                <w:b/>
                <w:spacing w:val="0"/>
              </w:rPr>
              <w:t>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w:t>
            </w:r>
          </w:p>
          <w:p>
            <w:pPr>
              <w:pStyle w:val="TableContents"/>
              <w:bidi w:val="0"/>
              <w:spacing w:before="0" w:after="0"/>
              <w:jc w:val="center"/>
              <w:rPr/>
            </w:pPr>
            <w:r>
              <w:rPr/>
            </w:r>
          </w:p>
          <w:p>
            <w:pPr>
              <w:pStyle w:val="TableContents"/>
              <w:bidi w:val="0"/>
              <w:spacing w:before="0" w:after="0"/>
              <w:jc w:val="center"/>
              <w:rPr>
                <w:b/>
                <w:spacing w:val="0"/>
              </w:rPr>
            </w:pPr>
            <w:r>
              <w:rPr>
                <w:b/>
                <w:spacing w:val="0"/>
              </w:rPr>
              <w:t>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w:t>
            </w:r>
          </w:p>
          <w:p>
            <w:pPr>
              <w:pStyle w:val="TableContents"/>
              <w:bidi w:val="0"/>
              <w:spacing w:before="0" w:after="0"/>
              <w:jc w:val="center"/>
              <w:rPr/>
            </w:pPr>
            <w:r>
              <w:rPr/>
            </w:r>
          </w:p>
          <w:p>
            <w:pPr>
              <w:pStyle w:val="TableContents"/>
              <w:bidi w:val="0"/>
              <w:spacing w:before="0" w:after="0"/>
              <w:jc w:val="center"/>
              <w:rPr>
                <w:b/>
                <w:spacing w:val="0"/>
              </w:rPr>
            </w:pPr>
            <w:r>
              <w:rPr>
                <w:b/>
                <w:spacing w:val="0"/>
              </w:rPr>
              <w:t>Ended</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9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 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9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 2022</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(14,745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131" w:type="dxa"/>
            <w:tcBorders/>
            <w:shd w:fill="CCEEFF" w:val="clear"/>
            <w:vAlign w:val="center"/>
          </w:tcPr>
          <w:p>
            <w:pPr>
              <w:pStyle w:val="TableContents"/>
              <w:bidi w:val="0"/>
              <w:spacing w:before="0" w:after="283"/>
              <w:jc w:val="right"/>
              <w:rPr/>
            </w:pPr>
            <w:r>
              <w:rPr/>
              <w:t>(14,677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(10,206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1131" w:type="dxa"/>
            <w:tcBorders/>
            <w:shd w:fill="CCEEFF" w:val="clear"/>
            <w:vAlign w:val="center"/>
          </w:tcPr>
          <w:p>
            <w:pPr>
              <w:pStyle w:val="TableContents"/>
              <w:bidi w:val="0"/>
              <w:spacing w:before="0" w:after="283"/>
              <w:jc w:val="right"/>
              <w:rPr/>
            </w:pPr>
            <w:r>
              <w:rPr/>
              <w:t>(5,730</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reserve</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Inventory reserve charged to costs of sales</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(2,759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(7,366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(3,199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(10,899</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 of previously reserved inventory</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845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4,368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672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2,996</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(1,914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(2,998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(2,527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(7,903</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Write off</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187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669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16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311</w:t>
            </w:r>
          </w:p>
        </w:tc>
        <w:tc>
          <w:tcPr>
            <w:tcW w:w="170"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Translation adjustments</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393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927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245" w:type="dxa"/>
            <w:tcBorders/>
            <w:shd w:fill="CCEEFF" w:val="clear"/>
            <w:vAlign w:val="center"/>
          </w:tcPr>
          <w:p>
            <w:pPr>
              <w:pStyle w:val="TableContents"/>
              <w:bidi w:val="0"/>
              <w:spacing w:before="0" w:after="283"/>
              <w:jc w:val="right"/>
              <w:rPr/>
            </w:pPr>
            <w:r>
              <w:rPr/>
              <w:t>1,179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1,784</w:t>
            </w:r>
          </w:p>
        </w:tc>
        <w:tc>
          <w:tcPr>
            <w:tcW w:w="170"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single" w:sz="2" w:space="1" w:color="000000"/>
              </w:rPr>
            </w:pPr>
            <w:r>
              <w:rPr>
                <w:bdr w:val="single" w:sz="2" w:space="1" w:color="000000"/>
              </w:rPr>
              <w:t> </w:t>
            </w:r>
          </w:p>
        </w:tc>
        <w:tc>
          <w:tcPr>
            <w:tcW w:w="113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45" w:type="dxa"/>
            <w:tcBorders/>
            <w:vAlign w:val="center"/>
          </w:tcPr>
          <w:p>
            <w:pPr>
              <w:pStyle w:val="TableContents"/>
              <w:bidi w:val="0"/>
              <w:spacing w:before="0" w:after="283"/>
              <w:jc w:val="right"/>
              <w:rPr/>
            </w:pPr>
            <w:r>
              <w:rPr/>
              <w:t>(16,079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right"/>
              <w:rPr/>
            </w:pPr>
            <w:r>
              <w:rPr/>
              <w:t>(16,079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45" w:type="dxa"/>
            <w:tcBorders/>
            <w:vAlign w:val="center"/>
          </w:tcPr>
          <w:p>
            <w:pPr>
              <w:pStyle w:val="TableContents"/>
              <w:bidi w:val="0"/>
              <w:spacing w:before="0" w:after="283"/>
              <w:jc w:val="right"/>
              <w:rPr/>
            </w:pPr>
            <w:r>
              <w:rPr/>
              <w:t>(11,538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pPr>
            <w:r>
              <w:rPr/>
              <w:t>$</w:t>
            </w:r>
          </w:p>
        </w:tc>
        <w:tc>
          <w:tcPr>
            <w:tcW w:w="1131" w:type="dxa"/>
            <w:tcBorders/>
            <w:vAlign w:val="center"/>
          </w:tcPr>
          <w:p>
            <w:pPr>
              <w:pStyle w:val="TableContents"/>
              <w:bidi w:val="0"/>
              <w:spacing w:before="0" w:after="283"/>
              <w:jc w:val="right"/>
              <w:rPr/>
            </w:pPr>
            <w:r>
              <w:rPr/>
              <w:t>(11,538</w:t>
            </w:r>
          </w:p>
        </w:tc>
        <w:tc>
          <w:tcPr>
            <w:tcW w:w="17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double" w:sz="6" w:space="1" w:color="000000"/>
              </w:rPr>
            </w:pPr>
            <w:r>
              <w:rPr>
                <w:bdr w:val="double" w:sz="6" w:space="1" w:color="000000"/>
              </w:rPr>
              <w:t> </w:t>
            </w:r>
          </w:p>
        </w:tc>
        <w:tc>
          <w:tcPr>
            <w:tcW w:w="113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jc w:val="left"/>
              <w:rPr>
                <w:bdr w:val="double" w:sz="6" w:space="1" w:color="000000"/>
              </w:rPr>
            </w:pPr>
            <w:r>
              <w:rPr>
                <w:bdr w:val="double" w:sz="6" w:space="1" w:color="000000"/>
              </w:rPr>
              <w:t> </w:t>
            </w:r>
          </w:p>
        </w:tc>
        <w:tc>
          <w:tcPr>
            <w:tcW w:w="1131"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work-in-process</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and raw materials. Write off of this reserve is recognized only when the related inventory has been disposed or scrapped.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 xml:space="preserve">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3. Property, Plant and Equipment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Property, plant and equipment as of September 30, 2023 and December 31, 2022 are comprised of the following (in thousands): </w:t>
      </w:r>
    </w:p>
    <w:p>
      <w:pPr>
        <w:pStyle w:val="TextBody"/>
        <w:bidi w:val="0"/>
        <w:spacing w:before="0" w:after="0"/>
        <w:jc w:val="left"/>
        <w:rPr>
          <w:shd w:fill="FFFFFF" w:val="clear"/>
        </w:rPr>
      </w:pPr>
      <w:r>
        <w:rPr>
          <w:shd w:fill="FFFFFF" w:val="clear"/>
        </w:rPr>
        <w:t> </w:t>
      </w:r>
    </w:p>
    <w:tbl>
      <w:tblPr>
        <w:tblW w:w="6293" w:type="dxa"/>
        <w:jc w:val="left"/>
        <w:tblInd w:w="0" w:type="dxa"/>
        <w:tblLayout w:type="fixed"/>
        <w:tblCellMar>
          <w:top w:w="0" w:type="dxa"/>
          <w:left w:w="0" w:type="dxa"/>
          <w:bottom w:w="0" w:type="dxa"/>
          <w:right w:w="0" w:type="dxa"/>
        </w:tblCellMar>
      </w:tblPr>
      <w:tblGrid>
        <w:gridCol w:w="2840"/>
        <w:gridCol w:w="120"/>
        <w:gridCol w:w="203"/>
        <w:gridCol w:w="1271"/>
        <w:gridCol w:w="155"/>
        <w:gridCol w:w="120"/>
        <w:gridCol w:w="194"/>
        <w:gridCol w:w="1220"/>
        <w:gridCol w:w="170"/>
      </w:tblGrid>
      <w:tr>
        <w:trPr/>
        <w:tc>
          <w:tcPr>
            <w:tcW w:w="2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Buildings and related structures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23,501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24,780</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Machinery and equipment</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131,892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137,666</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Finance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685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389</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33,292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33,890</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27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189,370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196,725</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(107,235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(101,502</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12,283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13,034</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1,723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2,490</w:t>
            </w:r>
          </w:p>
        </w:tc>
        <w:tc>
          <w:tcPr>
            <w:tcW w:w="170"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single" w:sz="2" w:space="1" w:color="000000"/>
              </w:rPr>
            </w:pPr>
            <w:r>
              <w:rPr>
                <w:bdr w:val="single" w:sz="2" w:space="1" w:color="000000"/>
              </w:rPr>
              <w:t> </w:t>
            </w:r>
          </w:p>
        </w:tc>
        <w:tc>
          <w:tcPr>
            <w:tcW w:w="127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plant and equipment, net</w:t>
            </w:r>
          </w:p>
        </w:tc>
        <w:tc>
          <w:tcPr>
            <w:tcW w:w="12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271" w:type="dxa"/>
            <w:tcBorders/>
            <w:shd w:fill="CCEEFF" w:val="clear"/>
            <w:vAlign w:val="center"/>
          </w:tcPr>
          <w:p>
            <w:pPr>
              <w:pStyle w:val="TableContents"/>
              <w:bidi w:val="0"/>
              <w:spacing w:before="0" w:after="283"/>
              <w:jc w:val="right"/>
              <w:rPr/>
            </w:pPr>
            <w:r>
              <w:rPr/>
              <w:t>96,141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110,747</w:t>
            </w:r>
          </w:p>
        </w:tc>
        <w:tc>
          <w:tcPr>
            <w:tcW w:w="170"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bdr w:val="double" w:sz="6" w:space="1" w:color="000000"/>
              </w:rPr>
            </w:pPr>
            <w:r>
              <w:rPr>
                <w:bdr w:val="double" w:sz="6" w:space="1" w:color="000000"/>
              </w:rPr>
              <w:t> </w:t>
            </w:r>
          </w:p>
        </w:tc>
        <w:tc>
          <w:tcPr>
            <w:tcW w:w="127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Aggregate depreciation expenses totaled $12,111 thousand and $10,699 thousand for the nine months ended September 30, 2023 and 2022, respectively.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4. Intangible Assets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Intangible assets as of September 30, 2023 and December 31, 2022 are comprised of the following (in thousands): </w:t>
      </w:r>
    </w:p>
    <w:p>
      <w:pPr>
        <w:pStyle w:val="TextBody"/>
        <w:bidi w:val="0"/>
        <w:spacing w:before="0" w:after="0"/>
        <w:jc w:val="left"/>
        <w:rPr>
          <w:shd w:fill="FFFFFF" w:val="clear"/>
        </w:rPr>
      </w:pPr>
      <w:r>
        <w:rPr>
          <w:shd w:fill="FFFFFF" w:val="clear"/>
        </w:rPr>
        <w:t> </w:t>
      </w:r>
    </w:p>
    <w:tbl>
      <w:tblPr>
        <w:tblW w:w="5830" w:type="dxa"/>
        <w:jc w:val="left"/>
        <w:tblInd w:w="0" w:type="dxa"/>
        <w:tblLayout w:type="fixed"/>
        <w:tblCellMar>
          <w:top w:w="0" w:type="dxa"/>
          <w:left w:w="0" w:type="dxa"/>
          <w:bottom w:w="0" w:type="dxa"/>
          <w:right w:w="0" w:type="dxa"/>
        </w:tblCellMar>
      </w:tblPr>
      <w:tblGrid>
        <w:gridCol w:w="2210"/>
        <w:gridCol w:w="120"/>
        <w:gridCol w:w="160"/>
        <w:gridCol w:w="640"/>
        <w:gridCol w:w="60"/>
        <w:gridCol w:w="120"/>
        <w:gridCol w:w="247"/>
        <w:gridCol w:w="1123"/>
        <w:gridCol w:w="155"/>
        <w:gridCol w:w="120"/>
        <w:gridCol w:w="160"/>
        <w:gridCol w:w="640"/>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2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 2023</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r>
          </w:p>
          <w:p>
            <w:pPr>
              <w:pStyle w:val="TableContents"/>
              <w:bidi w:val="0"/>
              <w:spacing w:before="0" w:after="0"/>
              <w:jc w:val="center"/>
              <w:rPr/>
            </w:pPr>
            <w:r>
              <w:rPr/>
            </w:r>
          </w:p>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amortization</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r>
          </w:p>
          <w:p>
            <w:pPr>
              <w:pStyle w:val="TableContents"/>
              <w:bidi w:val="0"/>
              <w:spacing w:before="0" w:after="0"/>
              <w:jc w:val="center"/>
              <w:rPr/>
            </w:pPr>
            <w:r>
              <w:rPr/>
            </w:r>
          </w:p>
          <w:p>
            <w:pPr>
              <w:pStyle w:val="TableContents"/>
              <w:bidi w:val="0"/>
              <w:spacing w:before="0" w:after="0"/>
              <w:jc w:val="center"/>
              <w:rPr>
                <w:b/>
                <w:spacing w:val="0"/>
              </w:rPr>
            </w:pPr>
            <w:r>
              <w:rPr>
                <w:b/>
                <w:spacing w:val="0"/>
              </w:rPr>
              <w:t>amount</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Intellectual property assets</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8,786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(7,203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1,583</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1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8,786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123" w:type="dxa"/>
            <w:tcBorders/>
            <w:vAlign w:val="center"/>
          </w:tcPr>
          <w:p>
            <w:pPr>
              <w:pStyle w:val="TableContents"/>
              <w:bidi w:val="0"/>
              <w:spacing w:before="0" w:after="283"/>
              <w:jc w:val="right"/>
              <w:rPr/>
            </w:pPr>
            <w:r>
              <w:rPr/>
              <w:t>(7,203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1,583</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double" w:sz="6" w:space="1" w:color="000000"/>
              </w:rPr>
            </w:pPr>
            <w:r>
              <w:rPr>
                <w:bdr w:val="double" w:sz="6" w:space="1" w:color="000000"/>
              </w:rPr>
              <w:t> </w:t>
            </w:r>
          </w:p>
        </w:tc>
        <w:tc>
          <w:tcPr>
            <w:tcW w:w="112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5830" w:type="dxa"/>
        <w:jc w:val="left"/>
        <w:tblInd w:w="0" w:type="dxa"/>
        <w:tblLayout w:type="fixed"/>
        <w:tblCellMar>
          <w:top w:w="0" w:type="dxa"/>
          <w:left w:w="0" w:type="dxa"/>
          <w:bottom w:w="0" w:type="dxa"/>
          <w:right w:w="0" w:type="dxa"/>
        </w:tblCellMar>
      </w:tblPr>
      <w:tblGrid>
        <w:gridCol w:w="2210"/>
        <w:gridCol w:w="120"/>
        <w:gridCol w:w="160"/>
        <w:gridCol w:w="640"/>
        <w:gridCol w:w="60"/>
        <w:gridCol w:w="120"/>
        <w:gridCol w:w="247"/>
        <w:gridCol w:w="1123"/>
        <w:gridCol w:w="155"/>
        <w:gridCol w:w="120"/>
        <w:gridCol w:w="160"/>
        <w:gridCol w:w="640"/>
        <w:gridCol w:w="75"/>
      </w:tblGrid>
      <w:tr>
        <w:trPr/>
        <w:tc>
          <w:tcPr>
            <w:tcW w:w="2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2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 2022</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w:t>
            </w:r>
          </w:p>
          <w:p>
            <w:pPr>
              <w:pStyle w:val="TableContents"/>
              <w:bidi w:val="0"/>
              <w:spacing w:before="0" w:after="0"/>
              <w:jc w:val="center"/>
              <w:rPr/>
            </w:pPr>
            <w:r>
              <w:rPr/>
            </w:r>
          </w:p>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amortization</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r>
          </w:p>
          <w:p>
            <w:pPr>
              <w:pStyle w:val="TableContents"/>
              <w:bidi w:val="0"/>
              <w:spacing w:before="0" w:after="0"/>
              <w:jc w:val="center"/>
              <w:rPr/>
            </w:pPr>
            <w:r>
              <w:rPr/>
            </w:r>
          </w:p>
          <w:p>
            <w:pPr>
              <w:pStyle w:val="TableContents"/>
              <w:bidi w:val="0"/>
              <w:spacing w:before="0" w:after="0"/>
              <w:jc w:val="center"/>
              <w:rPr>
                <w:b/>
                <w:spacing w:val="0"/>
              </w:rPr>
            </w:pPr>
            <w:r>
              <w:rPr>
                <w:b/>
                <w:spacing w:val="0"/>
              </w:rPr>
              <w:t>amount</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Intellectual property assets</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9,111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123" w:type="dxa"/>
            <w:tcBorders/>
            <w:shd w:fill="CCEEFF" w:val="clear"/>
            <w:vAlign w:val="center"/>
          </w:tcPr>
          <w:p>
            <w:pPr>
              <w:pStyle w:val="TableContents"/>
              <w:bidi w:val="0"/>
              <w:spacing w:before="0" w:after="283"/>
              <w:jc w:val="right"/>
              <w:rPr/>
            </w:pPr>
            <w:r>
              <w:rPr/>
              <w:t>(7,181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1,930</w:t>
            </w:r>
          </w:p>
        </w:tc>
        <w:tc>
          <w:tcPr>
            <w:tcW w:w="75"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single" w:sz="2" w:space="1" w:color="000000"/>
              </w:rPr>
            </w:pPr>
            <w:r>
              <w:rPr>
                <w:bdr w:val="single" w:sz="2" w:space="1" w:color="000000"/>
              </w:rPr>
              <w:t> </w:t>
            </w:r>
          </w:p>
        </w:tc>
        <w:tc>
          <w:tcPr>
            <w:tcW w:w="112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6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9,111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w:t>
            </w:r>
          </w:p>
        </w:tc>
        <w:tc>
          <w:tcPr>
            <w:tcW w:w="1123" w:type="dxa"/>
            <w:tcBorders/>
            <w:vAlign w:val="center"/>
          </w:tcPr>
          <w:p>
            <w:pPr>
              <w:pStyle w:val="TableContents"/>
              <w:bidi w:val="0"/>
              <w:spacing w:before="0" w:after="283"/>
              <w:jc w:val="right"/>
              <w:rPr/>
            </w:pPr>
            <w:r>
              <w:rPr/>
              <w:t>(7,181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w:t>
            </w:r>
          </w:p>
        </w:tc>
        <w:tc>
          <w:tcPr>
            <w:tcW w:w="640" w:type="dxa"/>
            <w:tcBorders/>
            <w:vAlign w:val="center"/>
          </w:tcPr>
          <w:p>
            <w:pPr>
              <w:pStyle w:val="TableContents"/>
              <w:bidi w:val="0"/>
              <w:spacing w:before="0" w:after="283"/>
              <w:jc w:val="right"/>
              <w:rPr/>
            </w:pPr>
            <w:r>
              <w:rPr/>
              <w:t>1,930</w:t>
            </w:r>
          </w:p>
        </w:tc>
        <w:tc>
          <w:tcPr>
            <w:tcW w:w="75"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0"/>
              <w:jc w:val="left"/>
              <w:rPr>
                <w:bdr w:val="double" w:sz="6" w:space="1" w:color="000000"/>
              </w:rPr>
            </w:pPr>
            <w:r>
              <w:rPr>
                <w:bdr w:val="double" w:sz="6" w:space="1" w:color="000000"/>
              </w:rPr>
              <w:t> </w:t>
            </w:r>
          </w:p>
        </w:tc>
        <w:tc>
          <w:tcPr>
            <w:tcW w:w="112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6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Aggregate amortization expenses for intangible assets totaled $472 thousand and $526 thousand for the nine months ended September 30, 2023 and 2022, respectively. </w:t>
      </w:r>
    </w:p>
    <w:p>
      <w:pPr>
        <w:pStyle w:val="TextBody"/>
        <w:bidi w:val="0"/>
        <w:spacing w:before="360" w:after="0"/>
        <w:jc w:val="left"/>
        <w:rPr>
          <w:rFonts w:ascii="Times New Roman" w:hAnsi="Times New Roman"/>
          <w:b/>
          <w:sz w:val="20"/>
          <w:shd w:fill="FFFFFF" w:val="clear"/>
        </w:rPr>
      </w:pPr>
      <w:r>
        <w:rPr>
          <w:rFonts w:ascii="Times New Roman" w:hAnsi="Times New Roman"/>
          <w:b/>
          <w:sz w:val="20"/>
          <w:shd w:fill="FFFFFF" w:val="clear"/>
        </w:rPr>
        <w:t xml:space="preserve">5. Accrued Expenses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Accrued expenses as of September 30, 2023 and December 31, 2022 are comprised of the following (in thousands): </w:t>
      </w:r>
    </w:p>
    <w:p>
      <w:pPr>
        <w:pStyle w:val="TextBody"/>
        <w:bidi w:val="0"/>
        <w:spacing w:before="0" w:after="0"/>
        <w:jc w:val="left"/>
        <w:rPr>
          <w:shd w:fill="FFFFFF" w:val="clear"/>
        </w:rPr>
      </w:pPr>
      <w:r>
        <w:rPr>
          <w:shd w:fill="FFFFFF" w:val="clear"/>
        </w:rPr>
        <w:t> </w:t>
      </w:r>
    </w:p>
    <w:tbl>
      <w:tblPr>
        <w:tblW w:w="8475" w:type="dxa"/>
        <w:jc w:val="left"/>
        <w:tblInd w:w="0" w:type="dxa"/>
        <w:tblLayout w:type="fixed"/>
        <w:tblCellMar>
          <w:top w:w="0" w:type="dxa"/>
          <w:left w:w="0" w:type="dxa"/>
          <w:bottom w:w="0" w:type="dxa"/>
          <w:right w:w="0" w:type="dxa"/>
        </w:tblCellMar>
      </w:tblPr>
      <w:tblGrid>
        <w:gridCol w:w="5210"/>
        <w:gridCol w:w="120"/>
        <w:gridCol w:w="295"/>
        <w:gridCol w:w="1180"/>
        <w:gridCol w:w="60"/>
        <w:gridCol w:w="120"/>
        <w:gridCol w:w="283"/>
        <w:gridCol w:w="1132"/>
        <w:gridCol w:w="75"/>
      </w:tblGrid>
      <w:tr>
        <w:trPr/>
        <w:tc>
          <w:tcPr>
            <w:tcW w:w="52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Payroll, benefits and related taxes, excluding severance benefits</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6,263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7,620</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Withholding tax attributable to intercompany interest income</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1,287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Outside service fees</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1,308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1,642</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right"/>
              <w:rPr/>
            </w:pPr>
            <w:r>
              <w:rPr/>
              <w:t>810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right"/>
              <w:rPr/>
            </w:pPr>
            <w:r>
              <w:rPr/>
              <w:t>383</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9,668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9,688</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double" w:sz="6" w:space="1" w:color="000000"/>
              </w:rPr>
            </w:pPr>
            <w:r>
              <w:rPr>
                <w:bdr w:val="double" w:sz="6" w:space="1" w:color="000000"/>
              </w:rPr>
              <w:t> </w:t>
            </w:r>
          </w:p>
        </w:tc>
        <w:tc>
          <w:tcPr>
            <w:tcW w:w="11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 xml:space="preserve">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6. Derivative Financial Instruments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Company’s Korean subsidiary from time to time has entered into zero cost collar contracts to hedge the risk of changes in the functional-currency-equivalent cash flows attributable to currency rate changes on U.S. dollar denominated revenues.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Details of the zero cost collar contracts as of September 30, 2023 are as follows (in thousands): </w:t>
      </w:r>
    </w:p>
    <w:p>
      <w:pPr>
        <w:pStyle w:val="TextBody"/>
        <w:bidi w:val="0"/>
        <w:spacing w:before="0" w:after="0"/>
        <w:jc w:val="left"/>
        <w:rPr>
          <w:shd w:fill="FFFFFF" w:val="clear"/>
        </w:rPr>
      </w:pPr>
      <w:r>
        <w:rPr>
          <w:shd w:fill="FFFFFF" w:val="clear"/>
        </w:rPr>
        <w:t> </w:t>
      </w:r>
    </w:p>
    <w:tbl>
      <w:tblPr>
        <w:tblW w:w="7185" w:type="dxa"/>
        <w:jc w:val="left"/>
        <w:tblInd w:w="0" w:type="dxa"/>
        <w:tblLayout w:type="fixed"/>
        <w:tblCellMar>
          <w:top w:w="0" w:type="dxa"/>
          <w:left w:w="0" w:type="dxa"/>
          <w:bottom w:w="0" w:type="dxa"/>
          <w:right w:w="0" w:type="dxa"/>
        </w:tblCellMar>
      </w:tblPr>
      <w:tblGrid>
        <w:gridCol w:w="1445"/>
        <w:gridCol w:w="120"/>
        <w:gridCol w:w="390"/>
        <w:gridCol w:w="1895"/>
        <w:gridCol w:w="60"/>
        <w:gridCol w:w="120"/>
        <w:gridCol w:w="3155"/>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5"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Date of transaction</w:t>
            </w:r>
          </w:p>
        </w:tc>
        <w:tc>
          <w:tcPr>
            <w:tcW w:w="120" w:type="dxa"/>
            <w:tcBorders/>
            <w:vAlign w:val="center"/>
          </w:tcPr>
          <w:p>
            <w:pPr>
              <w:pStyle w:val="TableContents"/>
              <w:bidi w:val="0"/>
              <w:spacing w:before="0" w:after="283"/>
              <w:jc w:val="left"/>
              <w:rPr/>
            </w:pPr>
            <w:r>
              <w:rPr/>
              <w:t>  </w:t>
            </w:r>
          </w:p>
        </w:tc>
        <w:tc>
          <w:tcPr>
            <w:tcW w:w="22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notional 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Month of settlement</w:t>
            </w:r>
          </w:p>
        </w:tc>
      </w:tr>
      <w:tr>
        <w:trPr/>
        <w:tc>
          <w:tcPr>
            <w:tcW w:w="1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March 07, 2022</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12,000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5" w:type="dxa"/>
            <w:tcBorders/>
            <w:shd w:fill="CCEEFF" w:val="clear"/>
            <w:vAlign w:val="center"/>
          </w:tcPr>
          <w:p>
            <w:pPr>
              <w:pStyle w:val="TableContents"/>
              <w:bidi w:val="0"/>
              <w:spacing w:before="0" w:after="283"/>
              <w:jc w:val="left"/>
              <w:rPr/>
            </w:pPr>
            <w:r>
              <w:rPr/>
              <w:t>October 2023 to December 2023</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April 27, 2022</w:t>
            </w:r>
          </w:p>
        </w:tc>
        <w:tc>
          <w:tcPr>
            <w:tcW w:w="12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12,000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October 2023 to December 2023</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March 08, 2023</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9,000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5" w:type="dxa"/>
            <w:tcBorders/>
            <w:shd w:fill="CCEEFF" w:val="clear"/>
            <w:vAlign w:val="center"/>
          </w:tcPr>
          <w:p>
            <w:pPr>
              <w:pStyle w:val="TableContents"/>
              <w:bidi w:val="0"/>
              <w:spacing w:before="0" w:after="283"/>
              <w:jc w:val="left"/>
              <w:rPr/>
            </w:pPr>
            <w:r>
              <w:rPr/>
              <w:t>October 2023 to December 2023</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April 03, 2023</w:t>
            </w:r>
          </w:p>
        </w:tc>
        <w:tc>
          <w:tcPr>
            <w:tcW w:w="12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23,000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283"/>
              <w:jc w:val="left"/>
              <w:rPr/>
            </w:pPr>
            <w:r>
              <w:rPr/>
              <w:t>December 2023 to June 2024</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August 09, 2023</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27,000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5" w:type="dxa"/>
            <w:tcBorders/>
            <w:shd w:fill="CCEEFF" w:val="clear"/>
            <w:vAlign w:val="center"/>
          </w:tcPr>
          <w:p>
            <w:pPr>
              <w:pStyle w:val="TableContents"/>
              <w:bidi w:val="0"/>
              <w:spacing w:before="0" w:after="283"/>
              <w:jc w:val="left"/>
              <w:rPr/>
            </w:pPr>
            <w:r>
              <w:rPr/>
              <w:t>January 2024 to September 2024</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Details of the zero cost collar contracts as of December 31, 2022 are as follows (in thousands): </w:t>
      </w:r>
    </w:p>
    <w:p>
      <w:pPr>
        <w:pStyle w:val="TextBody"/>
        <w:bidi w:val="0"/>
        <w:spacing w:before="0" w:after="0"/>
        <w:jc w:val="left"/>
        <w:rPr>
          <w:shd w:fill="FFFFFF" w:val="clear"/>
        </w:rPr>
      </w:pPr>
      <w:r>
        <w:rPr>
          <w:shd w:fill="FFFFFF" w:val="clear"/>
        </w:rPr>
        <w:t> </w:t>
      </w:r>
    </w:p>
    <w:tbl>
      <w:tblPr>
        <w:tblW w:w="7155" w:type="dxa"/>
        <w:jc w:val="left"/>
        <w:tblInd w:w="0" w:type="dxa"/>
        <w:tblLayout w:type="fixed"/>
        <w:tblCellMar>
          <w:top w:w="0" w:type="dxa"/>
          <w:left w:w="0" w:type="dxa"/>
          <w:bottom w:w="0" w:type="dxa"/>
          <w:right w:w="0" w:type="dxa"/>
        </w:tblCellMar>
      </w:tblPr>
      <w:tblGrid>
        <w:gridCol w:w="1445"/>
        <w:gridCol w:w="120"/>
        <w:gridCol w:w="390"/>
        <w:gridCol w:w="1895"/>
        <w:gridCol w:w="60"/>
        <w:gridCol w:w="120"/>
        <w:gridCol w:w="3125"/>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Date of transaction</w:t>
            </w:r>
          </w:p>
        </w:tc>
        <w:tc>
          <w:tcPr>
            <w:tcW w:w="120" w:type="dxa"/>
            <w:tcBorders/>
            <w:vAlign w:val="center"/>
          </w:tcPr>
          <w:p>
            <w:pPr>
              <w:pStyle w:val="TableContents"/>
              <w:bidi w:val="0"/>
              <w:spacing w:before="0" w:after="283"/>
              <w:jc w:val="left"/>
              <w:rPr/>
            </w:pPr>
            <w:r>
              <w:rPr/>
              <w:t>  </w:t>
            </w:r>
          </w:p>
        </w:tc>
        <w:tc>
          <w:tcPr>
            <w:tcW w:w="228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 notional 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Month of settlement</w:t>
            </w:r>
          </w:p>
        </w:tc>
      </w:tr>
      <w:tr>
        <w:trPr/>
        <w:tc>
          <w:tcPr>
            <w:tcW w:w="1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January 04, 2022</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30,000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5" w:type="dxa"/>
            <w:tcBorders/>
            <w:shd w:fill="CCEEFF" w:val="clear"/>
            <w:vAlign w:val="center"/>
          </w:tcPr>
          <w:p>
            <w:pPr>
              <w:pStyle w:val="TableContents"/>
              <w:bidi w:val="0"/>
              <w:spacing w:before="0" w:after="283"/>
              <w:jc w:val="left"/>
              <w:rPr/>
            </w:pPr>
            <w:r>
              <w:rPr/>
              <w:t>January 2023 to June 2023</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March 07, 2022</w:t>
            </w:r>
          </w:p>
        </w:tc>
        <w:tc>
          <w:tcPr>
            <w:tcW w:w="120"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283"/>
              <w:jc w:val="right"/>
              <w:rPr/>
            </w:pPr>
            <w:r>
              <w:rPr/>
              <w:t>24,000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July 2023 to December 2023</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April 27, 2022</w:t>
            </w:r>
          </w:p>
        </w:tc>
        <w:tc>
          <w:tcPr>
            <w:tcW w:w="12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w:t>
            </w:r>
          </w:p>
        </w:tc>
        <w:tc>
          <w:tcPr>
            <w:tcW w:w="1895" w:type="dxa"/>
            <w:tcBorders/>
            <w:shd w:fill="CCEEFF" w:val="clear"/>
            <w:vAlign w:val="center"/>
          </w:tcPr>
          <w:p>
            <w:pPr>
              <w:pStyle w:val="TableContents"/>
              <w:bidi w:val="0"/>
              <w:spacing w:before="0" w:after="283"/>
              <w:jc w:val="right"/>
              <w:rPr/>
            </w:pPr>
            <w:r>
              <w:rPr/>
              <w:t>42,000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25" w:type="dxa"/>
            <w:tcBorders/>
            <w:shd w:fill="CCEEFF" w:val="clear"/>
            <w:vAlign w:val="center"/>
          </w:tcPr>
          <w:p>
            <w:pPr>
              <w:pStyle w:val="TableContents"/>
              <w:bidi w:val="0"/>
              <w:spacing w:before="0" w:after="283"/>
              <w:jc w:val="left"/>
              <w:rPr/>
            </w:pPr>
            <w:r>
              <w:rPr/>
              <w:t>January 2023 to December 2023</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zero cost collar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fair values of the Company’s outstanding zero cost collar contracts recorded as liabilities as of September 30, 2023 and December 31, 2022 are as follows (in thousands): </w:t>
      </w:r>
    </w:p>
    <w:p>
      <w:pPr>
        <w:pStyle w:val="TextBody"/>
        <w:bidi w:val="0"/>
        <w:spacing w:before="0" w:after="0"/>
        <w:jc w:val="left"/>
        <w:rPr>
          <w:shd w:fill="FFFFFF" w:val="clear"/>
        </w:rPr>
      </w:pPr>
      <w:r>
        <w:rPr>
          <w:shd w:fill="FFFFFF" w:val="clear"/>
        </w:rPr>
        <w:t> </w:t>
      </w:r>
    </w:p>
    <w:tbl>
      <w:tblPr>
        <w:tblW w:w="9110" w:type="dxa"/>
        <w:jc w:val="left"/>
        <w:tblInd w:w="0" w:type="dxa"/>
        <w:tblLayout w:type="fixed"/>
        <w:tblCellMar>
          <w:top w:w="0" w:type="dxa"/>
          <w:left w:w="0" w:type="dxa"/>
          <w:bottom w:w="0" w:type="dxa"/>
          <w:right w:w="0" w:type="dxa"/>
        </w:tblCellMar>
      </w:tblPr>
      <w:tblGrid>
        <w:gridCol w:w="3425"/>
        <w:gridCol w:w="120"/>
        <w:gridCol w:w="60"/>
        <w:gridCol w:w="2180"/>
        <w:gridCol w:w="60"/>
        <w:gridCol w:w="120"/>
        <w:gridCol w:w="295"/>
        <w:gridCol w:w="1180"/>
        <w:gridCol w:w="60"/>
        <w:gridCol w:w="120"/>
        <w:gridCol w:w="283"/>
        <w:gridCol w:w="1132"/>
        <w:gridCol w:w="75"/>
      </w:tblGrid>
      <w:tr>
        <w:trPr/>
        <w:tc>
          <w:tcPr>
            <w:tcW w:w="34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42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Derivatives designated as hedging instruments:</w:t>
            </w:r>
          </w:p>
        </w:tc>
        <w:tc>
          <w:tcPr>
            <w:tcW w:w="120" w:type="dxa"/>
            <w:tcBorders/>
            <w:vAlign w:val="center"/>
          </w:tcPr>
          <w:p>
            <w:pPr>
              <w:pStyle w:val="TableContents"/>
              <w:bidi w:val="0"/>
              <w:spacing w:before="0" w:after="283"/>
              <w:jc w:val="left"/>
              <w:rPr/>
            </w:pPr>
            <w:r>
              <w:rPr/>
              <w:t>  </w:t>
            </w:r>
          </w:p>
        </w:tc>
        <w:tc>
          <w:tcPr>
            <w:tcW w:w="2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Liability Derivatives: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Other current liabilities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2,104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2,015</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Offsetting of derivative liabilities as of September 30, 2023 is as follows (in thousands): </w:t>
      </w:r>
    </w:p>
    <w:p>
      <w:pPr>
        <w:pStyle w:val="TextBody"/>
        <w:bidi w:val="0"/>
        <w:spacing w:before="0" w:after="0"/>
        <w:jc w:val="left"/>
        <w:rPr>
          <w:shd w:fill="FFFFFF" w:val="clear"/>
        </w:rPr>
      </w:pPr>
      <w:r>
        <w:rPr>
          <w:shd w:fill="FFFFFF" w:val="clear"/>
        </w:rPr>
        <w:t> </w:t>
      </w:r>
    </w:p>
    <w:tbl>
      <w:tblPr>
        <w:tblW w:w="11294" w:type="dxa"/>
        <w:jc w:val="left"/>
        <w:tblInd w:w="0" w:type="dxa"/>
        <w:tblLayout w:type="fixed"/>
        <w:tblCellMar>
          <w:top w:w="0" w:type="dxa"/>
          <w:left w:w="0" w:type="dxa"/>
          <w:bottom w:w="0" w:type="dxa"/>
          <w:right w:w="0" w:type="dxa"/>
        </w:tblCellMar>
      </w:tblPr>
      <w:tblGrid>
        <w:gridCol w:w="1070"/>
        <w:gridCol w:w="120"/>
        <w:gridCol w:w="358"/>
        <w:gridCol w:w="1432"/>
        <w:gridCol w:w="60"/>
        <w:gridCol w:w="120"/>
        <w:gridCol w:w="537"/>
        <w:gridCol w:w="998"/>
        <w:gridCol w:w="60"/>
        <w:gridCol w:w="120"/>
        <w:gridCol w:w="328"/>
        <w:gridCol w:w="1312"/>
        <w:gridCol w:w="60"/>
        <w:gridCol w:w="120"/>
        <w:gridCol w:w="426"/>
        <w:gridCol w:w="794"/>
        <w:gridCol w:w="111"/>
        <w:gridCol w:w="223"/>
        <w:gridCol w:w="275"/>
        <w:gridCol w:w="1260"/>
        <w:gridCol w:w="155"/>
        <w:gridCol w:w="60"/>
        <w:gridCol w:w="328"/>
        <w:gridCol w:w="892"/>
        <w:gridCol w:w="7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70" w:type="dxa"/>
            <w:vMerge w:val="restart"/>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As of September 30, 2023</w:t>
            </w:r>
          </w:p>
        </w:tc>
        <w:tc>
          <w:tcPr>
            <w:tcW w:w="120" w:type="dxa"/>
            <w:vMerge w:val="restart"/>
            <w:tcBorders/>
            <w:vAlign w:val="center"/>
          </w:tcPr>
          <w:p>
            <w:pPr>
              <w:pStyle w:val="TableContents"/>
              <w:bidi w:val="0"/>
              <w:spacing w:before="0" w:after="283"/>
              <w:jc w:val="left"/>
              <w:rPr/>
            </w:pPr>
            <w:r>
              <w:rPr/>
              <w:t>  </w:t>
            </w:r>
          </w:p>
        </w:tc>
        <w:tc>
          <w:tcPr>
            <w:tcW w:w="17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 of</w:t>
            </w:r>
          </w:p>
          <w:p>
            <w:pPr>
              <w:pStyle w:val="TableContents"/>
              <w:bidi w:val="0"/>
              <w:spacing w:before="0" w:after="0"/>
              <w:jc w:val="center"/>
              <w:rPr/>
            </w:pPr>
            <w:r>
              <w:rPr/>
            </w:r>
          </w:p>
          <w:p>
            <w:pPr>
              <w:pStyle w:val="TableContents"/>
              <w:bidi w:val="0"/>
              <w:spacing w:before="0" w:after="0"/>
              <w:jc w:val="center"/>
              <w:rPr>
                <w:b/>
                <w:spacing w:val="0"/>
              </w:rPr>
            </w:pPr>
            <w:r>
              <w:rPr>
                <w:b/>
                <w:spacing w:val="0"/>
              </w:rPr>
              <w:t>recognized</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liabilities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53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w:t>
            </w:r>
          </w:p>
          <w:p>
            <w:pPr>
              <w:pStyle w:val="TableContents"/>
              <w:bidi w:val="0"/>
              <w:spacing w:before="0" w:after="0"/>
              <w:jc w:val="center"/>
              <w:rPr/>
            </w:pPr>
            <w:r>
              <w:rPr/>
            </w:r>
          </w:p>
          <w:p>
            <w:pPr>
              <w:pStyle w:val="TableContents"/>
              <w:bidi w:val="0"/>
              <w:spacing w:before="0" w:after="0"/>
              <w:jc w:val="center"/>
              <w:rPr>
                <w:b/>
                <w:spacing w:val="0"/>
              </w:rPr>
            </w:pPr>
            <w:r>
              <w:rPr>
                <w:b/>
                <w:spacing w:val="0"/>
              </w:rPr>
              <w:t>offset in the</w:t>
            </w:r>
          </w:p>
          <w:p>
            <w:pPr>
              <w:pStyle w:val="TableContents"/>
              <w:bidi w:val="0"/>
              <w:spacing w:before="0" w:after="0"/>
              <w:jc w:val="center"/>
              <w:rPr/>
            </w:pPr>
            <w:r>
              <w:rPr/>
            </w:r>
          </w:p>
          <w:p>
            <w:pPr>
              <w:pStyle w:val="TableContents"/>
              <w:bidi w:val="0"/>
              <w:spacing w:before="0" w:after="0"/>
              <w:jc w:val="center"/>
              <w:rPr>
                <w:b/>
                <w:spacing w:val="0"/>
              </w:rPr>
            </w:pPr>
            <w:r>
              <w:rPr>
                <w:b/>
                <w:spacing w:val="0"/>
              </w:rPr>
              <w:t>balance sheets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6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amounts of</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liabilities</w:t>
            </w:r>
          </w:p>
          <w:p>
            <w:pPr>
              <w:pStyle w:val="TableContents"/>
              <w:bidi w:val="0"/>
              <w:spacing w:before="0" w:after="0"/>
              <w:jc w:val="center"/>
              <w:rPr/>
            </w:pPr>
            <w:r>
              <w:rPr/>
            </w:r>
          </w:p>
          <w:p>
            <w:pPr>
              <w:pStyle w:val="TableContents"/>
              <w:bidi w:val="0"/>
              <w:spacing w:before="0" w:after="0"/>
              <w:jc w:val="center"/>
              <w:rPr>
                <w:b/>
                <w:spacing w:val="0"/>
              </w:rPr>
            </w:pPr>
            <w:r>
              <w:rPr>
                <w:b/>
                <w:spacing w:val="0"/>
              </w:rPr>
              <w:t>presented in the</w:t>
            </w:r>
          </w:p>
          <w:p>
            <w:pPr>
              <w:pStyle w:val="TableContents"/>
              <w:bidi w:val="0"/>
              <w:spacing w:before="0" w:after="0"/>
              <w:jc w:val="center"/>
              <w:rPr/>
            </w:pPr>
            <w:r>
              <w:rPr/>
            </w:r>
          </w:p>
          <w:p>
            <w:pPr>
              <w:pStyle w:val="TableContents"/>
              <w:bidi w:val="0"/>
              <w:spacing w:before="0" w:after="0"/>
              <w:jc w:val="center"/>
              <w:rPr>
                <w:b/>
                <w:spacing w:val="0"/>
              </w:rPr>
            </w:pPr>
            <w:r>
              <w:rPr>
                <w:b/>
                <w:spacing w:val="0"/>
              </w:rPr>
              <w:t>balance sheets</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89"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 not offset</w:t>
            </w:r>
          </w:p>
          <w:p>
            <w:pPr>
              <w:pStyle w:val="TableContents"/>
              <w:bidi w:val="0"/>
              <w:spacing w:before="0" w:after="0"/>
              <w:jc w:val="center"/>
              <w:rPr/>
            </w:pPr>
            <w:r>
              <w:rPr/>
            </w:r>
          </w:p>
          <w:p>
            <w:pPr>
              <w:pStyle w:val="TableContents"/>
              <w:bidi w:val="0"/>
              <w:spacing w:before="0" w:after="0"/>
              <w:jc w:val="center"/>
              <w:rPr>
                <w:b/>
                <w:spacing w:val="0"/>
              </w:rPr>
            </w:pPr>
            <w:r>
              <w:rPr>
                <w:b/>
                <w:spacing w:val="0"/>
              </w:rPr>
              <w:t>in the balance sheets</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22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amount</w:t>
            </w:r>
          </w:p>
        </w:tc>
        <w:tc>
          <w:tcPr>
            <w:tcW w:w="75" w:type="dxa"/>
            <w:vMerge w:val="restart"/>
            <w:tcBorders/>
            <w:vAlign w:val="center"/>
          </w:tcPr>
          <w:p>
            <w:pPr>
              <w:pStyle w:val="TableContents"/>
              <w:bidi w:val="0"/>
              <w:spacing w:before="0" w:after="283"/>
              <w:jc w:val="left"/>
              <w:rPr/>
            </w:pPr>
            <w:r>
              <w:rPr/>
              <w:t> </w:t>
            </w:r>
          </w:p>
        </w:tc>
      </w:tr>
      <w:tr>
        <w:trPr/>
        <w:tc>
          <w:tcPr>
            <w:tcW w:w="1070"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79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535" w:type="dxa"/>
            <w:gridSpan w:val="2"/>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4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Financial</w:t>
              <w:br/>
              <w:t>instruments</w:t>
            </w:r>
          </w:p>
        </w:tc>
        <w:tc>
          <w:tcPr>
            <w:tcW w:w="111"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Cash collateral</w:t>
            </w:r>
          </w:p>
          <w:p>
            <w:pPr>
              <w:pStyle w:val="TableContents"/>
              <w:bidi w:val="0"/>
              <w:spacing w:before="0" w:after="0"/>
              <w:jc w:val="center"/>
              <w:rPr/>
            </w:pPr>
            <w:r>
              <w:rPr/>
            </w:r>
          </w:p>
          <w:p>
            <w:pPr>
              <w:pStyle w:val="TableContents"/>
              <w:bidi w:val="0"/>
              <w:spacing w:before="0" w:after="0"/>
              <w:jc w:val="center"/>
              <w:rPr>
                <w:b/>
                <w:spacing w:val="0"/>
              </w:rPr>
            </w:pPr>
            <w:r>
              <w:rPr>
                <w:b/>
                <w:spacing w:val="0"/>
              </w:rPr>
              <w:t>pledged</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220" w:type="dxa"/>
            <w:gridSpan w:val="2"/>
            <w:vMerge w:val="continue"/>
            <w:tcBorders>
              <w:bottom w:val="single" w:sz="8" w:space="0" w:color="000000"/>
            </w:tcBorders>
            <w:tcMar>
              <w:bottom w:w="28" w:type="dxa"/>
            </w:tcMar>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0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Liability Derivatives:</w:t>
            </w:r>
          </w:p>
        </w:tc>
        <w:tc>
          <w:tcPr>
            <w:tcW w:w="12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892"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w:t>
            </w:r>
          </w:p>
        </w:tc>
        <w:tc>
          <w:tcPr>
            <w:tcW w:w="1432" w:type="dxa"/>
            <w:tcBorders/>
            <w:vAlign w:val="center"/>
          </w:tcPr>
          <w:p>
            <w:pPr>
              <w:pStyle w:val="TableContents"/>
              <w:bidi w:val="0"/>
              <w:spacing w:before="0" w:after="283"/>
              <w:jc w:val="right"/>
              <w:rPr/>
            </w:pPr>
            <w:r>
              <w:rPr/>
              <w:t>2,104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1312" w:type="dxa"/>
            <w:tcBorders/>
            <w:vAlign w:val="center"/>
          </w:tcPr>
          <w:p>
            <w:pPr>
              <w:pStyle w:val="TableContents"/>
              <w:bidi w:val="0"/>
              <w:spacing w:before="0" w:after="283"/>
              <w:jc w:val="right"/>
              <w:rPr/>
            </w:pPr>
            <w:r>
              <w:rPr/>
              <w:t>2,104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w:t>
            </w:r>
          </w:p>
        </w:tc>
        <w:tc>
          <w:tcPr>
            <w:tcW w:w="794" w:type="dxa"/>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w:t>
            </w:r>
          </w:p>
        </w:tc>
        <w:tc>
          <w:tcPr>
            <w:tcW w:w="1260" w:type="dxa"/>
            <w:tcBorders/>
            <w:vAlign w:val="center"/>
          </w:tcPr>
          <w:p>
            <w:pPr>
              <w:pStyle w:val="TableContents"/>
              <w:bidi w:val="0"/>
              <w:spacing w:before="0" w:after="283"/>
              <w:jc w:val="right"/>
              <w:rPr/>
            </w:pPr>
            <w:r>
              <w:rPr/>
              <w:t>(1,680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424</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Offsetting of derivative liabilities as of December 31, 2022 is as follows (in thousands): </w:t>
      </w:r>
    </w:p>
    <w:p>
      <w:pPr>
        <w:pStyle w:val="TextBody"/>
        <w:bidi w:val="0"/>
        <w:spacing w:before="0" w:after="0"/>
        <w:jc w:val="left"/>
        <w:rPr>
          <w:shd w:fill="FFFFFF" w:val="clear"/>
        </w:rPr>
      </w:pPr>
      <w:r>
        <w:rPr>
          <w:shd w:fill="FFFFFF" w:val="clear"/>
        </w:rPr>
        <w:t> </w:t>
      </w:r>
    </w:p>
    <w:tbl>
      <w:tblPr>
        <w:tblW w:w="11669" w:type="dxa"/>
        <w:jc w:val="left"/>
        <w:tblInd w:w="0" w:type="dxa"/>
        <w:tblLayout w:type="fixed"/>
        <w:tblCellMar>
          <w:top w:w="0" w:type="dxa"/>
          <w:left w:w="0" w:type="dxa"/>
          <w:bottom w:w="0" w:type="dxa"/>
          <w:right w:w="0" w:type="dxa"/>
        </w:tblCellMar>
      </w:tblPr>
      <w:tblGrid>
        <w:gridCol w:w="1445"/>
        <w:gridCol w:w="120"/>
        <w:gridCol w:w="358"/>
        <w:gridCol w:w="1432"/>
        <w:gridCol w:w="60"/>
        <w:gridCol w:w="120"/>
        <w:gridCol w:w="537"/>
        <w:gridCol w:w="998"/>
        <w:gridCol w:w="60"/>
        <w:gridCol w:w="120"/>
        <w:gridCol w:w="328"/>
        <w:gridCol w:w="1312"/>
        <w:gridCol w:w="60"/>
        <w:gridCol w:w="120"/>
        <w:gridCol w:w="426"/>
        <w:gridCol w:w="794"/>
        <w:gridCol w:w="111"/>
        <w:gridCol w:w="223"/>
        <w:gridCol w:w="275"/>
        <w:gridCol w:w="1260"/>
        <w:gridCol w:w="155"/>
        <w:gridCol w:w="60"/>
        <w:gridCol w:w="427"/>
        <w:gridCol w:w="793"/>
        <w:gridCol w:w="75"/>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45" w:type="dxa"/>
            <w:vMerge w:val="restart"/>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As of December 31, 2022</w:t>
            </w:r>
          </w:p>
        </w:tc>
        <w:tc>
          <w:tcPr>
            <w:tcW w:w="120" w:type="dxa"/>
            <w:vMerge w:val="restart"/>
            <w:tcBorders/>
            <w:vAlign w:val="center"/>
          </w:tcPr>
          <w:p>
            <w:pPr>
              <w:pStyle w:val="TableContents"/>
              <w:bidi w:val="0"/>
              <w:spacing w:before="0" w:after="283"/>
              <w:jc w:val="left"/>
              <w:rPr/>
            </w:pPr>
            <w:r>
              <w:rPr/>
              <w:t>  </w:t>
            </w:r>
          </w:p>
        </w:tc>
        <w:tc>
          <w:tcPr>
            <w:tcW w:w="179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 of</w:t>
            </w:r>
          </w:p>
          <w:p>
            <w:pPr>
              <w:pStyle w:val="TableContents"/>
              <w:bidi w:val="0"/>
              <w:spacing w:before="0" w:after="0"/>
              <w:jc w:val="center"/>
              <w:rPr/>
            </w:pPr>
            <w:r>
              <w:rPr/>
            </w:r>
          </w:p>
          <w:p>
            <w:pPr>
              <w:pStyle w:val="TableContents"/>
              <w:bidi w:val="0"/>
              <w:spacing w:before="0" w:after="0"/>
              <w:jc w:val="center"/>
              <w:rPr>
                <w:b/>
                <w:spacing w:val="0"/>
              </w:rPr>
            </w:pPr>
            <w:r>
              <w:rPr>
                <w:b/>
                <w:spacing w:val="0"/>
              </w:rPr>
              <w:t>recognized</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liabilities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535"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w:t>
            </w:r>
          </w:p>
          <w:p>
            <w:pPr>
              <w:pStyle w:val="TableContents"/>
              <w:bidi w:val="0"/>
              <w:spacing w:before="0" w:after="0"/>
              <w:jc w:val="center"/>
              <w:rPr/>
            </w:pPr>
            <w:r>
              <w:rPr/>
            </w:r>
          </w:p>
          <w:p>
            <w:pPr>
              <w:pStyle w:val="TableContents"/>
              <w:bidi w:val="0"/>
              <w:spacing w:before="0" w:after="0"/>
              <w:jc w:val="center"/>
              <w:rPr>
                <w:b/>
                <w:spacing w:val="0"/>
              </w:rPr>
            </w:pPr>
            <w:r>
              <w:rPr>
                <w:b/>
                <w:spacing w:val="0"/>
              </w:rPr>
              <w:t>offset in the</w:t>
            </w:r>
          </w:p>
          <w:p>
            <w:pPr>
              <w:pStyle w:val="TableContents"/>
              <w:bidi w:val="0"/>
              <w:spacing w:before="0" w:after="0"/>
              <w:jc w:val="center"/>
              <w:rPr/>
            </w:pPr>
            <w:r>
              <w:rPr/>
            </w:r>
          </w:p>
          <w:p>
            <w:pPr>
              <w:pStyle w:val="TableContents"/>
              <w:bidi w:val="0"/>
              <w:spacing w:before="0" w:after="0"/>
              <w:jc w:val="center"/>
              <w:rPr>
                <w:b/>
                <w:spacing w:val="0"/>
              </w:rPr>
            </w:pPr>
            <w:r>
              <w:rPr>
                <w:b/>
                <w:spacing w:val="0"/>
              </w:rPr>
              <w:t>balance sheets</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vAlign w:val="center"/>
          </w:tcPr>
          <w:p>
            <w:pPr>
              <w:pStyle w:val="TableContents"/>
              <w:bidi w:val="0"/>
              <w:spacing w:before="0" w:after="283"/>
              <w:jc w:val="left"/>
              <w:rPr/>
            </w:pPr>
            <w:r>
              <w:rPr/>
              <w:t>  </w:t>
            </w:r>
          </w:p>
        </w:tc>
        <w:tc>
          <w:tcPr>
            <w:tcW w:w="164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amounts of</w:t>
            </w:r>
          </w:p>
          <w:p>
            <w:pPr>
              <w:pStyle w:val="TableContents"/>
              <w:bidi w:val="0"/>
              <w:spacing w:before="0" w:after="0"/>
              <w:jc w:val="center"/>
              <w:rPr/>
            </w:pPr>
            <w:r>
              <w:rPr/>
            </w:r>
          </w:p>
          <w:p>
            <w:pPr>
              <w:pStyle w:val="TableContents"/>
              <w:bidi w:val="0"/>
              <w:spacing w:before="0" w:after="0"/>
              <w:jc w:val="center"/>
              <w:rPr>
                <w:b/>
                <w:spacing w:val="0"/>
              </w:rPr>
            </w:pPr>
            <w:r>
              <w:rPr>
                <w:b/>
                <w:spacing w:val="0"/>
              </w:rPr>
              <w:t>liabilities</w:t>
            </w:r>
          </w:p>
          <w:p>
            <w:pPr>
              <w:pStyle w:val="TableContents"/>
              <w:bidi w:val="0"/>
              <w:spacing w:before="0" w:after="0"/>
              <w:jc w:val="center"/>
              <w:rPr/>
            </w:pPr>
            <w:r>
              <w:rPr/>
            </w:r>
          </w:p>
          <w:p>
            <w:pPr>
              <w:pStyle w:val="TableContents"/>
              <w:bidi w:val="0"/>
              <w:spacing w:before="0" w:after="0"/>
              <w:jc w:val="center"/>
              <w:rPr>
                <w:b/>
                <w:spacing w:val="0"/>
              </w:rPr>
            </w:pPr>
            <w:r>
              <w:rPr>
                <w:b/>
                <w:spacing w:val="0"/>
              </w:rPr>
              <w:t>presented in the</w:t>
            </w:r>
          </w:p>
          <w:p>
            <w:pPr>
              <w:pStyle w:val="TableContents"/>
              <w:bidi w:val="0"/>
              <w:spacing w:before="0" w:after="0"/>
              <w:jc w:val="center"/>
              <w:rPr/>
            </w:pPr>
            <w:r>
              <w:rPr/>
            </w:r>
          </w:p>
          <w:p>
            <w:pPr>
              <w:pStyle w:val="TableContents"/>
              <w:bidi w:val="0"/>
              <w:spacing w:before="0" w:after="0"/>
              <w:jc w:val="center"/>
              <w:rPr>
                <w:b/>
                <w:spacing w:val="0"/>
              </w:rPr>
            </w:pPr>
            <w:r>
              <w:rPr>
                <w:b/>
                <w:spacing w:val="0"/>
              </w:rPr>
              <w:t>balance sheets</w:t>
            </w:r>
          </w:p>
        </w:tc>
        <w:tc>
          <w:tcPr>
            <w:tcW w:w="60" w:type="dxa"/>
            <w:vMerge w:val="restart"/>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89"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Gross amounts not offset</w:t>
            </w:r>
          </w:p>
          <w:p>
            <w:pPr>
              <w:pStyle w:val="TableContents"/>
              <w:bidi w:val="0"/>
              <w:spacing w:before="0" w:after="0"/>
              <w:jc w:val="center"/>
              <w:rPr/>
            </w:pPr>
            <w:r>
              <w:rPr/>
            </w:r>
          </w:p>
          <w:p>
            <w:pPr>
              <w:pStyle w:val="TableContents"/>
              <w:bidi w:val="0"/>
              <w:spacing w:before="0" w:after="0"/>
              <w:jc w:val="center"/>
              <w:rPr>
                <w:b/>
                <w:spacing w:val="0"/>
              </w:rPr>
            </w:pPr>
            <w:r>
              <w:rPr>
                <w:b/>
                <w:spacing w:val="0"/>
              </w:rPr>
              <w:t>in the balance sheets</w:t>
            </w:r>
          </w:p>
        </w:tc>
        <w:tc>
          <w:tcPr>
            <w:tcW w:w="155"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220" w:type="dxa"/>
            <w:gridSpan w:val="2"/>
            <w:vMerge w:val="restart"/>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 amount</w:t>
            </w:r>
          </w:p>
        </w:tc>
        <w:tc>
          <w:tcPr>
            <w:tcW w:w="75" w:type="dxa"/>
            <w:vMerge w:val="restart"/>
            <w:tcBorders/>
            <w:vAlign w:val="center"/>
          </w:tcPr>
          <w:p>
            <w:pPr>
              <w:pStyle w:val="TableContents"/>
              <w:bidi w:val="0"/>
              <w:spacing w:before="0" w:after="283"/>
              <w:jc w:val="left"/>
              <w:rPr/>
            </w:pPr>
            <w:r>
              <w:rPr/>
              <w:t> </w:t>
            </w:r>
          </w:p>
        </w:tc>
      </w:tr>
      <w:tr>
        <w:trPr/>
        <w:tc>
          <w:tcPr>
            <w:tcW w:w="1445"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79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bottom w:val="single" w:sz="8" w:space="0" w:color="000000"/>
            </w:tcBorders>
            <w:tcMar>
              <w:bottom w:w="28" w:type="dxa"/>
            </w:tcMar>
            <w:vAlign w:val="center"/>
          </w:tcPr>
          <w:p>
            <w:pPr>
              <w:pStyle w:val="Normal"/>
              <w:bidi w:val="0"/>
              <w:jc w:val="left"/>
              <w:rPr/>
            </w:pPr>
            <w:r>
              <w:rPr/>
            </w:r>
          </w:p>
        </w:tc>
        <w:tc>
          <w:tcPr>
            <w:tcW w:w="1535" w:type="dxa"/>
            <w:gridSpan w:val="2"/>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1640"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Financial</w:t>
            </w:r>
          </w:p>
          <w:p>
            <w:pPr>
              <w:pStyle w:val="TableContents"/>
              <w:bidi w:val="0"/>
              <w:spacing w:before="0" w:after="0"/>
              <w:jc w:val="center"/>
              <w:rPr/>
            </w:pPr>
            <w:r>
              <w:rPr/>
            </w:r>
          </w:p>
          <w:p>
            <w:pPr>
              <w:pStyle w:val="TableContents"/>
              <w:bidi w:val="0"/>
              <w:spacing w:before="0" w:after="0"/>
              <w:jc w:val="center"/>
              <w:rPr>
                <w:b/>
                <w:spacing w:val="0"/>
              </w:rPr>
            </w:pPr>
            <w:r>
              <w:rPr>
                <w:b/>
                <w:spacing w:val="0"/>
              </w:rPr>
              <w:t>instruments</w:t>
            </w:r>
          </w:p>
        </w:tc>
        <w:tc>
          <w:tcPr>
            <w:tcW w:w="111"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Cash collateral</w:t>
            </w:r>
          </w:p>
          <w:p>
            <w:pPr>
              <w:pStyle w:val="TableContents"/>
              <w:bidi w:val="0"/>
              <w:spacing w:before="0" w:after="0"/>
              <w:jc w:val="center"/>
              <w:rPr/>
            </w:pPr>
            <w:r>
              <w:rPr/>
            </w:r>
          </w:p>
          <w:p>
            <w:pPr>
              <w:pStyle w:val="TableContents"/>
              <w:bidi w:val="0"/>
              <w:spacing w:before="0" w:after="0"/>
              <w:jc w:val="center"/>
              <w:rPr>
                <w:b/>
                <w:spacing w:val="0"/>
              </w:rPr>
            </w:pPr>
            <w:r>
              <w:rPr>
                <w:b/>
                <w:spacing w:val="0"/>
              </w:rPr>
              <w:t>pledged</w:t>
            </w:r>
          </w:p>
        </w:tc>
        <w:tc>
          <w:tcPr>
            <w:tcW w:w="155"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220" w:type="dxa"/>
            <w:gridSpan w:val="2"/>
            <w:vMerge w:val="continue"/>
            <w:tcBorders>
              <w:bottom w:val="single" w:sz="8" w:space="0" w:color="000000"/>
            </w:tcBorders>
            <w:tcMar>
              <w:bottom w:w="28" w:type="dxa"/>
            </w:tcMar>
            <w:vAlign w:val="center"/>
          </w:tcPr>
          <w:p>
            <w:pPr>
              <w:pStyle w:val="Normal"/>
              <w:bidi w:val="0"/>
              <w:jc w:val="left"/>
              <w:rPr/>
            </w:pPr>
            <w:r>
              <w:rPr/>
            </w:r>
          </w:p>
        </w:tc>
        <w:tc>
          <w:tcPr>
            <w:tcW w:w="75" w:type="dxa"/>
            <w:vMerge w:val="continue"/>
            <w:tcBorders/>
            <w:vAlign w:val="center"/>
          </w:tcPr>
          <w:p>
            <w:pPr>
              <w:pStyle w:val="Normal"/>
              <w:bidi w:val="0"/>
              <w:jc w:val="left"/>
              <w:rPr/>
            </w:pPr>
            <w:r>
              <w:rPr/>
            </w:r>
          </w:p>
        </w:tc>
      </w:tr>
      <w:tr>
        <w:trPr/>
        <w:tc>
          <w:tcPr>
            <w:tcW w:w="14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Liability Derivatives:</w:t>
            </w:r>
          </w:p>
        </w:tc>
        <w:tc>
          <w:tcPr>
            <w:tcW w:w="12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left"/>
              <w:rPr/>
            </w:pPr>
            <w:r>
              <w:rPr/>
              <w:t> </w:t>
            </w:r>
          </w:p>
        </w:tc>
        <w:tc>
          <w:tcPr>
            <w:tcW w:w="9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8" w:type="dxa"/>
            <w:tcBorders/>
            <w:shd w:fill="CCEEFF" w:val="clear"/>
            <w:vAlign w:val="center"/>
          </w:tcPr>
          <w:p>
            <w:pPr>
              <w:pStyle w:val="TableContents"/>
              <w:bidi w:val="0"/>
              <w:spacing w:before="0" w:after="283"/>
              <w:jc w:val="left"/>
              <w:rPr/>
            </w:pPr>
            <w:r>
              <w:rPr/>
              <w:t> </w:t>
            </w:r>
          </w:p>
        </w:tc>
        <w:tc>
          <w:tcPr>
            <w:tcW w:w="13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26"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2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vAlign w:val="center"/>
          </w:tcPr>
          <w:p>
            <w:pPr>
              <w:pStyle w:val="TableContents"/>
              <w:bidi w:val="0"/>
              <w:spacing w:before="0" w:after="283"/>
              <w:jc w:val="left"/>
              <w:rPr/>
            </w:pPr>
            <w:r>
              <w:rPr/>
              <w:t>  </w:t>
            </w:r>
          </w:p>
        </w:tc>
        <w:tc>
          <w:tcPr>
            <w:tcW w:w="358" w:type="dxa"/>
            <w:tcBorders/>
            <w:vAlign w:val="center"/>
          </w:tcPr>
          <w:p>
            <w:pPr>
              <w:pStyle w:val="TableContents"/>
              <w:bidi w:val="0"/>
              <w:spacing w:before="0" w:after="283"/>
              <w:jc w:val="left"/>
              <w:rPr/>
            </w:pPr>
            <w:r>
              <w:rPr/>
              <w:t>$</w:t>
            </w:r>
          </w:p>
        </w:tc>
        <w:tc>
          <w:tcPr>
            <w:tcW w:w="1432" w:type="dxa"/>
            <w:tcBorders/>
            <w:vAlign w:val="center"/>
          </w:tcPr>
          <w:p>
            <w:pPr>
              <w:pStyle w:val="TableContents"/>
              <w:bidi w:val="0"/>
              <w:spacing w:before="0" w:after="283"/>
              <w:jc w:val="right"/>
              <w:rPr/>
            </w:pPr>
            <w:r>
              <w:rPr/>
              <w:t>2,015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left"/>
              <w:rPr/>
            </w:pPr>
            <w:r>
              <w:rPr/>
              <w:t>$</w:t>
            </w:r>
          </w:p>
        </w:tc>
        <w:tc>
          <w:tcPr>
            <w:tcW w:w="99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1312" w:type="dxa"/>
            <w:tcBorders/>
            <w:vAlign w:val="center"/>
          </w:tcPr>
          <w:p>
            <w:pPr>
              <w:pStyle w:val="TableContents"/>
              <w:bidi w:val="0"/>
              <w:spacing w:before="0" w:after="283"/>
              <w:jc w:val="right"/>
              <w:rPr/>
            </w:pPr>
            <w:r>
              <w:rPr/>
              <w:t>2,015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6" w:type="dxa"/>
            <w:tcBorders/>
            <w:vAlign w:val="center"/>
          </w:tcPr>
          <w:p>
            <w:pPr>
              <w:pStyle w:val="TableContents"/>
              <w:bidi w:val="0"/>
              <w:spacing w:before="0" w:after="283"/>
              <w:jc w:val="left"/>
              <w:rPr/>
            </w:pPr>
            <w:r>
              <w:rPr/>
              <w:t>$</w:t>
            </w:r>
          </w:p>
        </w:tc>
        <w:tc>
          <w:tcPr>
            <w:tcW w:w="794" w:type="dxa"/>
            <w:tcBorders/>
            <w:vAlign w:val="center"/>
          </w:tcPr>
          <w:p>
            <w:pPr>
              <w:pStyle w:val="TableContents"/>
              <w:bidi w:val="0"/>
              <w:spacing w:before="0" w:after="283"/>
              <w:jc w:val="right"/>
              <w:rPr/>
            </w:pPr>
            <w:r>
              <w:rPr/>
              <w:t>— </w:t>
            </w:r>
          </w:p>
        </w:tc>
        <w:tc>
          <w:tcPr>
            <w:tcW w:w="111"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w:t>
            </w:r>
          </w:p>
        </w:tc>
        <w:tc>
          <w:tcPr>
            <w:tcW w:w="1260" w:type="dxa"/>
            <w:tcBorders/>
            <w:vAlign w:val="center"/>
          </w:tcPr>
          <w:p>
            <w:pPr>
              <w:pStyle w:val="TableContents"/>
              <w:bidi w:val="0"/>
              <w:spacing w:before="0" w:after="283"/>
              <w:jc w:val="right"/>
              <w:rPr/>
            </w:pPr>
            <w:r>
              <w:rPr/>
              <w:t>(1,940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7" w:type="dxa"/>
            <w:tcBorders/>
            <w:vAlign w:val="center"/>
          </w:tcPr>
          <w:p>
            <w:pPr>
              <w:pStyle w:val="TableContents"/>
              <w:bidi w:val="0"/>
              <w:spacing w:before="0" w:after="283"/>
              <w:jc w:val="left"/>
              <w:rPr/>
            </w:pPr>
            <w:r>
              <w:rPr/>
              <w:t>$</w:t>
            </w:r>
          </w:p>
        </w:tc>
        <w:tc>
          <w:tcPr>
            <w:tcW w:w="793" w:type="dxa"/>
            <w:tcBorders/>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11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sz w:val="20"/>
          <w:shd w:fill="FFFFFF" w:val="clear"/>
        </w:rPr>
      </w:pPr>
      <w:r>
        <w:rPr>
          <w:rFonts w:ascii="Times New Roman" w:hAnsi="Times New Roman"/>
          <w:sz w:val="20"/>
          <w:shd w:fill="FFFFFF" w:val="clear"/>
        </w:rPr>
        <w:t xml:space="preserve">For derivative instruments that are designated and qualify as cash flow hedges, gains or losses on the derivative aside from components excluded from the assessment of effectiveness are reported as a component of accumulated other comprehensive income or loss (“AOCI”) and reclassified into earnings in the same period or periods during which the hedged transaction affects earnings. Gains and losses on the derivative, representing hedge components excluded from the assessment of effectiveness, are recognized in current earnings.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table summarizes the impact of derivative instruments on the consolidated statements of operations for the three months ended September 30, 2023 and 2022 (in thousands): </w:t>
      </w:r>
    </w:p>
    <w:p>
      <w:pPr>
        <w:pStyle w:val="TextBody"/>
        <w:bidi w:val="0"/>
        <w:spacing w:before="0" w:after="0"/>
        <w:jc w:val="left"/>
        <w:rPr>
          <w:shd w:fill="FFFFFF" w:val="clear"/>
        </w:rPr>
      </w:pPr>
      <w:r>
        <w:rPr>
          <w:shd w:fill="FFFFFF" w:val="clear"/>
        </w:rPr>
        <w:t> </w:t>
      </w:r>
    </w:p>
    <w:p>
      <w:pPr>
        <w:pStyle w:val="TextBody"/>
        <w:bidi w:val="0"/>
        <w:spacing w:before="0" w:after="0"/>
        <w:jc w:val="left"/>
        <w:rPr>
          <w:sz w:val="24"/>
        </w:rPr>
      </w:pPr>
      <w:r>
        <w:rPr>
          <w:sz w:val="24"/>
        </w:rPr>
      </w:r>
    </w:p>
    <w:tbl>
      <w:tblPr>
        <w:tblW w:w="11225" w:type="dxa"/>
        <w:jc w:val="left"/>
        <w:tblInd w:w="0" w:type="dxa"/>
        <w:tblLayout w:type="fixed"/>
        <w:tblCellMar>
          <w:top w:w="0" w:type="dxa"/>
          <w:left w:w="0" w:type="dxa"/>
          <w:bottom w:w="0" w:type="dxa"/>
          <w:right w:w="0" w:type="dxa"/>
        </w:tblCellMar>
      </w:tblPr>
      <w:tblGrid>
        <w:gridCol w:w="1760"/>
        <w:gridCol w:w="120"/>
        <w:gridCol w:w="140"/>
        <w:gridCol w:w="635"/>
        <w:gridCol w:w="155"/>
        <w:gridCol w:w="60"/>
        <w:gridCol w:w="140"/>
        <w:gridCol w:w="755"/>
        <w:gridCol w:w="155"/>
        <w:gridCol w:w="60"/>
        <w:gridCol w:w="65"/>
        <w:gridCol w:w="959"/>
        <w:gridCol w:w="65"/>
        <w:gridCol w:w="131"/>
        <w:gridCol w:w="153"/>
        <w:gridCol w:w="498"/>
        <w:gridCol w:w="169"/>
        <w:gridCol w:w="65"/>
        <w:gridCol w:w="153"/>
        <w:gridCol w:w="702"/>
        <w:gridCol w:w="155"/>
        <w:gridCol w:w="60"/>
        <w:gridCol w:w="72"/>
        <w:gridCol w:w="2085"/>
        <w:gridCol w:w="72"/>
        <w:gridCol w:w="145"/>
        <w:gridCol w:w="170"/>
        <w:gridCol w:w="553"/>
        <w:gridCol w:w="188"/>
        <w:gridCol w:w="72"/>
        <w:gridCol w:w="170"/>
        <w:gridCol w:w="468"/>
        <w:gridCol w:w="75"/>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Derivatives in ASC 815</w:t>
            </w:r>
          </w:p>
          <w:p>
            <w:pPr>
              <w:pStyle w:val="TableContents"/>
              <w:bidi w:val="0"/>
              <w:spacing w:before="0" w:after="0"/>
              <w:jc w:val="left"/>
              <w:rPr>
                <w:rFonts w:ascii="Times New Roman" w:hAnsi="Times New Roman"/>
                <w:b/>
                <w:spacing w:val="0"/>
                <w:sz w:val="16"/>
              </w:rPr>
            </w:pPr>
            <w:r>
              <w:rPr>
                <w:rFonts w:ascii="Times New Roman" w:hAnsi="Times New Roman"/>
                <w:b/>
                <w:spacing w:val="0"/>
                <w:sz w:val="16"/>
              </w:rPr>
              <w:t>Cash Flow Hedging</w:t>
            </w:r>
          </w:p>
          <w:p>
            <w:pPr>
              <w:pStyle w:val="TableContents"/>
              <w:bidi w:val="0"/>
              <w:spacing w:before="0" w:after="2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Relationships                 </w:t>
            </w:r>
          </w:p>
        </w:tc>
        <w:tc>
          <w:tcPr>
            <w:tcW w:w="120" w:type="dxa"/>
            <w:tcBorders/>
            <w:vAlign w:val="center"/>
          </w:tcPr>
          <w:p>
            <w:pPr>
              <w:pStyle w:val="TableContents"/>
              <w:bidi w:val="0"/>
              <w:spacing w:before="0" w:after="0"/>
              <w:jc w:val="left"/>
              <w:rPr>
                <w:spacing w:val="0"/>
              </w:rPr>
            </w:pPr>
            <w:r>
              <w:rPr>
                <w:spacing w:val="0"/>
              </w:rPr>
              <w:t>  </w:t>
            </w:r>
          </w:p>
        </w:tc>
        <w:tc>
          <w:tcPr>
            <w:tcW w:w="1885" w:type="dxa"/>
            <w:gridSpan w:val="6"/>
            <w:tcBorders/>
            <w:vAlign w:val="center"/>
          </w:tcPr>
          <w:p>
            <w:pPr>
              <w:pStyle w:val="TableContents"/>
              <w:bidi w:val="0"/>
              <w:spacing w:before="0" w:after="0"/>
              <w:jc w:val="center"/>
              <w:rPr>
                <w:b/>
                <w:spacing w:val="0"/>
              </w:rPr>
            </w:pPr>
            <w:r>
              <w:rPr>
                <w:b/>
                <w:spacing w:val="0"/>
              </w:rPr>
              <w:t>Amount of Loss</w:t>
            </w:r>
          </w:p>
          <w:p>
            <w:pPr>
              <w:pStyle w:val="TableContents"/>
              <w:bidi w:val="0"/>
              <w:spacing w:before="0" w:after="0"/>
              <w:jc w:val="center"/>
              <w:rPr/>
            </w:pPr>
            <w:r>
              <w:rPr/>
            </w:r>
          </w:p>
          <w:p>
            <w:pPr>
              <w:pStyle w:val="TableContents"/>
              <w:bidi w:val="0"/>
              <w:spacing w:before="0" w:after="0"/>
              <w:jc w:val="center"/>
              <w:rPr>
                <w:b/>
                <w:spacing w:val="0"/>
              </w:rPr>
            </w:pPr>
            <w:r>
              <w:rPr>
                <w:b/>
                <w:spacing w:val="0"/>
              </w:rPr>
              <w:t>Recognized in</w:t>
            </w:r>
          </w:p>
          <w:p>
            <w:pPr>
              <w:pStyle w:val="TableContents"/>
              <w:bidi w:val="0"/>
              <w:spacing w:before="0" w:after="0"/>
              <w:jc w:val="center"/>
              <w:rPr/>
            </w:pPr>
            <w:r>
              <w:rPr/>
            </w:r>
          </w:p>
          <w:p>
            <w:pPr>
              <w:pStyle w:val="TableContents"/>
              <w:bidi w:val="0"/>
              <w:spacing w:before="0" w:after="0"/>
              <w:jc w:val="center"/>
              <w:rPr>
                <w:b/>
                <w:spacing w:val="0"/>
              </w:rPr>
            </w:pPr>
            <w:r>
              <w:rPr>
                <w:b/>
                <w:spacing w:val="0"/>
              </w:rPr>
              <w:t>AOCI on</w:t>
            </w:r>
          </w:p>
          <w:p>
            <w:pPr>
              <w:pStyle w:val="TableContents"/>
              <w:bidi w:val="0"/>
              <w:spacing w:before="0" w:after="0"/>
              <w:jc w:val="center"/>
              <w:rPr/>
            </w:pPr>
            <w:r>
              <w:rPr/>
            </w:r>
          </w:p>
          <w:p>
            <w:pPr>
              <w:pStyle w:val="TableContents"/>
              <w:bidi w:val="0"/>
              <w:spacing w:before="0" w:after="0"/>
              <w:jc w:val="center"/>
              <w:rPr>
                <w:b/>
                <w:spacing w:val="0"/>
              </w:rPr>
            </w:pPr>
            <w:r>
              <w:rPr>
                <w:b/>
                <w:spacing w:val="0"/>
              </w:rPr>
              <w:t>Derivatives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960" w:type="dxa"/>
            <w:gridSpan w:val="10"/>
            <w:tcBorders/>
            <w:vAlign w:val="center"/>
          </w:tcPr>
          <w:p>
            <w:pPr>
              <w:pStyle w:val="TableContents"/>
              <w:bidi w:val="0"/>
              <w:spacing w:before="0" w:after="0"/>
              <w:jc w:val="center"/>
              <w:rPr>
                <w:b/>
                <w:spacing w:val="0"/>
              </w:rPr>
            </w:pPr>
            <w:r>
              <w:rPr>
                <w:b/>
                <w:spacing w:val="0"/>
              </w:rPr>
              <w:t>Location/Amount of</w:t>
            </w:r>
          </w:p>
          <w:p>
            <w:pPr>
              <w:pStyle w:val="TableContents"/>
              <w:bidi w:val="0"/>
              <w:spacing w:before="0" w:after="0"/>
              <w:jc w:val="center"/>
              <w:rPr/>
            </w:pPr>
            <w:r>
              <w:rPr/>
            </w:r>
          </w:p>
          <w:p>
            <w:pPr>
              <w:pStyle w:val="TableContents"/>
              <w:bidi w:val="0"/>
              <w:spacing w:before="0" w:after="0"/>
              <w:jc w:val="center"/>
              <w:rPr>
                <w:b/>
                <w:spacing w:val="0"/>
              </w:rPr>
            </w:pPr>
            <w:r>
              <w:rPr>
                <w:b/>
                <w:spacing w:val="0"/>
              </w:rPr>
              <w:t>Loss</w:t>
            </w:r>
          </w:p>
          <w:p>
            <w:pPr>
              <w:pStyle w:val="TableContents"/>
              <w:bidi w:val="0"/>
              <w:spacing w:before="0" w:after="0"/>
              <w:jc w:val="center"/>
              <w:rPr/>
            </w:pPr>
            <w:r>
              <w:rPr/>
            </w:r>
          </w:p>
          <w:p>
            <w:pPr>
              <w:pStyle w:val="TableContents"/>
              <w:bidi w:val="0"/>
              <w:spacing w:before="0" w:after="0"/>
              <w:jc w:val="center"/>
              <w:rPr>
                <w:b/>
                <w:spacing w:val="0"/>
              </w:rPr>
            </w:pPr>
            <w:r>
              <w:rPr>
                <w:b/>
                <w:spacing w:val="0"/>
              </w:rPr>
              <w:t>Reclassified from AOCI</w:t>
            </w:r>
          </w:p>
          <w:p>
            <w:pPr>
              <w:pStyle w:val="TableContents"/>
              <w:bidi w:val="0"/>
              <w:spacing w:before="0" w:after="0"/>
              <w:jc w:val="center"/>
              <w:rPr/>
            </w:pPr>
            <w:r>
              <w:rPr/>
            </w:r>
          </w:p>
          <w:p>
            <w:pPr>
              <w:pStyle w:val="TableContents"/>
              <w:bidi w:val="0"/>
              <w:spacing w:before="0" w:after="0"/>
              <w:jc w:val="center"/>
              <w:rPr>
                <w:b/>
                <w:spacing w:val="0"/>
              </w:rPr>
            </w:pPr>
            <w:r>
              <w:rPr>
                <w:b/>
                <w:spacing w:val="0"/>
              </w:rPr>
              <w:t>Into Statement of Operations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995" w:type="dxa"/>
            <w:gridSpan w:val="10"/>
            <w:tcBorders/>
            <w:vAlign w:val="center"/>
          </w:tcPr>
          <w:p>
            <w:pPr>
              <w:pStyle w:val="TableContents"/>
              <w:bidi w:val="0"/>
              <w:spacing w:before="0" w:after="0"/>
              <w:jc w:val="center"/>
              <w:rPr>
                <w:b/>
                <w:spacing w:val="0"/>
              </w:rPr>
            </w:pPr>
            <w:r>
              <w:rPr>
                <w:b/>
                <w:spacing w:val="0"/>
              </w:rPr>
              <w:t>Location/Amount of Gain (Loss)</w:t>
            </w:r>
          </w:p>
          <w:p>
            <w:pPr>
              <w:pStyle w:val="TableContents"/>
              <w:bidi w:val="0"/>
              <w:spacing w:before="0" w:after="0"/>
              <w:jc w:val="center"/>
              <w:rPr/>
            </w:pPr>
            <w:r>
              <w:rPr/>
            </w:r>
          </w:p>
          <w:p>
            <w:pPr>
              <w:pStyle w:val="TableContents"/>
              <w:bidi w:val="0"/>
              <w:spacing w:before="0" w:after="0"/>
              <w:jc w:val="center"/>
              <w:rPr>
                <w:b/>
                <w:spacing w:val="0"/>
              </w:rPr>
            </w:pPr>
            <w:r>
              <w:rPr>
                <w:b/>
                <w:spacing w:val="0"/>
              </w:rPr>
              <w:t>Recognized in</w:t>
            </w:r>
          </w:p>
          <w:p>
            <w:pPr>
              <w:pStyle w:val="TableContents"/>
              <w:bidi w:val="0"/>
              <w:spacing w:before="0" w:after="0"/>
              <w:jc w:val="center"/>
              <w:rPr/>
            </w:pPr>
            <w:r>
              <w:rPr/>
            </w:r>
          </w:p>
          <w:p>
            <w:pPr>
              <w:pStyle w:val="TableContents"/>
              <w:bidi w:val="0"/>
              <w:spacing w:before="0" w:after="0"/>
              <w:jc w:val="center"/>
              <w:rPr>
                <w:b/>
                <w:spacing w:val="0"/>
              </w:rPr>
            </w:pPr>
            <w:r>
              <w:rPr>
                <w:b/>
                <w:spacing w:val="0"/>
              </w:rPr>
              <w:t>Statement of Operations on Derivatives</w:t>
            </w:r>
          </w:p>
        </w:tc>
        <w:tc>
          <w:tcPr>
            <w:tcW w:w="75" w:type="dxa"/>
            <w:tcBorders/>
            <w:vAlign w:val="center"/>
          </w:tcPr>
          <w:p>
            <w:pPr>
              <w:pStyle w:val="TableContents"/>
              <w:bidi w:val="0"/>
              <w:spacing w:before="0" w:after="0"/>
              <w:jc w:val="left"/>
              <w:rPr>
                <w:spacing w:val="0"/>
              </w:rPr>
            </w:pPr>
            <w:r>
              <w:rPr>
                <w:spacing w:val="0"/>
              </w:rPr>
              <w:t> </w:t>
            </w:r>
          </w:p>
        </w:tc>
      </w:tr>
      <w:tr>
        <w:trPr/>
        <w:tc>
          <w:tcPr>
            <w:tcW w:w="17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7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9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24" w:type="dxa"/>
            <w:gridSpan w:val="2"/>
            <w:tcBorders/>
            <w:vAlign w:val="center"/>
          </w:tcPr>
          <w:p>
            <w:pPr>
              <w:pStyle w:val="TableContents"/>
              <w:bidi w:val="0"/>
              <w:spacing w:before="0" w:after="0"/>
              <w:jc w:val="left"/>
              <w:rPr>
                <w:spacing w:val="0"/>
              </w:rPr>
            </w:pPr>
            <w:r>
              <w:rPr>
                <w:spacing w:val="0"/>
              </w:rPr>
              <w:t> </w:t>
            </w:r>
          </w:p>
        </w:tc>
        <w:tc>
          <w:tcPr>
            <w:tcW w:w="65" w:type="dxa"/>
            <w:tcBorders/>
            <w:vAlign w:val="center"/>
          </w:tcPr>
          <w:p>
            <w:pPr>
              <w:pStyle w:val="TableContents"/>
              <w:bidi w:val="0"/>
              <w:spacing w:before="0" w:after="0"/>
              <w:jc w:val="left"/>
              <w:rPr>
                <w:spacing w:val="0"/>
              </w:rPr>
            </w:pPr>
            <w:r>
              <w:rPr>
                <w:spacing w:val="0"/>
              </w:rPr>
              <w:t> </w:t>
            </w:r>
          </w:p>
        </w:tc>
        <w:tc>
          <w:tcPr>
            <w:tcW w:w="131" w:type="dxa"/>
            <w:tcBorders/>
            <w:vAlign w:val="center"/>
          </w:tcPr>
          <w:p>
            <w:pPr>
              <w:pStyle w:val="TableContents"/>
              <w:bidi w:val="0"/>
              <w:spacing w:before="0" w:after="0"/>
              <w:jc w:val="left"/>
              <w:rPr>
                <w:spacing w:val="0"/>
              </w:rPr>
            </w:pPr>
            <w:r>
              <w:rPr>
                <w:spacing w:val="0"/>
              </w:rPr>
              <w:t>  </w:t>
            </w:r>
          </w:p>
        </w:tc>
        <w:tc>
          <w:tcPr>
            <w:tcW w:w="651" w:type="dxa"/>
            <w:gridSpan w:val="2"/>
            <w:tcBorders/>
            <w:vAlign w:val="center"/>
          </w:tcPr>
          <w:p>
            <w:pPr>
              <w:pStyle w:val="TableContents"/>
              <w:bidi w:val="0"/>
              <w:spacing w:before="0" w:after="0"/>
              <w:jc w:val="left"/>
              <w:rPr>
                <w:spacing w:val="0"/>
              </w:rPr>
            </w:pPr>
            <w:r>
              <w:rPr>
                <w:spacing w:val="0"/>
              </w:rPr>
              <w:t> </w:t>
            </w:r>
          </w:p>
        </w:tc>
        <w:tc>
          <w:tcPr>
            <w:tcW w:w="169" w:type="dxa"/>
            <w:tcBorders/>
            <w:vAlign w:val="center"/>
          </w:tcPr>
          <w:p>
            <w:pPr>
              <w:pStyle w:val="TableContents"/>
              <w:bidi w:val="0"/>
              <w:spacing w:before="0" w:after="0"/>
              <w:jc w:val="left"/>
              <w:rPr>
                <w:spacing w:val="0"/>
              </w:rPr>
            </w:pPr>
            <w:r>
              <w:rPr>
                <w:spacing w:val="0"/>
              </w:rPr>
              <w:t> </w:t>
            </w:r>
          </w:p>
        </w:tc>
        <w:tc>
          <w:tcPr>
            <w:tcW w:w="65" w:type="dxa"/>
            <w:tcBorders/>
            <w:vAlign w:val="center"/>
          </w:tcPr>
          <w:p>
            <w:pPr>
              <w:pStyle w:val="TableContents"/>
              <w:bidi w:val="0"/>
              <w:spacing w:before="0" w:after="0"/>
              <w:jc w:val="left"/>
              <w:rPr>
                <w:spacing w:val="0"/>
              </w:rPr>
            </w:pPr>
            <w:r>
              <w:rPr>
                <w:spacing w:val="0"/>
              </w:rPr>
              <w:t> </w:t>
            </w:r>
          </w:p>
        </w:tc>
        <w:tc>
          <w:tcPr>
            <w:tcW w:w="85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157" w:type="dxa"/>
            <w:gridSpan w:val="2"/>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145" w:type="dxa"/>
            <w:tcBorders/>
            <w:vAlign w:val="center"/>
          </w:tcPr>
          <w:p>
            <w:pPr>
              <w:pStyle w:val="TableContents"/>
              <w:bidi w:val="0"/>
              <w:spacing w:before="0" w:after="0"/>
              <w:jc w:val="left"/>
              <w:rPr>
                <w:spacing w:val="0"/>
              </w:rPr>
            </w:pPr>
            <w:r>
              <w:rPr>
                <w:spacing w:val="0"/>
              </w:rPr>
              <w:t>  </w:t>
            </w:r>
          </w:p>
        </w:tc>
        <w:tc>
          <w:tcPr>
            <w:tcW w:w="723" w:type="dxa"/>
            <w:gridSpan w:val="2"/>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638" w:type="dxa"/>
            <w:gridSpan w:val="2"/>
            <w:tcBorders/>
            <w:vAlign w:val="center"/>
          </w:tcPr>
          <w:p>
            <w:pPr>
              <w:pStyle w:val="TableContents"/>
              <w:bidi w:val="0"/>
              <w:spacing w:before="0" w:after="0"/>
              <w:jc w:val="left"/>
              <w:rPr>
                <w:spacing w:val="0"/>
              </w:rPr>
            </w:pPr>
            <w:r>
              <w:rPr>
                <w:spacing w:val="0"/>
              </w:rPr>
              <w:t> </w:t>
            </w:r>
          </w:p>
        </w:tc>
        <w:tc>
          <w:tcPr>
            <w:tcW w:w="75" w:type="dxa"/>
            <w:tcBorders/>
            <w:vAlign w:val="center"/>
          </w:tcPr>
          <w:p>
            <w:pPr>
              <w:pStyle w:val="TableContents"/>
              <w:bidi w:val="0"/>
              <w:spacing w:before="0" w:after="0"/>
              <w:jc w:val="left"/>
              <w:rPr>
                <w:spacing w:val="0"/>
              </w:rPr>
            </w:pPr>
            <w:r>
              <w:rPr>
                <w:spacing w:val="0"/>
              </w:rPr>
              <w:t> </w:t>
            </w:r>
          </w:p>
        </w:tc>
      </w:tr>
      <w:tr>
        <w:trPr/>
        <w:tc>
          <w:tcPr>
            <w:tcW w:w="17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885" w:type="dxa"/>
            <w:gridSpan w:val="6"/>
            <w:tcBorders/>
            <w:vAlign w:val="center"/>
          </w:tcPr>
          <w:p>
            <w:pPr>
              <w:pStyle w:val="TableContents"/>
              <w:bidi w:val="0"/>
              <w:spacing w:before="0" w:after="0"/>
              <w:jc w:val="center"/>
              <w:rPr>
                <w:b/>
                <w:spacing w:val="0"/>
                <w:sz w:val="16"/>
              </w:rPr>
            </w:pPr>
            <w:r>
              <w:rPr>
                <w:b/>
                <w:spacing w:val="0"/>
                <w:sz w:val="16"/>
              </w:rPr>
              <w:t>Three Months Ended</w:t>
            </w:r>
          </w:p>
          <w:p>
            <w:pPr>
              <w:pStyle w:val="TableContents"/>
              <w:bidi w:val="0"/>
              <w:spacing w:before="0" w:after="0"/>
              <w:jc w:val="center"/>
              <w:rPr/>
            </w:pPr>
            <w:r>
              <w:rPr/>
            </w:r>
          </w:p>
          <w:p>
            <w:pPr>
              <w:pStyle w:val="TableContents"/>
              <w:bidi w:val="0"/>
              <w:spacing w:before="0" w:after="0"/>
              <w:jc w:val="center"/>
              <w:rPr>
                <w:b/>
                <w:spacing w:val="0"/>
                <w:sz w:val="16"/>
              </w:rPr>
            </w:pPr>
            <w:r>
              <w:rPr>
                <w:b/>
                <w:spacing w:val="0"/>
                <w:sz w:val="16"/>
              </w:rPr>
              <w:t>September 30,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24" w:type="dxa"/>
            <w:gridSpan w:val="2"/>
            <w:tcBorders/>
            <w:vAlign w:val="center"/>
          </w:tcPr>
          <w:p>
            <w:pPr>
              <w:pStyle w:val="TableContents"/>
              <w:bidi w:val="0"/>
              <w:spacing w:before="0" w:after="0"/>
              <w:jc w:val="left"/>
              <w:rPr>
                <w:spacing w:val="0"/>
              </w:rPr>
            </w:pPr>
            <w:r>
              <w:rPr>
                <w:spacing w:val="0"/>
              </w:rPr>
              <w:t> </w:t>
            </w:r>
          </w:p>
        </w:tc>
        <w:tc>
          <w:tcPr>
            <w:tcW w:w="65" w:type="dxa"/>
            <w:tcBorders/>
            <w:vAlign w:val="center"/>
          </w:tcPr>
          <w:p>
            <w:pPr>
              <w:pStyle w:val="TableContents"/>
              <w:bidi w:val="0"/>
              <w:spacing w:before="0" w:after="0"/>
              <w:jc w:val="left"/>
              <w:rPr>
                <w:spacing w:val="0"/>
              </w:rPr>
            </w:pPr>
            <w:r>
              <w:rPr>
                <w:spacing w:val="0"/>
              </w:rPr>
              <w:t> </w:t>
            </w:r>
          </w:p>
        </w:tc>
        <w:tc>
          <w:tcPr>
            <w:tcW w:w="131" w:type="dxa"/>
            <w:tcBorders/>
            <w:vAlign w:val="center"/>
          </w:tcPr>
          <w:p>
            <w:pPr>
              <w:pStyle w:val="TableContents"/>
              <w:bidi w:val="0"/>
              <w:spacing w:before="0" w:after="0"/>
              <w:jc w:val="left"/>
              <w:rPr>
                <w:spacing w:val="0"/>
              </w:rPr>
            </w:pPr>
            <w:r>
              <w:rPr>
                <w:spacing w:val="0"/>
              </w:rPr>
              <w:t>  </w:t>
            </w:r>
          </w:p>
        </w:tc>
        <w:tc>
          <w:tcPr>
            <w:tcW w:w="1740" w:type="dxa"/>
            <w:gridSpan w:val="6"/>
            <w:tcBorders/>
            <w:vAlign w:val="center"/>
          </w:tcPr>
          <w:p>
            <w:pPr>
              <w:pStyle w:val="TableContents"/>
              <w:bidi w:val="0"/>
              <w:spacing w:before="0" w:after="0"/>
              <w:jc w:val="center"/>
              <w:rPr>
                <w:b/>
                <w:spacing w:val="0"/>
                <w:sz w:val="16"/>
              </w:rPr>
            </w:pPr>
            <w:r>
              <w:rPr>
                <w:b/>
                <w:spacing w:val="0"/>
                <w:sz w:val="16"/>
              </w:rPr>
              <w:t>Three Months Ended</w:t>
            </w:r>
          </w:p>
          <w:p>
            <w:pPr>
              <w:pStyle w:val="TableContents"/>
              <w:bidi w:val="0"/>
              <w:spacing w:before="0" w:after="0"/>
              <w:jc w:val="center"/>
              <w:rPr/>
            </w:pPr>
            <w:r>
              <w:rPr/>
            </w:r>
          </w:p>
          <w:p>
            <w:pPr>
              <w:pStyle w:val="TableContents"/>
              <w:bidi w:val="0"/>
              <w:spacing w:before="0" w:after="0"/>
              <w:jc w:val="center"/>
              <w:rPr>
                <w:b/>
                <w:spacing w:val="0"/>
                <w:sz w:val="16"/>
              </w:rPr>
            </w:pPr>
            <w:r>
              <w:rPr>
                <w:b/>
                <w:spacing w:val="0"/>
                <w:sz w:val="16"/>
              </w:rPr>
              <w:t>September 30,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157" w:type="dxa"/>
            <w:gridSpan w:val="2"/>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145" w:type="dxa"/>
            <w:tcBorders/>
            <w:vAlign w:val="center"/>
          </w:tcPr>
          <w:p>
            <w:pPr>
              <w:pStyle w:val="TableContents"/>
              <w:bidi w:val="0"/>
              <w:spacing w:before="0" w:after="0"/>
              <w:jc w:val="left"/>
              <w:rPr>
                <w:spacing w:val="0"/>
              </w:rPr>
            </w:pPr>
            <w:r>
              <w:rPr>
                <w:spacing w:val="0"/>
              </w:rPr>
              <w:t>  </w:t>
            </w:r>
          </w:p>
        </w:tc>
        <w:tc>
          <w:tcPr>
            <w:tcW w:w="1621" w:type="dxa"/>
            <w:gridSpan w:val="6"/>
            <w:tcBorders/>
            <w:vAlign w:val="center"/>
          </w:tcPr>
          <w:p>
            <w:pPr>
              <w:pStyle w:val="TableContents"/>
              <w:bidi w:val="0"/>
              <w:spacing w:before="0" w:after="0"/>
              <w:jc w:val="center"/>
              <w:rPr>
                <w:b/>
                <w:spacing w:val="0"/>
                <w:sz w:val="16"/>
              </w:rPr>
            </w:pPr>
            <w:r>
              <w:rPr>
                <w:b/>
                <w:spacing w:val="0"/>
                <w:sz w:val="16"/>
              </w:rPr>
              <w:t>Three Months Ended</w:t>
            </w:r>
          </w:p>
          <w:p>
            <w:pPr>
              <w:pStyle w:val="TableContents"/>
              <w:bidi w:val="0"/>
              <w:spacing w:before="0" w:after="0"/>
              <w:jc w:val="center"/>
              <w:rPr/>
            </w:pPr>
            <w:r>
              <w:rPr/>
            </w:r>
          </w:p>
          <w:p>
            <w:pPr>
              <w:pStyle w:val="TableContents"/>
              <w:bidi w:val="0"/>
              <w:spacing w:before="0" w:after="0"/>
              <w:jc w:val="center"/>
              <w:rPr>
                <w:b/>
                <w:spacing w:val="0"/>
                <w:sz w:val="16"/>
              </w:rPr>
            </w:pPr>
            <w:r>
              <w:rPr>
                <w:b/>
                <w:spacing w:val="0"/>
                <w:sz w:val="16"/>
              </w:rPr>
              <w:t>September 30,</w:t>
            </w:r>
          </w:p>
        </w:tc>
        <w:tc>
          <w:tcPr>
            <w:tcW w:w="75" w:type="dxa"/>
            <w:tcBorders/>
            <w:vAlign w:val="center"/>
          </w:tcPr>
          <w:p>
            <w:pPr>
              <w:pStyle w:val="TableContents"/>
              <w:bidi w:val="0"/>
              <w:spacing w:before="0" w:after="0"/>
              <w:jc w:val="left"/>
              <w:rPr>
                <w:spacing w:val="0"/>
              </w:rPr>
            </w:pPr>
            <w:r>
              <w:rPr>
                <w:spacing w:val="0"/>
              </w:rPr>
              <w:t> </w:t>
            </w:r>
          </w:p>
        </w:tc>
      </w:tr>
      <w:tr>
        <w:trPr/>
        <w:tc>
          <w:tcPr>
            <w:tcW w:w="17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7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9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24" w:type="dxa"/>
            <w:gridSpan w:val="2"/>
            <w:tcBorders/>
            <w:vAlign w:val="center"/>
          </w:tcPr>
          <w:p>
            <w:pPr>
              <w:pStyle w:val="TableContents"/>
              <w:bidi w:val="0"/>
              <w:spacing w:before="0" w:after="0"/>
              <w:jc w:val="left"/>
              <w:rPr>
                <w:spacing w:val="0"/>
              </w:rPr>
            </w:pPr>
            <w:r>
              <w:rPr>
                <w:spacing w:val="0"/>
              </w:rPr>
              <w:t> </w:t>
            </w:r>
          </w:p>
        </w:tc>
        <w:tc>
          <w:tcPr>
            <w:tcW w:w="65" w:type="dxa"/>
            <w:tcBorders/>
            <w:vAlign w:val="center"/>
          </w:tcPr>
          <w:p>
            <w:pPr>
              <w:pStyle w:val="TableContents"/>
              <w:bidi w:val="0"/>
              <w:spacing w:before="0" w:after="0"/>
              <w:jc w:val="left"/>
              <w:rPr>
                <w:spacing w:val="0"/>
              </w:rPr>
            </w:pPr>
            <w:r>
              <w:rPr>
                <w:spacing w:val="0"/>
              </w:rPr>
              <w:t> </w:t>
            </w:r>
          </w:p>
        </w:tc>
        <w:tc>
          <w:tcPr>
            <w:tcW w:w="131" w:type="dxa"/>
            <w:tcBorders/>
            <w:vAlign w:val="center"/>
          </w:tcPr>
          <w:p>
            <w:pPr>
              <w:pStyle w:val="TableContents"/>
              <w:bidi w:val="0"/>
              <w:spacing w:before="0" w:after="0"/>
              <w:jc w:val="left"/>
              <w:rPr>
                <w:spacing w:val="0"/>
              </w:rPr>
            </w:pPr>
            <w:r>
              <w:rPr>
                <w:spacing w:val="0"/>
              </w:rPr>
              <w:t>  </w:t>
            </w:r>
          </w:p>
        </w:tc>
        <w:tc>
          <w:tcPr>
            <w:tcW w:w="651" w:type="dxa"/>
            <w:gridSpan w:val="2"/>
            <w:tcBorders/>
            <w:vAlign w:val="center"/>
          </w:tcPr>
          <w:p>
            <w:pPr>
              <w:pStyle w:val="TableContents"/>
              <w:bidi w:val="0"/>
              <w:spacing w:before="0" w:after="0"/>
              <w:jc w:val="left"/>
              <w:rPr>
                <w:spacing w:val="0"/>
              </w:rPr>
            </w:pPr>
            <w:r>
              <w:rPr>
                <w:spacing w:val="0"/>
              </w:rPr>
              <w:t> </w:t>
            </w:r>
          </w:p>
        </w:tc>
        <w:tc>
          <w:tcPr>
            <w:tcW w:w="169" w:type="dxa"/>
            <w:tcBorders/>
            <w:vAlign w:val="center"/>
          </w:tcPr>
          <w:p>
            <w:pPr>
              <w:pStyle w:val="TableContents"/>
              <w:bidi w:val="0"/>
              <w:spacing w:before="0" w:after="0"/>
              <w:jc w:val="left"/>
              <w:rPr>
                <w:spacing w:val="0"/>
              </w:rPr>
            </w:pPr>
            <w:r>
              <w:rPr>
                <w:spacing w:val="0"/>
              </w:rPr>
              <w:t> </w:t>
            </w:r>
          </w:p>
        </w:tc>
        <w:tc>
          <w:tcPr>
            <w:tcW w:w="65" w:type="dxa"/>
            <w:tcBorders/>
            <w:vAlign w:val="center"/>
          </w:tcPr>
          <w:p>
            <w:pPr>
              <w:pStyle w:val="TableContents"/>
              <w:bidi w:val="0"/>
              <w:spacing w:before="0" w:after="0"/>
              <w:jc w:val="left"/>
              <w:rPr>
                <w:spacing w:val="0"/>
              </w:rPr>
            </w:pPr>
            <w:r>
              <w:rPr>
                <w:spacing w:val="0"/>
              </w:rPr>
              <w:t> </w:t>
            </w:r>
          </w:p>
        </w:tc>
        <w:tc>
          <w:tcPr>
            <w:tcW w:w="85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157" w:type="dxa"/>
            <w:gridSpan w:val="2"/>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145" w:type="dxa"/>
            <w:tcBorders/>
            <w:vAlign w:val="center"/>
          </w:tcPr>
          <w:p>
            <w:pPr>
              <w:pStyle w:val="TableContents"/>
              <w:bidi w:val="0"/>
              <w:spacing w:before="0" w:after="0"/>
              <w:jc w:val="left"/>
              <w:rPr>
                <w:spacing w:val="0"/>
              </w:rPr>
            </w:pPr>
            <w:r>
              <w:rPr>
                <w:spacing w:val="0"/>
              </w:rPr>
              <w:t>  </w:t>
            </w:r>
          </w:p>
        </w:tc>
        <w:tc>
          <w:tcPr>
            <w:tcW w:w="723" w:type="dxa"/>
            <w:gridSpan w:val="2"/>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638" w:type="dxa"/>
            <w:gridSpan w:val="2"/>
            <w:tcBorders/>
            <w:vAlign w:val="center"/>
          </w:tcPr>
          <w:p>
            <w:pPr>
              <w:pStyle w:val="TableContents"/>
              <w:bidi w:val="0"/>
              <w:spacing w:before="0" w:after="0"/>
              <w:jc w:val="left"/>
              <w:rPr>
                <w:spacing w:val="0"/>
              </w:rPr>
            </w:pPr>
            <w:r>
              <w:rPr>
                <w:spacing w:val="0"/>
              </w:rPr>
              <w:t> </w:t>
            </w:r>
          </w:p>
        </w:tc>
        <w:tc>
          <w:tcPr>
            <w:tcW w:w="75" w:type="dxa"/>
            <w:tcBorders/>
            <w:vAlign w:val="center"/>
          </w:tcPr>
          <w:p>
            <w:pPr>
              <w:pStyle w:val="TableContents"/>
              <w:bidi w:val="0"/>
              <w:spacing w:before="0" w:after="0"/>
              <w:jc w:val="left"/>
              <w:rPr>
                <w:spacing w:val="0"/>
              </w:rPr>
            </w:pPr>
            <w:r>
              <w:rPr>
                <w:spacing w:val="0"/>
              </w:rPr>
              <w:t> </w:t>
            </w:r>
          </w:p>
        </w:tc>
      </w:tr>
      <w:tr>
        <w:trPr/>
        <w:tc>
          <w:tcPr>
            <w:tcW w:w="17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75" w:type="dxa"/>
            <w:gridSpan w:val="2"/>
            <w:tcBorders/>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95" w:type="dxa"/>
            <w:gridSpan w:val="2"/>
            <w:tcBorders/>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24" w:type="dxa"/>
            <w:gridSpan w:val="2"/>
            <w:tcBorders/>
            <w:vAlign w:val="center"/>
          </w:tcPr>
          <w:p>
            <w:pPr>
              <w:pStyle w:val="TableContents"/>
              <w:bidi w:val="0"/>
              <w:spacing w:before="0" w:after="0"/>
              <w:jc w:val="left"/>
              <w:rPr>
                <w:spacing w:val="0"/>
              </w:rPr>
            </w:pPr>
            <w:r>
              <w:rPr>
                <w:spacing w:val="0"/>
              </w:rPr>
              <w:t> </w:t>
            </w:r>
          </w:p>
        </w:tc>
        <w:tc>
          <w:tcPr>
            <w:tcW w:w="65" w:type="dxa"/>
            <w:tcBorders/>
            <w:vAlign w:val="center"/>
          </w:tcPr>
          <w:p>
            <w:pPr>
              <w:pStyle w:val="TableContents"/>
              <w:bidi w:val="0"/>
              <w:spacing w:before="0" w:after="0"/>
              <w:jc w:val="left"/>
              <w:rPr>
                <w:spacing w:val="0"/>
              </w:rPr>
            </w:pPr>
            <w:r>
              <w:rPr>
                <w:spacing w:val="0"/>
              </w:rPr>
              <w:t> </w:t>
            </w:r>
          </w:p>
        </w:tc>
        <w:tc>
          <w:tcPr>
            <w:tcW w:w="131" w:type="dxa"/>
            <w:tcBorders/>
            <w:vAlign w:val="center"/>
          </w:tcPr>
          <w:p>
            <w:pPr>
              <w:pStyle w:val="TableContents"/>
              <w:bidi w:val="0"/>
              <w:spacing w:before="0" w:after="0"/>
              <w:jc w:val="left"/>
              <w:rPr>
                <w:spacing w:val="0"/>
              </w:rPr>
            </w:pPr>
            <w:r>
              <w:rPr>
                <w:spacing w:val="0"/>
              </w:rPr>
              <w:t>  </w:t>
            </w:r>
          </w:p>
        </w:tc>
        <w:tc>
          <w:tcPr>
            <w:tcW w:w="651" w:type="dxa"/>
            <w:gridSpan w:val="2"/>
            <w:tcBorders/>
            <w:vAlign w:val="center"/>
          </w:tcPr>
          <w:p>
            <w:pPr>
              <w:pStyle w:val="TableContents"/>
              <w:bidi w:val="0"/>
              <w:spacing w:before="0" w:after="0"/>
              <w:jc w:val="center"/>
              <w:rPr>
                <w:b/>
                <w:spacing w:val="0"/>
              </w:rPr>
            </w:pPr>
            <w:r>
              <w:rPr>
                <w:b/>
                <w:spacing w:val="0"/>
              </w:rPr>
              <w:t>2023</w:t>
            </w:r>
          </w:p>
        </w:tc>
        <w:tc>
          <w:tcPr>
            <w:tcW w:w="169" w:type="dxa"/>
            <w:tcBorders/>
            <w:vAlign w:val="center"/>
          </w:tcPr>
          <w:p>
            <w:pPr>
              <w:pStyle w:val="TableContents"/>
              <w:bidi w:val="0"/>
              <w:spacing w:before="0" w:after="0"/>
              <w:jc w:val="left"/>
              <w:rPr>
                <w:spacing w:val="0"/>
              </w:rPr>
            </w:pPr>
            <w:r>
              <w:rPr>
                <w:spacing w:val="0"/>
              </w:rPr>
              <w:t> </w:t>
            </w:r>
          </w:p>
        </w:tc>
        <w:tc>
          <w:tcPr>
            <w:tcW w:w="65" w:type="dxa"/>
            <w:tcBorders/>
            <w:vAlign w:val="center"/>
          </w:tcPr>
          <w:p>
            <w:pPr>
              <w:pStyle w:val="TableContents"/>
              <w:bidi w:val="0"/>
              <w:spacing w:before="0" w:after="0"/>
              <w:jc w:val="left"/>
              <w:rPr>
                <w:spacing w:val="0"/>
              </w:rPr>
            </w:pPr>
            <w:r>
              <w:rPr>
                <w:spacing w:val="0"/>
              </w:rPr>
              <w:t> </w:t>
            </w:r>
          </w:p>
        </w:tc>
        <w:tc>
          <w:tcPr>
            <w:tcW w:w="855" w:type="dxa"/>
            <w:gridSpan w:val="2"/>
            <w:tcBorders/>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157" w:type="dxa"/>
            <w:gridSpan w:val="2"/>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145" w:type="dxa"/>
            <w:tcBorders/>
            <w:vAlign w:val="center"/>
          </w:tcPr>
          <w:p>
            <w:pPr>
              <w:pStyle w:val="TableContents"/>
              <w:bidi w:val="0"/>
              <w:spacing w:before="0" w:after="0"/>
              <w:jc w:val="left"/>
              <w:rPr>
                <w:spacing w:val="0"/>
              </w:rPr>
            </w:pPr>
            <w:r>
              <w:rPr>
                <w:spacing w:val="0"/>
              </w:rPr>
              <w:t>  </w:t>
            </w:r>
          </w:p>
        </w:tc>
        <w:tc>
          <w:tcPr>
            <w:tcW w:w="723" w:type="dxa"/>
            <w:gridSpan w:val="2"/>
            <w:tcBorders/>
            <w:vAlign w:val="center"/>
          </w:tcPr>
          <w:p>
            <w:pPr>
              <w:pStyle w:val="TableContents"/>
              <w:bidi w:val="0"/>
              <w:spacing w:before="0" w:after="0"/>
              <w:jc w:val="center"/>
              <w:rPr>
                <w:b/>
                <w:spacing w:val="0"/>
              </w:rPr>
            </w:pPr>
            <w:r>
              <w:rPr>
                <w:b/>
                <w:spacing w:val="0"/>
              </w:rPr>
              <w:t>2023</w:t>
            </w:r>
          </w:p>
        </w:tc>
        <w:tc>
          <w:tcPr>
            <w:tcW w:w="188" w:type="dxa"/>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638" w:type="dxa"/>
            <w:gridSpan w:val="2"/>
            <w:tcBorders/>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0"/>
              <w:jc w:val="left"/>
              <w:rPr>
                <w:spacing w:val="0"/>
              </w:rPr>
            </w:pPr>
            <w:r>
              <w:rPr>
                <w:spacing w:val="0"/>
              </w:rPr>
              <w:t> </w:t>
            </w:r>
          </w:p>
        </w:tc>
      </w:tr>
      <w:tr>
        <w:trPr/>
        <w:tc>
          <w:tcPr>
            <w:tcW w:w="17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7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9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24" w:type="dxa"/>
            <w:gridSpan w:val="2"/>
            <w:tcBorders/>
            <w:vAlign w:val="center"/>
          </w:tcPr>
          <w:p>
            <w:pPr>
              <w:pStyle w:val="TableContents"/>
              <w:bidi w:val="0"/>
              <w:spacing w:before="0" w:after="0"/>
              <w:jc w:val="left"/>
              <w:rPr>
                <w:spacing w:val="0"/>
              </w:rPr>
            </w:pPr>
            <w:r>
              <w:rPr>
                <w:spacing w:val="0"/>
              </w:rPr>
              <w:t> </w:t>
            </w:r>
          </w:p>
        </w:tc>
        <w:tc>
          <w:tcPr>
            <w:tcW w:w="65" w:type="dxa"/>
            <w:tcBorders/>
            <w:vAlign w:val="center"/>
          </w:tcPr>
          <w:p>
            <w:pPr>
              <w:pStyle w:val="TableContents"/>
              <w:bidi w:val="0"/>
              <w:spacing w:before="0" w:after="0"/>
              <w:jc w:val="left"/>
              <w:rPr>
                <w:spacing w:val="0"/>
              </w:rPr>
            </w:pPr>
            <w:r>
              <w:rPr>
                <w:spacing w:val="0"/>
              </w:rPr>
              <w:t> </w:t>
            </w:r>
          </w:p>
        </w:tc>
        <w:tc>
          <w:tcPr>
            <w:tcW w:w="131" w:type="dxa"/>
            <w:tcBorders/>
            <w:vAlign w:val="center"/>
          </w:tcPr>
          <w:p>
            <w:pPr>
              <w:pStyle w:val="TableContents"/>
              <w:bidi w:val="0"/>
              <w:spacing w:before="0" w:after="0"/>
              <w:jc w:val="left"/>
              <w:rPr>
                <w:spacing w:val="0"/>
              </w:rPr>
            </w:pPr>
            <w:r>
              <w:rPr>
                <w:spacing w:val="0"/>
              </w:rPr>
              <w:t>  </w:t>
            </w:r>
          </w:p>
        </w:tc>
        <w:tc>
          <w:tcPr>
            <w:tcW w:w="651" w:type="dxa"/>
            <w:gridSpan w:val="2"/>
            <w:tcBorders/>
            <w:vAlign w:val="center"/>
          </w:tcPr>
          <w:p>
            <w:pPr>
              <w:pStyle w:val="TableContents"/>
              <w:bidi w:val="0"/>
              <w:spacing w:before="0" w:after="0"/>
              <w:jc w:val="left"/>
              <w:rPr>
                <w:spacing w:val="0"/>
              </w:rPr>
            </w:pPr>
            <w:r>
              <w:rPr>
                <w:spacing w:val="0"/>
              </w:rPr>
              <w:t> </w:t>
            </w:r>
          </w:p>
        </w:tc>
        <w:tc>
          <w:tcPr>
            <w:tcW w:w="169" w:type="dxa"/>
            <w:tcBorders/>
            <w:vAlign w:val="center"/>
          </w:tcPr>
          <w:p>
            <w:pPr>
              <w:pStyle w:val="TableContents"/>
              <w:bidi w:val="0"/>
              <w:spacing w:before="0" w:after="0"/>
              <w:jc w:val="left"/>
              <w:rPr>
                <w:spacing w:val="0"/>
              </w:rPr>
            </w:pPr>
            <w:r>
              <w:rPr>
                <w:spacing w:val="0"/>
              </w:rPr>
              <w:t> </w:t>
            </w:r>
          </w:p>
        </w:tc>
        <w:tc>
          <w:tcPr>
            <w:tcW w:w="65" w:type="dxa"/>
            <w:tcBorders/>
            <w:vAlign w:val="center"/>
          </w:tcPr>
          <w:p>
            <w:pPr>
              <w:pStyle w:val="TableContents"/>
              <w:bidi w:val="0"/>
              <w:spacing w:before="0" w:after="0"/>
              <w:jc w:val="left"/>
              <w:rPr>
                <w:spacing w:val="0"/>
              </w:rPr>
            </w:pPr>
            <w:r>
              <w:rPr>
                <w:spacing w:val="0"/>
              </w:rPr>
              <w:t> </w:t>
            </w:r>
          </w:p>
        </w:tc>
        <w:tc>
          <w:tcPr>
            <w:tcW w:w="85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157" w:type="dxa"/>
            <w:gridSpan w:val="2"/>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145" w:type="dxa"/>
            <w:tcBorders/>
            <w:vAlign w:val="center"/>
          </w:tcPr>
          <w:p>
            <w:pPr>
              <w:pStyle w:val="TableContents"/>
              <w:bidi w:val="0"/>
              <w:spacing w:before="0" w:after="0"/>
              <w:jc w:val="left"/>
              <w:rPr>
                <w:spacing w:val="0"/>
              </w:rPr>
            </w:pPr>
            <w:r>
              <w:rPr>
                <w:spacing w:val="0"/>
              </w:rPr>
              <w:t>  </w:t>
            </w:r>
          </w:p>
        </w:tc>
        <w:tc>
          <w:tcPr>
            <w:tcW w:w="723" w:type="dxa"/>
            <w:gridSpan w:val="2"/>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638" w:type="dxa"/>
            <w:gridSpan w:val="2"/>
            <w:tcBorders/>
            <w:vAlign w:val="center"/>
          </w:tcPr>
          <w:p>
            <w:pPr>
              <w:pStyle w:val="TableContents"/>
              <w:bidi w:val="0"/>
              <w:spacing w:before="0" w:after="0"/>
              <w:jc w:val="left"/>
              <w:rPr>
                <w:spacing w:val="0"/>
              </w:rPr>
            </w:pPr>
            <w:r>
              <w:rPr>
                <w:spacing w:val="0"/>
              </w:rPr>
              <w:t> </w:t>
            </w:r>
          </w:p>
        </w:tc>
        <w:tc>
          <w:tcPr>
            <w:tcW w:w="75" w:type="dxa"/>
            <w:tcBorders/>
            <w:vAlign w:val="center"/>
          </w:tcPr>
          <w:p>
            <w:pPr>
              <w:pStyle w:val="TableContents"/>
              <w:bidi w:val="0"/>
              <w:spacing w:before="0" w:after="0"/>
              <w:jc w:val="left"/>
              <w:rPr>
                <w:spacing w:val="0"/>
              </w:rPr>
            </w:pPr>
            <w:r>
              <w:rPr>
                <w:spacing w:val="0"/>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7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9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24" w:type="dxa"/>
            <w:gridSpan w:val="2"/>
            <w:tcBorders/>
            <w:vAlign w:val="center"/>
          </w:tcPr>
          <w:p>
            <w:pPr>
              <w:pStyle w:val="TableContents"/>
              <w:bidi w:val="0"/>
              <w:spacing w:before="0" w:after="0"/>
              <w:jc w:val="left"/>
              <w:rPr>
                <w:spacing w:val="0"/>
              </w:rPr>
            </w:pPr>
            <w:r>
              <w:rPr>
                <w:spacing w:val="0"/>
              </w:rPr>
              <w:t> </w:t>
            </w:r>
          </w:p>
        </w:tc>
        <w:tc>
          <w:tcPr>
            <w:tcW w:w="65" w:type="dxa"/>
            <w:tcBorders/>
            <w:vAlign w:val="center"/>
          </w:tcPr>
          <w:p>
            <w:pPr>
              <w:pStyle w:val="TableContents"/>
              <w:bidi w:val="0"/>
              <w:spacing w:before="0" w:after="0"/>
              <w:jc w:val="left"/>
              <w:rPr>
                <w:spacing w:val="0"/>
              </w:rPr>
            </w:pPr>
            <w:r>
              <w:rPr>
                <w:spacing w:val="0"/>
              </w:rPr>
              <w:t> </w:t>
            </w:r>
          </w:p>
        </w:tc>
        <w:tc>
          <w:tcPr>
            <w:tcW w:w="131" w:type="dxa"/>
            <w:tcBorders/>
            <w:vAlign w:val="center"/>
          </w:tcPr>
          <w:p>
            <w:pPr>
              <w:pStyle w:val="TableContents"/>
              <w:bidi w:val="0"/>
              <w:spacing w:before="0" w:after="0"/>
              <w:jc w:val="left"/>
              <w:rPr>
                <w:spacing w:val="0"/>
              </w:rPr>
            </w:pPr>
            <w:r>
              <w:rPr>
                <w:spacing w:val="0"/>
              </w:rPr>
              <w:t>  </w:t>
            </w:r>
          </w:p>
        </w:tc>
        <w:tc>
          <w:tcPr>
            <w:tcW w:w="651" w:type="dxa"/>
            <w:gridSpan w:val="2"/>
            <w:tcBorders/>
            <w:vAlign w:val="center"/>
          </w:tcPr>
          <w:p>
            <w:pPr>
              <w:pStyle w:val="TableContents"/>
              <w:bidi w:val="0"/>
              <w:spacing w:before="0" w:after="0"/>
              <w:jc w:val="left"/>
              <w:rPr>
                <w:spacing w:val="0"/>
              </w:rPr>
            </w:pPr>
            <w:r>
              <w:rPr>
                <w:spacing w:val="0"/>
              </w:rPr>
              <w:t> </w:t>
            </w:r>
          </w:p>
        </w:tc>
        <w:tc>
          <w:tcPr>
            <w:tcW w:w="169" w:type="dxa"/>
            <w:tcBorders/>
            <w:vAlign w:val="center"/>
          </w:tcPr>
          <w:p>
            <w:pPr>
              <w:pStyle w:val="TableContents"/>
              <w:bidi w:val="0"/>
              <w:spacing w:before="0" w:after="0"/>
              <w:jc w:val="left"/>
              <w:rPr>
                <w:spacing w:val="0"/>
              </w:rPr>
            </w:pPr>
            <w:r>
              <w:rPr>
                <w:spacing w:val="0"/>
              </w:rPr>
              <w:t> </w:t>
            </w:r>
          </w:p>
        </w:tc>
        <w:tc>
          <w:tcPr>
            <w:tcW w:w="65" w:type="dxa"/>
            <w:tcBorders/>
            <w:vAlign w:val="center"/>
          </w:tcPr>
          <w:p>
            <w:pPr>
              <w:pStyle w:val="TableContents"/>
              <w:bidi w:val="0"/>
              <w:spacing w:before="0" w:after="0"/>
              <w:jc w:val="left"/>
              <w:rPr>
                <w:spacing w:val="0"/>
              </w:rPr>
            </w:pPr>
            <w:r>
              <w:rPr>
                <w:spacing w:val="0"/>
              </w:rPr>
              <w:t> </w:t>
            </w:r>
          </w:p>
        </w:tc>
        <w:tc>
          <w:tcPr>
            <w:tcW w:w="85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157" w:type="dxa"/>
            <w:gridSpan w:val="2"/>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145" w:type="dxa"/>
            <w:tcBorders/>
            <w:vAlign w:val="center"/>
          </w:tcPr>
          <w:p>
            <w:pPr>
              <w:pStyle w:val="TableContents"/>
              <w:bidi w:val="0"/>
              <w:spacing w:before="0" w:after="0"/>
              <w:jc w:val="left"/>
              <w:rPr>
                <w:spacing w:val="0"/>
              </w:rPr>
            </w:pPr>
            <w:r>
              <w:rPr>
                <w:spacing w:val="0"/>
              </w:rPr>
              <w:t>  </w:t>
            </w:r>
          </w:p>
        </w:tc>
        <w:tc>
          <w:tcPr>
            <w:tcW w:w="723" w:type="dxa"/>
            <w:gridSpan w:val="2"/>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638" w:type="dxa"/>
            <w:gridSpan w:val="2"/>
            <w:tcBorders/>
            <w:vAlign w:val="center"/>
          </w:tcPr>
          <w:p>
            <w:pPr>
              <w:pStyle w:val="TableContents"/>
              <w:bidi w:val="0"/>
              <w:spacing w:before="0" w:after="0"/>
              <w:jc w:val="left"/>
              <w:rPr>
                <w:spacing w:val="0"/>
              </w:rPr>
            </w:pPr>
            <w:r>
              <w:rPr>
                <w:spacing w:val="0"/>
              </w:rPr>
              <w:t> </w:t>
            </w:r>
          </w:p>
        </w:tc>
        <w:tc>
          <w:tcPr>
            <w:tcW w:w="75" w:type="dxa"/>
            <w:tcBorders/>
            <w:vAlign w:val="center"/>
          </w:tcPr>
          <w:p>
            <w:pPr>
              <w:pStyle w:val="TableContents"/>
              <w:bidi w:val="0"/>
              <w:spacing w:before="0" w:after="0"/>
              <w:jc w:val="left"/>
              <w:rPr>
                <w:spacing w:val="0"/>
              </w:rPr>
            </w:pPr>
            <w:r>
              <w:rPr>
                <w:spacing w:val="0"/>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4" w:type="dxa"/>
            <w:gridSpan w:val="2"/>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651" w:type="dxa"/>
            <w:gridSpan w:val="2"/>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5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7" w:type="dxa"/>
            <w:gridSpan w:val="2"/>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723" w:type="dxa"/>
            <w:gridSpan w:val="2"/>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38"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(1,013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(11,757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left"/>
              <w:rPr/>
            </w:pPr>
            <w:r>
              <w:rPr/>
              <w:t>Net sales</w:t>
            </w:r>
          </w:p>
        </w:tc>
        <w:tc>
          <w:tcPr>
            <w:tcW w:w="65"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498" w:type="dxa"/>
            <w:tcBorders/>
            <w:shd w:fill="CCEEFF" w:val="clear"/>
            <w:vAlign w:val="center"/>
          </w:tcPr>
          <w:p>
            <w:pPr>
              <w:pStyle w:val="TableContents"/>
              <w:bidi w:val="0"/>
              <w:spacing w:before="0" w:after="283"/>
              <w:jc w:val="right"/>
              <w:rPr/>
            </w:pPr>
            <w:r>
              <w:rPr/>
              <w:t>(698</w:t>
            </w:r>
          </w:p>
        </w:tc>
        <w:tc>
          <w:tcPr>
            <w:tcW w:w="169"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702" w:type="dxa"/>
            <w:tcBorders/>
            <w:shd w:fill="CCEEFF" w:val="clear"/>
            <w:vAlign w:val="center"/>
          </w:tcPr>
          <w:p>
            <w:pPr>
              <w:pStyle w:val="TableContents"/>
              <w:bidi w:val="0"/>
              <w:spacing w:before="0" w:after="283"/>
              <w:jc w:val="right"/>
              <w:rPr/>
            </w:pPr>
            <w:r>
              <w:rPr/>
              <w:t>(2,820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085" w:type="dxa"/>
            <w:tcBorders/>
            <w:shd w:fill="CCEEFF" w:val="clear"/>
            <w:vAlign w:val="center"/>
          </w:tcPr>
          <w:p>
            <w:pPr>
              <w:pStyle w:val="TableContents"/>
              <w:bidi w:val="0"/>
              <w:spacing w:before="0" w:after="283"/>
              <w:jc w:val="left"/>
              <w:rPr/>
            </w:pPr>
            <w:r>
              <w:rPr/>
              <w:t>Other income, net</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53" w:type="dxa"/>
            <w:tcBorders/>
            <w:shd w:fill="CCEEFF" w:val="clear"/>
            <w:vAlign w:val="center"/>
          </w:tcPr>
          <w:p>
            <w:pPr>
              <w:pStyle w:val="TableContents"/>
              <w:bidi w:val="0"/>
              <w:spacing w:before="0" w:after="283"/>
              <w:jc w:val="right"/>
              <w:rPr/>
            </w:pPr>
            <w:r>
              <w:rPr/>
              <w:t>(161</w:t>
            </w:r>
          </w:p>
        </w:tc>
        <w:tc>
          <w:tcPr>
            <w:tcW w:w="18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68" w:type="dxa"/>
            <w:tcBorders/>
            <w:shd w:fill="CCEEFF" w:val="clear"/>
            <w:vAlign w:val="center"/>
          </w:tcPr>
          <w:p>
            <w:pPr>
              <w:pStyle w:val="TableContents"/>
              <w:bidi w:val="0"/>
              <w:spacing w:before="0" w:after="283"/>
              <w:jc w:val="right"/>
              <w:rPr/>
            </w:pPr>
            <w:r>
              <w:rPr/>
              <w:t>146</w:t>
            </w:r>
          </w:p>
        </w:tc>
        <w:tc>
          <w:tcPr>
            <w:tcW w:w="75" w:type="dxa"/>
            <w:tcBorders/>
            <w:shd w:fill="CCEEFF" w:val="cle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single" w:sz="2" w:space="1" w:color="000000"/>
              </w:rPr>
            </w:pPr>
            <w:r>
              <w:rPr>
                <w:bdr w:val="single" w:sz="2" w:space="1" w:color="000000"/>
              </w:rPr>
              <w:t> </w:t>
            </w:r>
          </w:p>
        </w:tc>
        <w:tc>
          <w:tcPr>
            <w:tcW w:w="498" w:type="dxa"/>
            <w:tcBorders/>
            <w:vAlign w:val="center"/>
          </w:tcPr>
          <w:p>
            <w:pPr>
              <w:pStyle w:val="TableContents"/>
              <w:bidi w:val="0"/>
              <w:spacing w:before="0" w:after="0"/>
              <w:jc w:val="left"/>
              <w:rPr>
                <w:bdr w:val="single" w:sz="2" w:space="1" w:color="000000"/>
              </w:rPr>
            </w:pPr>
            <w:r>
              <w:rPr>
                <w:bdr w:val="single" w:sz="2" w:space="1" w:color="000000"/>
              </w:rPr>
              <w:t> </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single" w:sz="2" w:space="1" w:color="000000"/>
              </w:rPr>
            </w:pPr>
            <w:r>
              <w:rPr>
                <w:bdr w:val="single" w:sz="2" w:space="1" w:color="000000"/>
              </w:rPr>
              <w:t> </w:t>
            </w:r>
          </w:p>
        </w:tc>
        <w:tc>
          <w:tcPr>
            <w:tcW w:w="70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08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553" w:type="dxa"/>
            <w:tcBorders/>
            <w:vAlign w:val="center"/>
          </w:tcPr>
          <w:p>
            <w:pPr>
              <w:pStyle w:val="TableContents"/>
              <w:bidi w:val="0"/>
              <w:spacing w:before="0" w:after="0"/>
              <w:jc w:val="left"/>
              <w:rPr>
                <w:bdr w:val="single" w:sz="2" w:space="1" w:color="000000"/>
              </w:rPr>
            </w:pPr>
            <w:r>
              <w:rPr>
                <w:bdr w:val="single" w:sz="2" w:space="1" w:color="000000"/>
              </w:rPr>
              <w:t> </w:t>
            </w:r>
          </w:p>
        </w:tc>
        <w:tc>
          <w:tcPr>
            <w:tcW w:w="188"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46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(1,013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(11,757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498" w:type="dxa"/>
            <w:tcBorders/>
            <w:vAlign w:val="center"/>
          </w:tcPr>
          <w:p>
            <w:pPr>
              <w:pStyle w:val="TableContents"/>
              <w:bidi w:val="0"/>
              <w:spacing w:before="0" w:after="283"/>
              <w:jc w:val="right"/>
              <w:rPr/>
            </w:pPr>
            <w:r>
              <w:rPr/>
              <w:t>(698</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jc w:val="left"/>
              <w:rPr/>
            </w:pPr>
            <w:r>
              <w:rPr/>
              <w:t>$</w:t>
            </w:r>
          </w:p>
        </w:tc>
        <w:tc>
          <w:tcPr>
            <w:tcW w:w="702" w:type="dxa"/>
            <w:tcBorders/>
            <w:vAlign w:val="center"/>
          </w:tcPr>
          <w:p>
            <w:pPr>
              <w:pStyle w:val="TableContents"/>
              <w:bidi w:val="0"/>
              <w:spacing w:before="0" w:after="283"/>
              <w:jc w:val="right"/>
              <w:rPr/>
            </w:pPr>
            <w:r>
              <w:rPr/>
              <w:t>(2,820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08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3" w:type="dxa"/>
            <w:tcBorders/>
            <w:vAlign w:val="center"/>
          </w:tcPr>
          <w:p>
            <w:pPr>
              <w:pStyle w:val="TableContents"/>
              <w:bidi w:val="0"/>
              <w:spacing w:before="0" w:after="283"/>
              <w:jc w:val="right"/>
              <w:rPr/>
            </w:pPr>
            <w:r>
              <w:rPr/>
              <w:t>(161</w:t>
            </w:r>
          </w:p>
        </w:tc>
        <w:tc>
          <w:tcPr>
            <w:tcW w:w="188"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8" w:type="dxa"/>
            <w:tcBorders/>
            <w:vAlign w:val="center"/>
          </w:tcPr>
          <w:p>
            <w:pPr>
              <w:pStyle w:val="TableContents"/>
              <w:bidi w:val="0"/>
              <w:spacing w:before="0" w:after="283"/>
              <w:jc w:val="right"/>
              <w:rPr/>
            </w:pPr>
            <w:r>
              <w:rPr/>
              <w:t>146</w:t>
            </w:r>
          </w:p>
        </w:tc>
        <w:tc>
          <w:tcPr>
            <w:tcW w:w="7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double" w:sz="6" w:space="1" w:color="000000"/>
              </w:rPr>
            </w:pPr>
            <w:r>
              <w:rPr>
                <w:bdr w:val="double" w:sz="6" w:space="1" w:color="000000"/>
              </w:rPr>
              <w:t> </w:t>
            </w:r>
          </w:p>
        </w:tc>
        <w:tc>
          <w:tcPr>
            <w:tcW w:w="498" w:type="dxa"/>
            <w:tcBorders/>
            <w:vAlign w:val="center"/>
          </w:tcPr>
          <w:p>
            <w:pPr>
              <w:pStyle w:val="TableContents"/>
              <w:bidi w:val="0"/>
              <w:spacing w:before="0" w:after="0"/>
              <w:jc w:val="left"/>
              <w:rPr>
                <w:bdr w:val="double" w:sz="6" w:space="1" w:color="000000"/>
              </w:rPr>
            </w:pPr>
            <w:r>
              <w:rPr>
                <w:bdr w:val="double" w:sz="6" w:space="1" w:color="000000"/>
              </w:rPr>
              <w:t> </w:t>
            </w:r>
          </w:p>
        </w:tc>
        <w:tc>
          <w:tcPr>
            <w:tcW w:w="169"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jc w:val="left"/>
              <w:rPr>
                <w:bdr w:val="double" w:sz="6" w:space="1" w:color="000000"/>
              </w:rPr>
            </w:pPr>
            <w:r>
              <w:rPr>
                <w:bdr w:val="double" w:sz="6" w:space="1" w:color="000000"/>
              </w:rPr>
              <w:t> </w:t>
            </w:r>
          </w:p>
        </w:tc>
        <w:tc>
          <w:tcPr>
            <w:tcW w:w="70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08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double" w:sz="6" w:space="1" w:color="000000"/>
              </w:rPr>
            </w:pPr>
            <w:r>
              <w:rPr>
                <w:bdr w:val="double" w:sz="6" w:space="1" w:color="000000"/>
              </w:rPr>
              <w:t> </w:t>
            </w:r>
          </w:p>
        </w:tc>
        <w:tc>
          <w:tcPr>
            <w:tcW w:w="553" w:type="dxa"/>
            <w:tcBorders/>
            <w:vAlign w:val="center"/>
          </w:tcPr>
          <w:p>
            <w:pPr>
              <w:pStyle w:val="TableContents"/>
              <w:bidi w:val="0"/>
              <w:spacing w:before="0" w:after="0"/>
              <w:jc w:val="left"/>
              <w:rPr>
                <w:bdr w:val="double" w:sz="6" w:space="1" w:color="000000"/>
              </w:rPr>
            </w:pPr>
            <w:r>
              <w:rPr>
                <w:bdr w:val="double" w:sz="6" w:space="1" w:color="000000"/>
              </w:rPr>
              <w:t> </w:t>
            </w:r>
          </w:p>
        </w:tc>
        <w:tc>
          <w:tcPr>
            <w:tcW w:w="188"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double" w:sz="6" w:space="1" w:color="000000"/>
              </w:rPr>
            </w:pPr>
            <w:r>
              <w:rPr>
                <w:bdr w:val="double" w:sz="6" w:space="1" w:color="000000"/>
              </w:rPr>
              <w:t> </w:t>
            </w:r>
          </w:p>
        </w:tc>
        <w:tc>
          <w:tcPr>
            <w:tcW w:w="468"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The following table summarizes the impact of derivative instruments on the consolidated statements of operations for the nine months ended September 30, 2023 and 2022 (in thousands): </w:t>
      </w:r>
    </w:p>
    <w:p>
      <w:pPr>
        <w:pStyle w:val="TextBody"/>
        <w:bidi w:val="0"/>
        <w:spacing w:before="0" w:after="0"/>
        <w:jc w:val="left"/>
        <w:rPr>
          <w:shd w:fill="FFFFFF" w:val="clear"/>
        </w:rPr>
      </w:pPr>
      <w:r>
        <w:rPr>
          <w:shd w:fill="FFFFFF" w:val="clear"/>
        </w:rPr>
        <w:t> </w:t>
      </w:r>
    </w:p>
    <w:p>
      <w:pPr>
        <w:pStyle w:val="TextBody"/>
        <w:bidi w:val="0"/>
        <w:spacing w:before="0" w:after="0"/>
        <w:jc w:val="left"/>
        <w:rPr>
          <w:sz w:val="24"/>
        </w:rPr>
      </w:pPr>
      <w:r>
        <w:rPr>
          <w:sz w:val="24"/>
        </w:rPr>
      </w:r>
    </w:p>
    <w:tbl>
      <w:tblPr>
        <w:tblW w:w="11225" w:type="dxa"/>
        <w:jc w:val="left"/>
        <w:tblInd w:w="0" w:type="dxa"/>
        <w:tblLayout w:type="fixed"/>
        <w:tblCellMar>
          <w:top w:w="0" w:type="dxa"/>
          <w:left w:w="0" w:type="dxa"/>
          <w:bottom w:w="0" w:type="dxa"/>
          <w:right w:w="0" w:type="dxa"/>
        </w:tblCellMar>
      </w:tblPr>
      <w:tblGrid>
        <w:gridCol w:w="1760"/>
        <w:gridCol w:w="120"/>
        <w:gridCol w:w="140"/>
        <w:gridCol w:w="635"/>
        <w:gridCol w:w="155"/>
        <w:gridCol w:w="60"/>
        <w:gridCol w:w="140"/>
        <w:gridCol w:w="755"/>
        <w:gridCol w:w="155"/>
        <w:gridCol w:w="60"/>
        <w:gridCol w:w="61"/>
        <w:gridCol w:w="899"/>
        <w:gridCol w:w="61"/>
        <w:gridCol w:w="123"/>
        <w:gridCol w:w="143"/>
        <w:gridCol w:w="652"/>
        <w:gridCol w:w="159"/>
        <w:gridCol w:w="61"/>
        <w:gridCol w:w="143"/>
        <w:gridCol w:w="658"/>
        <w:gridCol w:w="155"/>
        <w:gridCol w:w="60"/>
        <w:gridCol w:w="72"/>
        <w:gridCol w:w="2085"/>
        <w:gridCol w:w="72"/>
        <w:gridCol w:w="145"/>
        <w:gridCol w:w="170"/>
        <w:gridCol w:w="553"/>
        <w:gridCol w:w="188"/>
        <w:gridCol w:w="72"/>
        <w:gridCol w:w="170"/>
        <w:gridCol w:w="468"/>
        <w:gridCol w:w="75"/>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0"/>
              <w:jc w:val="left"/>
              <w:rPr>
                <w:rFonts w:ascii="Times New Roman" w:hAnsi="Times New Roman"/>
                <w:b/>
                <w:spacing w:val="0"/>
                <w:sz w:val="16"/>
              </w:rPr>
            </w:pPr>
            <w:r>
              <w:rPr>
                <w:rFonts w:ascii="Times New Roman" w:hAnsi="Times New Roman"/>
                <w:b/>
                <w:spacing w:val="0"/>
                <w:sz w:val="16"/>
              </w:rPr>
              <w:t>Derivatives in ASC 815</w:t>
            </w:r>
          </w:p>
          <w:p>
            <w:pPr>
              <w:pStyle w:val="TableContents"/>
              <w:bidi w:val="0"/>
              <w:spacing w:before="0" w:after="0"/>
              <w:jc w:val="left"/>
              <w:rPr>
                <w:rFonts w:ascii="Times New Roman" w:hAnsi="Times New Roman"/>
                <w:b/>
                <w:spacing w:val="0"/>
                <w:sz w:val="16"/>
              </w:rPr>
            </w:pPr>
            <w:r>
              <w:rPr>
                <w:rFonts w:ascii="Times New Roman" w:hAnsi="Times New Roman"/>
                <w:b/>
                <w:spacing w:val="0"/>
                <w:sz w:val="16"/>
              </w:rPr>
              <w:t>Cash Flow Hedging</w:t>
            </w:r>
          </w:p>
          <w:p>
            <w:pPr>
              <w:pStyle w:val="TableContents"/>
              <w:bidi w:val="0"/>
              <w:spacing w:before="0" w:after="2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Relationships                 </w:t>
            </w:r>
          </w:p>
        </w:tc>
        <w:tc>
          <w:tcPr>
            <w:tcW w:w="120" w:type="dxa"/>
            <w:tcBorders/>
            <w:vAlign w:val="center"/>
          </w:tcPr>
          <w:p>
            <w:pPr>
              <w:pStyle w:val="TableContents"/>
              <w:bidi w:val="0"/>
              <w:spacing w:before="0" w:after="0"/>
              <w:jc w:val="left"/>
              <w:rPr>
                <w:spacing w:val="0"/>
              </w:rPr>
            </w:pPr>
            <w:r>
              <w:rPr>
                <w:spacing w:val="0"/>
              </w:rPr>
              <w:t>  </w:t>
            </w:r>
          </w:p>
        </w:tc>
        <w:tc>
          <w:tcPr>
            <w:tcW w:w="1885" w:type="dxa"/>
            <w:gridSpan w:val="6"/>
            <w:tcBorders/>
            <w:vAlign w:val="center"/>
          </w:tcPr>
          <w:p>
            <w:pPr>
              <w:pStyle w:val="TableContents"/>
              <w:bidi w:val="0"/>
              <w:spacing w:before="0" w:after="0"/>
              <w:jc w:val="center"/>
              <w:rPr>
                <w:b/>
                <w:spacing w:val="0"/>
              </w:rPr>
            </w:pPr>
            <w:r>
              <w:rPr>
                <w:b/>
                <w:spacing w:val="0"/>
              </w:rPr>
              <w:t>Amount of Loss</w:t>
            </w:r>
          </w:p>
          <w:p>
            <w:pPr>
              <w:pStyle w:val="TableContents"/>
              <w:bidi w:val="0"/>
              <w:spacing w:before="0" w:after="0"/>
              <w:jc w:val="center"/>
              <w:rPr/>
            </w:pPr>
            <w:r>
              <w:rPr/>
            </w:r>
          </w:p>
          <w:p>
            <w:pPr>
              <w:pStyle w:val="TableContents"/>
              <w:bidi w:val="0"/>
              <w:spacing w:before="0" w:after="0"/>
              <w:jc w:val="center"/>
              <w:rPr>
                <w:b/>
                <w:spacing w:val="0"/>
              </w:rPr>
            </w:pPr>
            <w:r>
              <w:rPr>
                <w:b/>
                <w:spacing w:val="0"/>
              </w:rPr>
              <w:t>Recognized in</w:t>
            </w:r>
          </w:p>
          <w:p>
            <w:pPr>
              <w:pStyle w:val="TableContents"/>
              <w:bidi w:val="0"/>
              <w:spacing w:before="0" w:after="0"/>
              <w:jc w:val="center"/>
              <w:rPr/>
            </w:pPr>
            <w:r>
              <w:rPr/>
            </w:r>
          </w:p>
          <w:p>
            <w:pPr>
              <w:pStyle w:val="TableContents"/>
              <w:bidi w:val="0"/>
              <w:spacing w:before="0" w:after="0"/>
              <w:jc w:val="center"/>
              <w:rPr>
                <w:b/>
                <w:spacing w:val="0"/>
              </w:rPr>
            </w:pPr>
            <w:r>
              <w:rPr>
                <w:b/>
                <w:spacing w:val="0"/>
              </w:rPr>
              <w:t>AOCI on</w:t>
            </w:r>
          </w:p>
          <w:p>
            <w:pPr>
              <w:pStyle w:val="TableContents"/>
              <w:bidi w:val="0"/>
              <w:spacing w:before="0" w:after="0"/>
              <w:jc w:val="center"/>
              <w:rPr/>
            </w:pPr>
            <w:r>
              <w:rPr/>
            </w:r>
          </w:p>
          <w:p>
            <w:pPr>
              <w:pStyle w:val="TableContents"/>
              <w:bidi w:val="0"/>
              <w:spacing w:before="0" w:after="0"/>
              <w:jc w:val="center"/>
              <w:rPr>
                <w:b/>
                <w:spacing w:val="0"/>
              </w:rPr>
            </w:pPr>
            <w:r>
              <w:rPr>
                <w:b/>
                <w:spacing w:val="0"/>
              </w:rPr>
              <w:t>Derivatives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960" w:type="dxa"/>
            <w:gridSpan w:val="10"/>
            <w:tcBorders/>
            <w:vAlign w:val="center"/>
          </w:tcPr>
          <w:p>
            <w:pPr>
              <w:pStyle w:val="TableContents"/>
              <w:bidi w:val="0"/>
              <w:spacing w:before="0" w:after="0"/>
              <w:jc w:val="center"/>
              <w:rPr>
                <w:b/>
                <w:spacing w:val="0"/>
              </w:rPr>
            </w:pPr>
            <w:r>
              <w:rPr>
                <w:b/>
                <w:spacing w:val="0"/>
              </w:rPr>
              <w:t>Location/Amount of</w:t>
            </w:r>
          </w:p>
          <w:p>
            <w:pPr>
              <w:pStyle w:val="TableContents"/>
              <w:bidi w:val="0"/>
              <w:spacing w:before="0" w:after="0"/>
              <w:jc w:val="center"/>
              <w:rPr/>
            </w:pPr>
            <w:r>
              <w:rPr/>
            </w:r>
          </w:p>
          <w:p>
            <w:pPr>
              <w:pStyle w:val="TableContents"/>
              <w:bidi w:val="0"/>
              <w:spacing w:before="0" w:after="0"/>
              <w:jc w:val="center"/>
              <w:rPr>
                <w:b/>
                <w:spacing w:val="0"/>
              </w:rPr>
            </w:pPr>
            <w:r>
              <w:rPr>
                <w:b/>
                <w:spacing w:val="0"/>
              </w:rPr>
              <w:t>Loss</w:t>
            </w:r>
          </w:p>
          <w:p>
            <w:pPr>
              <w:pStyle w:val="TableContents"/>
              <w:bidi w:val="0"/>
              <w:spacing w:before="0" w:after="0"/>
              <w:jc w:val="center"/>
              <w:rPr/>
            </w:pPr>
            <w:r>
              <w:rPr/>
            </w:r>
          </w:p>
          <w:p>
            <w:pPr>
              <w:pStyle w:val="TableContents"/>
              <w:bidi w:val="0"/>
              <w:spacing w:before="0" w:after="0"/>
              <w:jc w:val="center"/>
              <w:rPr>
                <w:b/>
                <w:spacing w:val="0"/>
              </w:rPr>
            </w:pPr>
            <w:r>
              <w:rPr>
                <w:b/>
                <w:spacing w:val="0"/>
              </w:rPr>
              <w:t>Reclassified from AOCI</w:t>
            </w:r>
          </w:p>
          <w:p>
            <w:pPr>
              <w:pStyle w:val="TableContents"/>
              <w:bidi w:val="0"/>
              <w:spacing w:before="0" w:after="0"/>
              <w:jc w:val="center"/>
              <w:rPr/>
            </w:pPr>
            <w:r>
              <w:rPr/>
            </w:r>
          </w:p>
          <w:p>
            <w:pPr>
              <w:pStyle w:val="TableContents"/>
              <w:bidi w:val="0"/>
              <w:spacing w:before="0" w:after="0"/>
              <w:jc w:val="center"/>
              <w:rPr>
                <w:b/>
                <w:spacing w:val="0"/>
              </w:rPr>
            </w:pPr>
            <w:r>
              <w:rPr>
                <w:b/>
                <w:spacing w:val="0"/>
              </w:rPr>
              <w:t>Into Statement of Operations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3995" w:type="dxa"/>
            <w:gridSpan w:val="10"/>
            <w:tcBorders/>
            <w:vAlign w:val="center"/>
          </w:tcPr>
          <w:p>
            <w:pPr>
              <w:pStyle w:val="TableContents"/>
              <w:bidi w:val="0"/>
              <w:spacing w:before="0" w:after="0"/>
              <w:jc w:val="center"/>
              <w:rPr>
                <w:b/>
                <w:spacing w:val="0"/>
              </w:rPr>
            </w:pPr>
            <w:r>
              <w:rPr>
                <w:b/>
                <w:spacing w:val="0"/>
              </w:rPr>
              <w:t>Location/Amount of Gain (Loss)</w:t>
            </w:r>
          </w:p>
          <w:p>
            <w:pPr>
              <w:pStyle w:val="TableContents"/>
              <w:bidi w:val="0"/>
              <w:spacing w:before="0" w:after="0"/>
              <w:jc w:val="center"/>
              <w:rPr/>
            </w:pPr>
            <w:r>
              <w:rPr/>
            </w:r>
          </w:p>
          <w:p>
            <w:pPr>
              <w:pStyle w:val="TableContents"/>
              <w:bidi w:val="0"/>
              <w:spacing w:before="0" w:after="0"/>
              <w:jc w:val="center"/>
              <w:rPr>
                <w:b/>
                <w:spacing w:val="0"/>
              </w:rPr>
            </w:pPr>
            <w:r>
              <w:rPr>
                <w:b/>
                <w:spacing w:val="0"/>
              </w:rPr>
              <w:t>Recognized in</w:t>
            </w:r>
          </w:p>
          <w:p>
            <w:pPr>
              <w:pStyle w:val="TableContents"/>
              <w:bidi w:val="0"/>
              <w:spacing w:before="0" w:after="0"/>
              <w:jc w:val="center"/>
              <w:rPr/>
            </w:pPr>
            <w:r>
              <w:rPr/>
            </w:r>
          </w:p>
          <w:p>
            <w:pPr>
              <w:pStyle w:val="TableContents"/>
              <w:bidi w:val="0"/>
              <w:spacing w:before="0" w:after="0"/>
              <w:jc w:val="center"/>
              <w:rPr>
                <w:b/>
                <w:spacing w:val="0"/>
              </w:rPr>
            </w:pPr>
            <w:r>
              <w:rPr>
                <w:b/>
                <w:spacing w:val="0"/>
              </w:rPr>
              <w:t>Statement of Operations on Derivatives</w:t>
            </w:r>
          </w:p>
        </w:tc>
        <w:tc>
          <w:tcPr>
            <w:tcW w:w="75" w:type="dxa"/>
            <w:tcBorders/>
            <w:vAlign w:val="center"/>
          </w:tcPr>
          <w:p>
            <w:pPr>
              <w:pStyle w:val="TableContents"/>
              <w:bidi w:val="0"/>
              <w:spacing w:before="0" w:after="0"/>
              <w:jc w:val="left"/>
              <w:rPr>
                <w:spacing w:val="0"/>
              </w:rPr>
            </w:pPr>
            <w:r>
              <w:rPr>
                <w:spacing w:val="0"/>
              </w:rPr>
              <w:t> </w:t>
            </w:r>
          </w:p>
        </w:tc>
      </w:tr>
      <w:tr>
        <w:trPr/>
        <w:tc>
          <w:tcPr>
            <w:tcW w:w="17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7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9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60" w:type="dxa"/>
            <w:gridSpan w:val="2"/>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123" w:type="dxa"/>
            <w:tcBorders/>
            <w:vAlign w:val="center"/>
          </w:tcPr>
          <w:p>
            <w:pPr>
              <w:pStyle w:val="TableContents"/>
              <w:bidi w:val="0"/>
              <w:spacing w:before="0" w:after="0"/>
              <w:jc w:val="left"/>
              <w:rPr>
                <w:spacing w:val="0"/>
              </w:rPr>
            </w:pPr>
            <w:r>
              <w:rPr>
                <w:spacing w:val="0"/>
              </w:rPr>
              <w:t>  </w:t>
            </w:r>
          </w:p>
        </w:tc>
        <w:tc>
          <w:tcPr>
            <w:tcW w:w="795" w:type="dxa"/>
            <w:gridSpan w:val="2"/>
            <w:tcBorders/>
            <w:vAlign w:val="center"/>
          </w:tcPr>
          <w:p>
            <w:pPr>
              <w:pStyle w:val="TableContents"/>
              <w:bidi w:val="0"/>
              <w:spacing w:before="0" w:after="0"/>
              <w:jc w:val="left"/>
              <w:rPr>
                <w:spacing w:val="0"/>
              </w:rPr>
            </w:pPr>
            <w:r>
              <w:rPr>
                <w:spacing w:val="0"/>
              </w:rPr>
              <w:t> </w:t>
            </w:r>
          </w:p>
        </w:tc>
        <w:tc>
          <w:tcPr>
            <w:tcW w:w="159"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801"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157" w:type="dxa"/>
            <w:gridSpan w:val="2"/>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145" w:type="dxa"/>
            <w:tcBorders/>
            <w:vAlign w:val="center"/>
          </w:tcPr>
          <w:p>
            <w:pPr>
              <w:pStyle w:val="TableContents"/>
              <w:bidi w:val="0"/>
              <w:spacing w:before="0" w:after="0"/>
              <w:jc w:val="left"/>
              <w:rPr>
                <w:spacing w:val="0"/>
              </w:rPr>
            </w:pPr>
            <w:r>
              <w:rPr>
                <w:spacing w:val="0"/>
              </w:rPr>
              <w:t>  </w:t>
            </w:r>
          </w:p>
        </w:tc>
        <w:tc>
          <w:tcPr>
            <w:tcW w:w="723" w:type="dxa"/>
            <w:gridSpan w:val="2"/>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638" w:type="dxa"/>
            <w:gridSpan w:val="2"/>
            <w:tcBorders/>
            <w:vAlign w:val="center"/>
          </w:tcPr>
          <w:p>
            <w:pPr>
              <w:pStyle w:val="TableContents"/>
              <w:bidi w:val="0"/>
              <w:spacing w:before="0" w:after="0"/>
              <w:jc w:val="left"/>
              <w:rPr>
                <w:spacing w:val="0"/>
              </w:rPr>
            </w:pPr>
            <w:r>
              <w:rPr>
                <w:spacing w:val="0"/>
              </w:rPr>
              <w:t> </w:t>
            </w:r>
          </w:p>
        </w:tc>
        <w:tc>
          <w:tcPr>
            <w:tcW w:w="75" w:type="dxa"/>
            <w:tcBorders/>
            <w:vAlign w:val="center"/>
          </w:tcPr>
          <w:p>
            <w:pPr>
              <w:pStyle w:val="TableContents"/>
              <w:bidi w:val="0"/>
              <w:spacing w:before="0" w:after="0"/>
              <w:jc w:val="left"/>
              <w:rPr>
                <w:spacing w:val="0"/>
              </w:rPr>
            </w:pPr>
            <w:r>
              <w:rPr>
                <w:spacing w:val="0"/>
              </w:rPr>
              <w:t> </w:t>
            </w:r>
          </w:p>
        </w:tc>
      </w:tr>
      <w:tr>
        <w:trPr/>
        <w:tc>
          <w:tcPr>
            <w:tcW w:w="17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885" w:type="dxa"/>
            <w:gridSpan w:val="6"/>
            <w:tcBorders/>
            <w:vAlign w:val="center"/>
          </w:tcPr>
          <w:p>
            <w:pPr>
              <w:pStyle w:val="TableContents"/>
              <w:bidi w:val="0"/>
              <w:spacing w:before="0" w:after="0"/>
              <w:jc w:val="center"/>
              <w:rPr>
                <w:b/>
                <w:spacing w:val="0"/>
                <w:sz w:val="16"/>
              </w:rPr>
            </w:pPr>
            <w:r>
              <w:rPr>
                <w:b/>
                <w:spacing w:val="0"/>
                <w:sz w:val="16"/>
              </w:rPr>
              <w:t>Nine Months Ended</w:t>
            </w:r>
          </w:p>
          <w:p>
            <w:pPr>
              <w:pStyle w:val="TableContents"/>
              <w:bidi w:val="0"/>
              <w:spacing w:before="0" w:after="0"/>
              <w:jc w:val="center"/>
              <w:rPr/>
            </w:pPr>
            <w:r>
              <w:rPr/>
            </w:r>
          </w:p>
          <w:p>
            <w:pPr>
              <w:pStyle w:val="TableContents"/>
              <w:bidi w:val="0"/>
              <w:spacing w:before="0" w:after="0"/>
              <w:jc w:val="center"/>
              <w:rPr>
                <w:b/>
                <w:spacing w:val="0"/>
                <w:sz w:val="16"/>
              </w:rPr>
            </w:pPr>
            <w:r>
              <w:rPr>
                <w:b/>
                <w:spacing w:val="0"/>
                <w:sz w:val="16"/>
              </w:rPr>
              <w:t>September 30,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60" w:type="dxa"/>
            <w:gridSpan w:val="2"/>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123" w:type="dxa"/>
            <w:tcBorders/>
            <w:vAlign w:val="center"/>
          </w:tcPr>
          <w:p>
            <w:pPr>
              <w:pStyle w:val="TableContents"/>
              <w:bidi w:val="0"/>
              <w:spacing w:before="0" w:after="0"/>
              <w:jc w:val="left"/>
              <w:rPr>
                <w:spacing w:val="0"/>
              </w:rPr>
            </w:pPr>
            <w:r>
              <w:rPr>
                <w:spacing w:val="0"/>
              </w:rPr>
              <w:t>  </w:t>
            </w:r>
          </w:p>
        </w:tc>
        <w:tc>
          <w:tcPr>
            <w:tcW w:w="1816" w:type="dxa"/>
            <w:gridSpan w:val="6"/>
            <w:tcBorders>
              <w:bottom w:val="single" w:sz="8" w:space="0" w:color="000000"/>
            </w:tcBorders>
            <w:tcMar>
              <w:bottom w:w="28" w:type="dxa"/>
            </w:tcMar>
            <w:vAlign w:val="center"/>
          </w:tcPr>
          <w:p>
            <w:pPr>
              <w:pStyle w:val="TableContents"/>
              <w:bidi w:val="0"/>
              <w:spacing w:before="0" w:after="0"/>
              <w:jc w:val="center"/>
              <w:rPr>
                <w:b/>
                <w:spacing w:val="0"/>
                <w:sz w:val="16"/>
              </w:rPr>
            </w:pPr>
            <w:r>
              <w:rPr>
                <w:b/>
                <w:spacing w:val="0"/>
                <w:sz w:val="16"/>
              </w:rPr>
              <w:t>Nine Months Ended</w:t>
              <w:br/>
              <w:t>September 30,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157" w:type="dxa"/>
            <w:gridSpan w:val="2"/>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145" w:type="dxa"/>
            <w:tcBorders/>
            <w:vAlign w:val="center"/>
          </w:tcPr>
          <w:p>
            <w:pPr>
              <w:pStyle w:val="TableContents"/>
              <w:bidi w:val="0"/>
              <w:spacing w:before="0" w:after="0"/>
              <w:jc w:val="left"/>
              <w:rPr>
                <w:spacing w:val="0"/>
              </w:rPr>
            </w:pPr>
            <w:r>
              <w:rPr>
                <w:spacing w:val="0"/>
              </w:rPr>
              <w:t>  </w:t>
            </w:r>
          </w:p>
        </w:tc>
        <w:tc>
          <w:tcPr>
            <w:tcW w:w="1621" w:type="dxa"/>
            <w:gridSpan w:val="6"/>
            <w:tcBorders/>
            <w:vAlign w:val="center"/>
          </w:tcPr>
          <w:p>
            <w:pPr>
              <w:pStyle w:val="TableContents"/>
              <w:bidi w:val="0"/>
              <w:spacing w:before="0" w:after="0"/>
              <w:jc w:val="center"/>
              <w:rPr>
                <w:b/>
                <w:spacing w:val="0"/>
                <w:sz w:val="16"/>
              </w:rPr>
            </w:pPr>
            <w:r>
              <w:rPr>
                <w:b/>
                <w:spacing w:val="0"/>
                <w:sz w:val="16"/>
              </w:rPr>
              <w:t>Nine Months Ended</w:t>
            </w:r>
          </w:p>
          <w:p>
            <w:pPr>
              <w:pStyle w:val="TableContents"/>
              <w:bidi w:val="0"/>
              <w:spacing w:before="0" w:after="0"/>
              <w:jc w:val="center"/>
              <w:rPr/>
            </w:pPr>
            <w:r>
              <w:rPr/>
            </w:r>
          </w:p>
          <w:p>
            <w:pPr>
              <w:pStyle w:val="TableContents"/>
              <w:bidi w:val="0"/>
              <w:spacing w:before="0" w:after="0"/>
              <w:jc w:val="center"/>
              <w:rPr>
                <w:b/>
                <w:spacing w:val="0"/>
                <w:sz w:val="16"/>
              </w:rPr>
            </w:pPr>
            <w:r>
              <w:rPr>
                <w:b/>
                <w:spacing w:val="0"/>
                <w:sz w:val="16"/>
              </w:rPr>
              <w:t>September 30,</w:t>
            </w:r>
          </w:p>
        </w:tc>
        <w:tc>
          <w:tcPr>
            <w:tcW w:w="75" w:type="dxa"/>
            <w:tcBorders/>
            <w:vAlign w:val="center"/>
          </w:tcPr>
          <w:p>
            <w:pPr>
              <w:pStyle w:val="TableContents"/>
              <w:bidi w:val="0"/>
              <w:spacing w:before="0" w:after="0"/>
              <w:jc w:val="left"/>
              <w:rPr>
                <w:spacing w:val="0"/>
              </w:rPr>
            </w:pPr>
            <w:r>
              <w:rPr>
                <w:spacing w:val="0"/>
              </w:rPr>
              <w:t> </w:t>
            </w:r>
          </w:p>
        </w:tc>
      </w:tr>
      <w:tr>
        <w:trPr/>
        <w:tc>
          <w:tcPr>
            <w:tcW w:w="17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7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9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60" w:type="dxa"/>
            <w:gridSpan w:val="2"/>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123" w:type="dxa"/>
            <w:tcBorders/>
            <w:vAlign w:val="center"/>
          </w:tcPr>
          <w:p>
            <w:pPr>
              <w:pStyle w:val="TableContents"/>
              <w:bidi w:val="0"/>
              <w:spacing w:before="0" w:after="0"/>
              <w:jc w:val="left"/>
              <w:rPr>
                <w:spacing w:val="0"/>
              </w:rPr>
            </w:pPr>
            <w:r>
              <w:rPr>
                <w:spacing w:val="0"/>
              </w:rPr>
              <w:t>  </w:t>
            </w:r>
          </w:p>
        </w:tc>
        <w:tc>
          <w:tcPr>
            <w:tcW w:w="795" w:type="dxa"/>
            <w:gridSpan w:val="2"/>
            <w:tcBorders/>
            <w:vAlign w:val="center"/>
          </w:tcPr>
          <w:p>
            <w:pPr>
              <w:pStyle w:val="TableContents"/>
              <w:bidi w:val="0"/>
              <w:spacing w:before="0" w:after="0"/>
              <w:jc w:val="left"/>
              <w:rPr>
                <w:spacing w:val="0"/>
              </w:rPr>
            </w:pPr>
            <w:r>
              <w:rPr>
                <w:spacing w:val="0"/>
              </w:rPr>
              <w:t> </w:t>
            </w:r>
          </w:p>
        </w:tc>
        <w:tc>
          <w:tcPr>
            <w:tcW w:w="159"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801"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157" w:type="dxa"/>
            <w:gridSpan w:val="2"/>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145" w:type="dxa"/>
            <w:tcBorders/>
            <w:vAlign w:val="center"/>
          </w:tcPr>
          <w:p>
            <w:pPr>
              <w:pStyle w:val="TableContents"/>
              <w:bidi w:val="0"/>
              <w:spacing w:before="0" w:after="0"/>
              <w:jc w:val="left"/>
              <w:rPr>
                <w:spacing w:val="0"/>
              </w:rPr>
            </w:pPr>
            <w:r>
              <w:rPr>
                <w:spacing w:val="0"/>
              </w:rPr>
              <w:t>  </w:t>
            </w:r>
          </w:p>
        </w:tc>
        <w:tc>
          <w:tcPr>
            <w:tcW w:w="723" w:type="dxa"/>
            <w:gridSpan w:val="2"/>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638" w:type="dxa"/>
            <w:gridSpan w:val="2"/>
            <w:tcBorders/>
            <w:vAlign w:val="center"/>
          </w:tcPr>
          <w:p>
            <w:pPr>
              <w:pStyle w:val="TableContents"/>
              <w:bidi w:val="0"/>
              <w:spacing w:before="0" w:after="0"/>
              <w:jc w:val="left"/>
              <w:rPr>
                <w:spacing w:val="0"/>
              </w:rPr>
            </w:pPr>
            <w:r>
              <w:rPr>
                <w:spacing w:val="0"/>
              </w:rPr>
              <w:t> </w:t>
            </w:r>
          </w:p>
        </w:tc>
        <w:tc>
          <w:tcPr>
            <w:tcW w:w="75" w:type="dxa"/>
            <w:tcBorders/>
            <w:vAlign w:val="center"/>
          </w:tcPr>
          <w:p>
            <w:pPr>
              <w:pStyle w:val="TableContents"/>
              <w:bidi w:val="0"/>
              <w:spacing w:before="0" w:after="0"/>
              <w:jc w:val="left"/>
              <w:rPr>
                <w:spacing w:val="0"/>
              </w:rPr>
            </w:pPr>
            <w:r>
              <w:rPr>
                <w:spacing w:val="0"/>
              </w:rPr>
              <w:t> </w:t>
            </w:r>
          </w:p>
        </w:tc>
      </w:tr>
      <w:tr>
        <w:trPr/>
        <w:tc>
          <w:tcPr>
            <w:tcW w:w="17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75" w:type="dxa"/>
            <w:gridSpan w:val="2"/>
            <w:tcBorders/>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95" w:type="dxa"/>
            <w:gridSpan w:val="2"/>
            <w:tcBorders/>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60" w:type="dxa"/>
            <w:gridSpan w:val="2"/>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123" w:type="dxa"/>
            <w:tcBorders/>
            <w:vAlign w:val="center"/>
          </w:tcPr>
          <w:p>
            <w:pPr>
              <w:pStyle w:val="TableContents"/>
              <w:bidi w:val="0"/>
              <w:spacing w:before="0" w:after="0"/>
              <w:jc w:val="left"/>
              <w:rPr>
                <w:spacing w:val="0"/>
              </w:rPr>
            </w:pPr>
            <w:r>
              <w:rPr>
                <w:spacing w:val="0"/>
              </w:rPr>
              <w:t>  </w:t>
            </w:r>
          </w:p>
        </w:tc>
        <w:tc>
          <w:tcPr>
            <w:tcW w:w="795" w:type="dxa"/>
            <w:gridSpan w:val="2"/>
            <w:tcBorders/>
            <w:vAlign w:val="center"/>
          </w:tcPr>
          <w:p>
            <w:pPr>
              <w:pStyle w:val="TableContents"/>
              <w:bidi w:val="0"/>
              <w:spacing w:before="0" w:after="0"/>
              <w:jc w:val="center"/>
              <w:rPr>
                <w:b/>
                <w:spacing w:val="0"/>
              </w:rPr>
            </w:pPr>
            <w:r>
              <w:rPr>
                <w:b/>
                <w:spacing w:val="0"/>
              </w:rPr>
              <w:t>2023</w:t>
            </w:r>
          </w:p>
        </w:tc>
        <w:tc>
          <w:tcPr>
            <w:tcW w:w="159"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801" w:type="dxa"/>
            <w:gridSpan w:val="2"/>
            <w:tcBorders/>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157" w:type="dxa"/>
            <w:gridSpan w:val="2"/>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145" w:type="dxa"/>
            <w:tcBorders/>
            <w:vAlign w:val="center"/>
          </w:tcPr>
          <w:p>
            <w:pPr>
              <w:pStyle w:val="TableContents"/>
              <w:bidi w:val="0"/>
              <w:spacing w:before="0" w:after="0"/>
              <w:jc w:val="left"/>
              <w:rPr>
                <w:spacing w:val="0"/>
              </w:rPr>
            </w:pPr>
            <w:r>
              <w:rPr>
                <w:spacing w:val="0"/>
              </w:rPr>
              <w:t>  </w:t>
            </w:r>
          </w:p>
        </w:tc>
        <w:tc>
          <w:tcPr>
            <w:tcW w:w="723" w:type="dxa"/>
            <w:gridSpan w:val="2"/>
            <w:tcBorders/>
            <w:vAlign w:val="center"/>
          </w:tcPr>
          <w:p>
            <w:pPr>
              <w:pStyle w:val="TableContents"/>
              <w:bidi w:val="0"/>
              <w:spacing w:before="0" w:after="0"/>
              <w:jc w:val="center"/>
              <w:rPr>
                <w:b/>
                <w:spacing w:val="0"/>
              </w:rPr>
            </w:pPr>
            <w:r>
              <w:rPr>
                <w:b/>
                <w:spacing w:val="0"/>
              </w:rPr>
              <w:t>2023</w:t>
            </w:r>
          </w:p>
        </w:tc>
        <w:tc>
          <w:tcPr>
            <w:tcW w:w="188" w:type="dxa"/>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638" w:type="dxa"/>
            <w:gridSpan w:val="2"/>
            <w:tcBorders/>
            <w:vAlign w:val="center"/>
          </w:tcPr>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0"/>
              <w:jc w:val="left"/>
              <w:rPr>
                <w:spacing w:val="0"/>
              </w:rPr>
            </w:pPr>
            <w:r>
              <w:rPr>
                <w:spacing w:val="0"/>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77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89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60" w:type="dxa"/>
            <w:gridSpan w:val="2"/>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123" w:type="dxa"/>
            <w:tcBorders/>
            <w:vAlign w:val="center"/>
          </w:tcPr>
          <w:p>
            <w:pPr>
              <w:pStyle w:val="TableContents"/>
              <w:bidi w:val="0"/>
              <w:spacing w:before="0" w:after="0"/>
              <w:jc w:val="left"/>
              <w:rPr>
                <w:spacing w:val="0"/>
              </w:rPr>
            </w:pPr>
            <w:r>
              <w:rPr>
                <w:spacing w:val="0"/>
              </w:rPr>
              <w:t>  </w:t>
            </w:r>
          </w:p>
        </w:tc>
        <w:tc>
          <w:tcPr>
            <w:tcW w:w="795" w:type="dxa"/>
            <w:gridSpan w:val="2"/>
            <w:tcBorders/>
            <w:vAlign w:val="center"/>
          </w:tcPr>
          <w:p>
            <w:pPr>
              <w:pStyle w:val="TableContents"/>
              <w:bidi w:val="0"/>
              <w:spacing w:before="0" w:after="0"/>
              <w:jc w:val="left"/>
              <w:rPr>
                <w:spacing w:val="0"/>
              </w:rPr>
            </w:pPr>
            <w:r>
              <w:rPr>
                <w:spacing w:val="0"/>
              </w:rPr>
              <w:t> </w:t>
            </w:r>
          </w:p>
        </w:tc>
        <w:tc>
          <w:tcPr>
            <w:tcW w:w="159" w:type="dxa"/>
            <w:tcBorders/>
            <w:vAlign w:val="center"/>
          </w:tcPr>
          <w:p>
            <w:pPr>
              <w:pStyle w:val="TableContents"/>
              <w:bidi w:val="0"/>
              <w:spacing w:before="0" w:after="0"/>
              <w:jc w:val="left"/>
              <w:rPr>
                <w:spacing w:val="0"/>
              </w:rPr>
            </w:pPr>
            <w:r>
              <w:rPr>
                <w:spacing w:val="0"/>
              </w:rPr>
              <w:t> </w:t>
            </w:r>
          </w:p>
        </w:tc>
        <w:tc>
          <w:tcPr>
            <w:tcW w:w="61" w:type="dxa"/>
            <w:tcBorders/>
            <w:vAlign w:val="center"/>
          </w:tcPr>
          <w:p>
            <w:pPr>
              <w:pStyle w:val="TableContents"/>
              <w:bidi w:val="0"/>
              <w:spacing w:before="0" w:after="0"/>
              <w:jc w:val="left"/>
              <w:rPr>
                <w:spacing w:val="0"/>
              </w:rPr>
            </w:pPr>
            <w:r>
              <w:rPr>
                <w:spacing w:val="0"/>
              </w:rPr>
              <w:t> </w:t>
            </w:r>
          </w:p>
        </w:tc>
        <w:tc>
          <w:tcPr>
            <w:tcW w:w="801"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2157" w:type="dxa"/>
            <w:gridSpan w:val="2"/>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145" w:type="dxa"/>
            <w:tcBorders/>
            <w:vAlign w:val="center"/>
          </w:tcPr>
          <w:p>
            <w:pPr>
              <w:pStyle w:val="TableContents"/>
              <w:bidi w:val="0"/>
              <w:spacing w:before="0" w:after="0"/>
              <w:jc w:val="left"/>
              <w:rPr>
                <w:spacing w:val="0"/>
              </w:rPr>
            </w:pPr>
            <w:r>
              <w:rPr>
                <w:spacing w:val="0"/>
              </w:rPr>
              <w:t>  </w:t>
            </w:r>
          </w:p>
        </w:tc>
        <w:tc>
          <w:tcPr>
            <w:tcW w:w="723" w:type="dxa"/>
            <w:gridSpan w:val="2"/>
            <w:tcBorders/>
            <w:vAlign w:val="center"/>
          </w:tcPr>
          <w:p>
            <w:pPr>
              <w:pStyle w:val="TableContents"/>
              <w:bidi w:val="0"/>
              <w:spacing w:before="0" w:after="0"/>
              <w:jc w:val="left"/>
              <w:rPr>
                <w:spacing w:val="0"/>
              </w:rPr>
            </w:pPr>
            <w:r>
              <w:rPr>
                <w:spacing w:val="0"/>
              </w:rPr>
              <w:t> </w:t>
            </w:r>
          </w:p>
        </w:tc>
        <w:tc>
          <w:tcPr>
            <w:tcW w:w="188" w:type="dxa"/>
            <w:tcBorders/>
            <w:vAlign w:val="center"/>
          </w:tcPr>
          <w:p>
            <w:pPr>
              <w:pStyle w:val="TableContents"/>
              <w:bidi w:val="0"/>
              <w:spacing w:before="0" w:after="0"/>
              <w:jc w:val="left"/>
              <w:rPr>
                <w:spacing w:val="0"/>
              </w:rPr>
            </w:pPr>
            <w:r>
              <w:rPr>
                <w:spacing w:val="0"/>
              </w:rPr>
              <w:t> </w:t>
            </w:r>
          </w:p>
        </w:tc>
        <w:tc>
          <w:tcPr>
            <w:tcW w:w="72" w:type="dxa"/>
            <w:tcBorders/>
            <w:vAlign w:val="center"/>
          </w:tcPr>
          <w:p>
            <w:pPr>
              <w:pStyle w:val="TableContents"/>
              <w:bidi w:val="0"/>
              <w:spacing w:before="0" w:after="0"/>
              <w:jc w:val="left"/>
              <w:rPr>
                <w:spacing w:val="0"/>
              </w:rPr>
            </w:pPr>
            <w:r>
              <w:rPr>
                <w:spacing w:val="0"/>
              </w:rPr>
              <w:t> </w:t>
            </w:r>
          </w:p>
        </w:tc>
        <w:tc>
          <w:tcPr>
            <w:tcW w:w="638" w:type="dxa"/>
            <w:gridSpan w:val="2"/>
            <w:tcBorders/>
            <w:vAlign w:val="center"/>
          </w:tcPr>
          <w:p>
            <w:pPr>
              <w:pStyle w:val="TableContents"/>
              <w:bidi w:val="0"/>
              <w:spacing w:before="0" w:after="0"/>
              <w:jc w:val="left"/>
              <w:rPr>
                <w:spacing w:val="0"/>
              </w:rPr>
            </w:pPr>
            <w:r>
              <w:rPr>
                <w:spacing w:val="0"/>
              </w:rPr>
              <w:t> </w:t>
            </w:r>
          </w:p>
        </w:tc>
        <w:tc>
          <w:tcPr>
            <w:tcW w:w="75" w:type="dxa"/>
            <w:tcBorders/>
            <w:vAlign w:val="center"/>
          </w:tcPr>
          <w:p>
            <w:pPr>
              <w:pStyle w:val="TableContents"/>
              <w:bidi w:val="0"/>
              <w:spacing w:before="0" w:after="0"/>
              <w:jc w:val="left"/>
              <w:rPr>
                <w:spacing w:val="0"/>
              </w:rPr>
            </w:pPr>
            <w:r>
              <w:rPr>
                <w:spacing w:val="0"/>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Zero cost collars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(2,523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(19,498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Net sales</w:t>
            </w:r>
          </w:p>
        </w:tc>
        <w:tc>
          <w:tcPr>
            <w:tcW w:w="61"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652" w:type="dxa"/>
            <w:tcBorders/>
            <w:shd w:fill="CCEEFF" w:val="clear"/>
            <w:vAlign w:val="center"/>
          </w:tcPr>
          <w:p>
            <w:pPr>
              <w:pStyle w:val="TableContents"/>
              <w:bidi w:val="0"/>
              <w:spacing w:before="0" w:after="283"/>
              <w:jc w:val="right"/>
              <w:rPr/>
            </w:pPr>
            <w:r>
              <w:rPr/>
              <w:t>(2,544</w:t>
            </w:r>
          </w:p>
        </w:tc>
        <w:tc>
          <w:tcPr>
            <w:tcW w:w="159"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658" w:type="dxa"/>
            <w:tcBorders/>
            <w:shd w:fill="CCEEFF" w:val="clear"/>
            <w:vAlign w:val="center"/>
          </w:tcPr>
          <w:p>
            <w:pPr>
              <w:pStyle w:val="TableContents"/>
              <w:bidi w:val="0"/>
              <w:spacing w:before="0" w:after="283"/>
              <w:jc w:val="right"/>
              <w:rPr/>
            </w:pPr>
            <w:r>
              <w:rPr/>
              <w:t>(5,378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085" w:type="dxa"/>
            <w:tcBorders/>
            <w:shd w:fill="CCEEFF" w:val="clear"/>
            <w:vAlign w:val="center"/>
          </w:tcPr>
          <w:p>
            <w:pPr>
              <w:pStyle w:val="TableContents"/>
              <w:bidi w:val="0"/>
              <w:spacing w:before="0" w:after="283"/>
              <w:jc w:val="left"/>
              <w:rPr/>
            </w:pPr>
            <w:r>
              <w:rPr/>
              <w:t>Other income, net</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53" w:type="dxa"/>
            <w:tcBorders/>
            <w:shd w:fill="CCEEFF" w:val="clear"/>
            <w:vAlign w:val="center"/>
          </w:tcPr>
          <w:p>
            <w:pPr>
              <w:pStyle w:val="TableContents"/>
              <w:bidi w:val="0"/>
              <w:spacing w:before="0" w:after="283"/>
              <w:jc w:val="right"/>
              <w:rPr/>
            </w:pPr>
            <w:r>
              <w:rPr/>
              <w:t>(235</w:t>
            </w:r>
          </w:p>
        </w:tc>
        <w:tc>
          <w:tcPr>
            <w:tcW w:w="188"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68" w:type="dxa"/>
            <w:tcBorders/>
            <w:shd w:fill="CCEEFF" w:val="clear"/>
            <w:vAlign w:val="center"/>
          </w:tcPr>
          <w:p>
            <w:pPr>
              <w:pStyle w:val="TableContents"/>
              <w:bidi w:val="0"/>
              <w:spacing w:before="0" w:after="283"/>
              <w:jc w:val="right"/>
              <w:rPr/>
            </w:pPr>
            <w:r>
              <w:rPr/>
              <w:t>201</w:t>
            </w:r>
          </w:p>
        </w:tc>
        <w:tc>
          <w:tcPr>
            <w:tcW w:w="75" w:type="dxa"/>
            <w:tcBorders/>
            <w:shd w:fill="CCEEFF" w:val="cle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63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652" w:type="dxa"/>
            <w:tcBorders/>
            <w:vAlign w:val="center"/>
          </w:tcPr>
          <w:p>
            <w:pPr>
              <w:pStyle w:val="TableContents"/>
              <w:bidi w:val="0"/>
              <w:spacing w:before="0" w:after="0"/>
              <w:jc w:val="left"/>
              <w:rPr>
                <w:bdr w:val="single" w:sz="2" w:space="1" w:color="000000"/>
              </w:rPr>
            </w:pPr>
            <w:r>
              <w:rPr>
                <w:bdr w:val="single" w:sz="2" w:space="1" w:color="000000"/>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single" w:sz="2" w:space="1" w:color="000000"/>
              </w:rPr>
            </w:pPr>
            <w:r>
              <w:rPr>
                <w:bdr w:val="single" w:sz="2" w:space="1" w:color="000000"/>
              </w:rPr>
              <w:t> </w:t>
            </w:r>
          </w:p>
        </w:tc>
        <w:tc>
          <w:tcPr>
            <w:tcW w:w="65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08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553" w:type="dxa"/>
            <w:tcBorders/>
            <w:vAlign w:val="center"/>
          </w:tcPr>
          <w:p>
            <w:pPr>
              <w:pStyle w:val="TableContents"/>
              <w:bidi w:val="0"/>
              <w:spacing w:before="0" w:after="0"/>
              <w:jc w:val="left"/>
              <w:rPr>
                <w:bdr w:val="single" w:sz="2" w:space="1" w:color="000000"/>
              </w:rPr>
            </w:pPr>
            <w:r>
              <w:rPr>
                <w:bdr w:val="single" w:sz="2" w:space="1" w:color="000000"/>
              </w:rPr>
              <w:t> </w:t>
            </w:r>
          </w:p>
        </w:tc>
        <w:tc>
          <w:tcPr>
            <w:tcW w:w="188"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single" w:sz="2" w:space="1" w:color="000000"/>
              </w:rPr>
            </w:pPr>
            <w:r>
              <w:rPr>
                <w:bdr w:val="single" w:sz="2" w:space="1" w:color="000000"/>
              </w:rPr>
              <w:t> </w:t>
            </w:r>
          </w:p>
        </w:tc>
        <w:tc>
          <w:tcPr>
            <w:tcW w:w="468"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(2,523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(19,498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652" w:type="dxa"/>
            <w:tcBorders/>
            <w:vAlign w:val="center"/>
          </w:tcPr>
          <w:p>
            <w:pPr>
              <w:pStyle w:val="TableContents"/>
              <w:bidi w:val="0"/>
              <w:spacing w:before="0" w:after="283"/>
              <w:jc w:val="right"/>
              <w:rPr/>
            </w:pPr>
            <w:r>
              <w:rPr/>
              <w:t>(2,544</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w:t>
            </w:r>
          </w:p>
        </w:tc>
        <w:tc>
          <w:tcPr>
            <w:tcW w:w="658" w:type="dxa"/>
            <w:tcBorders/>
            <w:vAlign w:val="center"/>
          </w:tcPr>
          <w:p>
            <w:pPr>
              <w:pStyle w:val="TableContents"/>
              <w:bidi w:val="0"/>
              <w:spacing w:before="0" w:after="283"/>
              <w:jc w:val="right"/>
              <w:rPr/>
            </w:pPr>
            <w:r>
              <w:rPr/>
              <w:t>(5,378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08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3" w:type="dxa"/>
            <w:tcBorders/>
            <w:vAlign w:val="center"/>
          </w:tcPr>
          <w:p>
            <w:pPr>
              <w:pStyle w:val="TableContents"/>
              <w:bidi w:val="0"/>
              <w:spacing w:before="0" w:after="283"/>
              <w:jc w:val="right"/>
              <w:rPr/>
            </w:pPr>
            <w:r>
              <w:rPr/>
              <w:t>(235</w:t>
            </w:r>
          </w:p>
        </w:tc>
        <w:tc>
          <w:tcPr>
            <w:tcW w:w="188"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8" w:type="dxa"/>
            <w:tcBorders/>
            <w:vAlign w:val="center"/>
          </w:tcPr>
          <w:p>
            <w:pPr>
              <w:pStyle w:val="TableContents"/>
              <w:bidi w:val="0"/>
              <w:spacing w:before="0" w:after="283"/>
              <w:jc w:val="right"/>
              <w:rPr/>
            </w:pPr>
            <w:r>
              <w:rPr/>
              <w:t>201</w:t>
            </w:r>
          </w:p>
        </w:tc>
        <w:tc>
          <w:tcPr>
            <w:tcW w:w="7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63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double" w:sz="6" w:space="1" w:color="000000"/>
              </w:rPr>
            </w:pPr>
            <w:r>
              <w:rPr>
                <w:bdr w:val="double" w:sz="6" w:space="1" w:color="000000"/>
              </w:rPr>
              <w:t> </w:t>
            </w:r>
          </w:p>
        </w:tc>
        <w:tc>
          <w:tcPr>
            <w:tcW w:w="652" w:type="dxa"/>
            <w:tcBorders/>
            <w:vAlign w:val="center"/>
          </w:tcPr>
          <w:p>
            <w:pPr>
              <w:pStyle w:val="TableContents"/>
              <w:bidi w:val="0"/>
              <w:spacing w:before="0" w:after="0"/>
              <w:jc w:val="left"/>
              <w:rPr>
                <w:bdr w:val="double" w:sz="6" w:space="1" w:color="000000"/>
              </w:rPr>
            </w:pPr>
            <w:r>
              <w:rPr>
                <w:bdr w:val="double" w:sz="6" w:space="1" w:color="000000"/>
              </w:rPr>
              <w:t> </w:t>
            </w:r>
          </w:p>
        </w:tc>
        <w:tc>
          <w:tcPr>
            <w:tcW w:w="15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bdr w:val="double" w:sz="6" w:space="1" w:color="000000"/>
              </w:rPr>
            </w:pPr>
            <w:r>
              <w:rPr>
                <w:bdr w:val="double" w:sz="6" w:space="1" w:color="000000"/>
              </w:rPr>
              <w:t> </w:t>
            </w:r>
          </w:p>
        </w:tc>
        <w:tc>
          <w:tcPr>
            <w:tcW w:w="65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208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double" w:sz="6" w:space="1" w:color="000000"/>
              </w:rPr>
            </w:pPr>
            <w:r>
              <w:rPr>
                <w:bdr w:val="double" w:sz="6" w:space="1" w:color="000000"/>
              </w:rPr>
              <w:t> </w:t>
            </w:r>
          </w:p>
        </w:tc>
        <w:tc>
          <w:tcPr>
            <w:tcW w:w="553" w:type="dxa"/>
            <w:tcBorders/>
            <w:vAlign w:val="center"/>
          </w:tcPr>
          <w:p>
            <w:pPr>
              <w:pStyle w:val="TableContents"/>
              <w:bidi w:val="0"/>
              <w:spacing w:before="0" w:after="0"/>
              <w:jc w:val="left"/>
              <w:rPr>
                <w:bdr w:val="double" w:sz="6" w:space="1" w:color="000000"/>
              </w:rPr>
            </w:pPr>
            <w:r>
              <w:rPr>
                <w:bdr w:val="double" w:sz="6" w:space="1" w:color="000000"/>
              </w:rPr>
              <w:t> </w:t>
            </w:r>
          </w:p>
        </w:tc>
        <w:tc>
          <w:tcPr>
            <w:tcW w:w="188"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jc w:val="left"/>
              <w:rPr>
                <w:bdr w:val="double" w:sz="6" w:space="1" w:color="000000"/>
              </w:rPr>
            </w:pPr>
            <w:r>
              <w:rPr>
                <w:bdr w:val="double" w:sz="6" w:space="1" w:color="000000"/>
              </w:rPr>
              <w:t> </w:t>
            </w:r>
          </w:p>
        </w:tc>
        <w:tc>
          <w:tcPr>
            <w:tcW w:w="468"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As of September 30, 2023, the amount expected to be reclassified from accumulated other comprehensive loss into loss within the next 12 months is $1,204 thousand.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set aside cash deposit to the counterparty, Standard Chartered Bank Korea Limited (“SC”), as required for the zero cost collar contracts. This cash deposit is recorded as hedge collateral on the consolidated balance sheets. Cash deposits as of September 30, 2023 and December 31, 2022 are as follows (in thousands): </w:t>
      </w:r>
    </w:p>
    <w:p>
      <w:pPr>
        <w:pStyle w:val="TextBody"/>
        <w:bidi w:val="0"/>
        <w:spacing w:before="0" w:after="0"/>
        <w:jc w:val="left"/>
        <w:rPr>
          <w:shd w:fill="FFFFFF" w:val="clear"/>
        </w:rPr>
      </w:pPr>
      <w:r>
        <w:rPr>
          <w:shd w:fill="FFFFFF" w:val="clear"/>
        </w:rPr>
        <w:t> </w:t>
      </w:r>
    </w:p>
    <w:tbl>
      <w:tblPr>
        <w:tblW w:w="4305" w:type="dxa"/>
        <w:jc w:val="left"/>
        <w:tblInd w:w="0" w:type="dxa"/>
        <w:tblLayout w:type="fixed"/>
        <w:tblCellMar>
          <w:top w:w="0" w:type="dxa"/>
          <w:left w:w="0" w:type="dxa"/>
          <w:bottom w:w="0" w:type="dxa"/>
          <w:right w:w="0" w:type="dxa"/>
        </w:tblCellMar>
      </w:tblPr>
      <w:tblGrid>
        <w:gridCol w:w="1040"/>
        <w:gridCol w:w="120"/>
        <w:gridCol w:w="295"/>
        <w:gridCol w:w="1180"/>
        <w:gridCol w:w="60"/>
        <w:gridCol w:w="120"/>
        <w:gridCol w:w="283"/>
        <w:gridCol w:w="1132"/>
        <w:gridCol w:w="75"/>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Counterparty</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SC</w:t>
            </w:r>
          </w:p>
        </w:tc>
        <w:tc>
          <w:tcPr>
            <w:tcW w:w="12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1,000</w:t>
            </w:r>
          </w:p>
        </w:tc>
        <w:tc>
          <w:tcPr>
            <w:tcW w:w="7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single" w:sz="2" w:space="1" w:color="000000"/>
              </w:rPr>
            </w:pPr>
            <w:r>
              <w:rPr>
                <w:bdr w:val="single" w:sz="2" w:space="1" w:color="000000"/>
              </w:rPr>
              <w:t> </w:t>
            </w:r>
          </w:p>
        </w:tc>
        <w:tc>
          <w:tcPr>
            <w:tcW w:w="11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13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w:t>
            </w:r>
          </w:p>
        </w:tc>
        <w:tc>
          <w:tcPr>
            <w:tcW w:w="118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283"/>
              <w:jc w:val="left"/>
              <w:rPr/>
            </w:pPr>
            <w:r>
              <w:rPr/>
              <w:t>$</w:t>
            </w:r>
          </w:p>
        </w:tc>
        <w:tc>
          <w:tcPr>
            <w:tcW w:w="1132" w:type="dxa"/>
            <w:tcBorders/>
            <w:vAlign w:val="center"/>
          </w:tcPr>
          <w:p>
            <w:pPr>
              <w:pStyle w:val="TableContents"/>
              <w:bidi w:val="0"/>
              <w:spacing w:before="0" w:after="283"/>
              <w:jc w:val="right"/>
              <w:rPr/>
            </w:pPr>
            <w:r>
              <w:rPr/>
              <w:t>1,000</w:t>
            </w:r>
          </w:p>
        </w:tc>
        <w:tc>
          <w:tcPr>
            <w:tcW w:w="75" w:type="dxa"/>
            <w:tcBorders/>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0"/>
              <w:jc w:val="left"/>
              <w:rPr>
                <w:bdr w:val="double" w:sz="6" w:space="1" w:color="000000"/>
              </w:rPr>
            </w:pPr>
            <w:r>
              <w:rPr>
                <w:bdr w:val="double" w:sz="6" w:space="1" w:color="000000"/>
              </w:rPr>
              <w:t> </w:t>
            </w:r>
          </w:p>
        </w:tc>
        <w:tc>
          <w:tcPr>
            <w:tcW w:w="11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13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is required to deposit additional cash collateral with Nomura Financial Investment (Korea) Co., Ltd. (“NFIK”) and SC for any exposure in excess of $500 thousand. As of September 30, 2023, $1,680 thousand of additional cash collateral was required by NFIK, and recorded as hedge collateral on the consolidated balance sheet. As of December 31, 2022, $1,840 thousand and $100 thousand of additional cash collateral were required by NFIK and SC, respectively, and recorded as hedge collateral on the consolidated balance sheet.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These zero cost collar contracts may be terminated by the counterparties if the Company’s total cash and cash equivalents is less than $30,000 thousand at the end of a fiscal quarter, unless a waiver is obtained.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12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7. Fair Value Measurements </w:t>
      </w:r>
    </w:p>
    <w:p>
      <w:pPr>
        <w:pStyle w:val="TextBody"/>
        <w:bidi w:val="0"/>
        <w:spacing w:before="120" w:after="0"/>
        <w:jc w:val="left"/>
        <w:rPr>
          <w:rFonts w:ascii="Times New Roman" w:hAnsi="Times New Roman"/>
          <w:i/>
          <w:caps w:val="false"/>
          <w:smallCaps w:val="false"/>
          <w:spacing w:val="0"/>
          <w:sz w:val="20"/>
          <w:shd w:fill="FFFFFF" w:val="clear"/>
        </w:rPr>
      </w:pPr>
      <w:r>
        <w:rPr>
          <w:rFonts w:ascii="Times New Roman" w:hAnsi="Times New Roman"/>
          <w:i/>
          <w:caps w:val="false"/>
          <w:smallCaps w:val="false"/>
          <w:spacing w:val="0"/>
          <w:sz w:val="20"/>
          <w:shd w:fill="FFFFFF" w:val="clear"/>
        </w:rPr>
        <w:t xml:space="preserve">Fair Value of Financial Instruments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As of September 30, 2023, the following table represents the Company’s liabilities measured at fair value on a recurring basis and the basis for that measurement (in thousands):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909"/>
        <w:gridCol w:w="120"/>
        <w:gridCol w:w="403"/>
        <w:gridCol w:w="1612"/>
        <w:gridCol w:w="60"/>
        <w:gridCol w:w="120"/>
        <w:gridCol w:w="403"/>
        <w:gridCol w:w="1612"/>
        <w:gridCol w:w="60"/>
        <w:gridCol w:w="120"/>
        <w:gridCol w:w="327"/>
        <w:gridCol w:w="1418"/>
        <w:gridCol w:w="60"/>
        <w:gridCol w:w="120"/>
        <w:gridCol w:w="235"/>
        <w:gridCol w:w="940"/>
        <w:gridCol w:w="60"/>
        <w:gridCol w:w="120"/>
        <w:gridCol w:w="268"/>
        <w:gridCol w:w="1162"/>
        <w:gridCol w:w="76"/>
      </w:tblGrid>
      <w:tr>
        <w:trPr/>
        <w:tc>
          <w:tcPr>
            <w:tcW w:w="9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0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Carrying Value</w:t>
              <w:br/>
              <w:t>September 30, 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br/>
              <w:t>Measurement</w:t>
              <w:br/>
              <w:t>September 30, 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Quoted Prices in</w:t>
              <w:br/>
              <w:t>Active Markets</w:t>
              <w:br/>
              <w:t>for Identical</w:t>
              <w:br/>
              <w:t>Liability (Level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Other</w:t>
              <w:br/>
              <w:t>Observable</w:t>
              <w:br/>
              <w:t>Inputs</w:t>
              <w:b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Unobservable</w:t>
              <w:br/>
              <w:t>Inputs</w:t>
              <w:br/>
              <w:t>(Level 3)</w:t>
            </w:r>
          </w:p>
        </w:tc>
        <w:tc>
          <w:tcPr>
            <w:tcW w:w="76" w:type="dxa"/>
            <w:tcBorders/>
            <w:vAlign w:val="center"/>
          </w:tcPr>
          <w:p>
            <w:pPr>
              <w:pStyle w:val="TableContents"/>
              <w:bidi w:val="0"/>
              <w:spacing w:before="0" w:after="283"/>
              <w:jc w:val="left"/>
              <w:rPr/>
            </w:pPr>
            <w:r>
              <w:rPr/>
              <w:t> </w:t>
            </w:r>
          </w:p>
        </w:tc>
      </w:tr>
      <w:tr>
        <w:trPr/>
        <w:tc>
          <w:tcPr>
            <w:tcW w:w="90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03" w:type="dxa"/>
            <w:tcBorders/>
            <w:shd w:fill="CCEEFF" w:val="clear"/>
            <w:vAlign w:val="center"/>
          </w:tcPr>
          <w:p>
            <w:pPr>
              <w:pStyle w:val="TableContents"/>
              <w:bidi w:val="0"/>
              <w:spacing w:before="0" w:after="283"/>
              <w:jc w:val="left"/>
              <w:rPr/>
            </w:pPr>
            <w:r>
              <w:rPr/>
              <w:t> </w:t>
            </w:r>
          </w:p>
        </w:tc>
        <w:tc>
          <w:tcPr>
            <w:tcW w:w="16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41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liabilities (other current liabilities)</w:t>
            </w:r>
          </w:p>
        </w:tc>
        <w:tc>
          <w:tcPr>
            <w:tcW w:w="120"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283"/>
              <w:jc w:val="right"/>
              <w:rPr/>
            </w:pPr>
            <w:r>
              <w:rPr/>
              <w:t>2,104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03" w:type="dxa"/>
            <w:tcBorders/>
            <w:vAlign w:val="center"/>
          </w:tcPr>
          <w:p>
            <w:pPr>
              <w:pStyle w:val="TableContents"/>
              <w:bidi w:val="0"/>
              <w:spacing w:before="0" w:after="283"/>
              <w:jc w:val="left"/>
              <w:rPr/>
            </w:pPr>
            <w:r>
              <w:rPr/>
              <w:t>$</w:t>
            </w:r>
          </w:p>
        </w:tc>
        <w:tc>
          <w:tcPr>
            <w:tcW w:w="1612" w:type="dxa"/>
            <w:tcBorders/>
            <w:vAlign w:val="center"/>
          </w:tcPr>
          <w:p>
            <w:pPr>
              <w:pStyle w:val="TableContents"/>
              <w:bidi w:val="0"/>
              <w:spacing w:before="0" w:after="283"/>
              <w:jc w:val="right"/>
              <w:rPr/>
            </w:pPr>
            <w:r>
              <w:rPr/>
              <w:t>2,104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418"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right"/>
              <w:rPr/>
            </w:pPr>
            <w:r>
              <w:rPr/>
              <w:t>2,104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December 31, 2022, the following table represents the Company’s liabilities measured at fair value on a recurring basis and the basis for that measurement (in thousands):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026"/>
        <w:gridCol w:w="120"/>
        <w:gridCol w:w="391"/>
        <w:gridCol w:w="1564"/>
        <w:gridCol w:w="60"/>
        <w:gridCol w:w="120"/>
        <w:gridCol w:w="391"/>
        <w:gridCol w:w="1564"/>
        <w:gridCol w:w="60"/>
        <w:gridCol w:w="120"/>
        <w:gridCol w:w="327"/>
        <w:gridCol w:w="1420"/>
        <w:gridCol w:w="60"/>
        <w:gridCol w:w="120"/>
        <w:gridCol w:w="235"/>
        <w:gridCol w:w="940"/>
        <w:gridCol w:w="60"/>
        <w:gridCol w:w="120"/>
        <w:gridCol w:w="268"/>
        <w:gridCol w:w="1162"/>
        <w:gridCol w:w="77"/>
      </w:tblGrid>
      <w:tr>
        <w:trPr/>
        <w:tc>
          <w:tcPr>
            <w:tcW w:w="10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02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Carrying Value</w:t>
              <w:br/>
              <w:t>December 31, 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Fair Value</w:t>
              <w:br/>
              <w:t>Measurement</w:t>
              <w:br/>
              <w:t>December 31, 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Quoted Prices in</w:t>
              <w:br/>
              <w:t>Active Markets</w:t>
              <w:br/>
              <w:t>for Identical</w:t>
              <w:br/>
              <w:t>Liability (Level 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Other</w:t>
              <w:br/>
              <w:t>Observable</w:t>
              <w:br/>
              <w:t>Inputs</w:t>
              <w:br/>
              <w:t>(Level 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Significant</w:t>
              <w:br/>
              <w:t>Unobservable</w:t>
              <w:br/>
              <w:t>Inputs</w:t>
              <w:br/>
              <w:t>(Level 3)</w:t>
            </w:r>
          </w:p>
        </w:tc>
        <w:tc>
          <w:tcPr>
            <w:tcW w:w="77" w:type="dxa"/>
            <w:tcBorders/>
            <w:vAlign w:val="center"/>
          </w:tcPr>
          <w:p>
            <w:pPr>
              <w:pStyle w:val="TableContents"/>
              <w:bidi w:val="0"/>
              <w:spacing w:before="0" w:after="283"/>
              <w:jc w:val="left"/>
              <w:rPr/>
            </w:pPr>
            <w:r>
              <w:rPr/>
              <w:t> </w:t>
            </w:r>
          </w:p>
        </w:tc>
      </w:tr>
      <w:tr>
        <w:trPr/>
        <w:tc>
          <w:tcPr>
            <w:tcW w:w="102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15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7"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162"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10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liabilities (other current liabilities)</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w:t>
            </w:r>
          </w:p>
        </w:tc>
        <w:tc>
          <w:tcPr>
            <w:tcW w:w="1564" w:type="dxa"/>
            <w:tcBorders/>
            <w:vAlign w:val="center"/>
          </w:tcPr>
          <w:p>
            <w:pPr>
              <w:pStyle w:val="TableContents"/>
              <w:bidi w:val="0"/>
              <w:spacing w:before="0" w:after="283"/>
              <w:jc w:val="right"/>
              <w:rPr/>
            </w:pPr>
            <w:r>
              <w:rPr/>
              <w:t>2,015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w:t>
            </w:r>
          </w:p>
        </w:tc>
        <w:tc>
          <w:tcPr>
            <w:tcW w:w="1564" w:type="dxa"/>
            <w:tcBorders/>
            <w:vAlign w:val="center"/>
          </w:tcPr>
          <w:p>
            <w:pPr>
              <w:pStyle w:val="TableContents"/>
              <w:bidi w:val="0"/>
              <w:spacing w:before="0" w:after="283"/>
              <w:jc w:val="right"/>
              <w:rPr/>
            </w:pPr>
            <w:r>
              <w:rPr/>
              <w:t>2,015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7" w:type="dxa"/>
            <w:tcBorders/>
            <w:vAlign w:val="center"/>
          </w:tcPr>
          <w:p>
            <w:pPr>
              <w:pStyle w:val="TableContents"/>
              <w:bidi w:val="0"/>
              <w:spacing w:before="0" w:after="283"/>
              <w:jc w:val="left"/>
              <w:rPr/>
            </w:pPr>
            <w:r>
              <w:rPr/>
              <w:t> </w:t>
            </w:r>
          </w:p>
        </w:tc>
        <w:tc>
          <w:tcPr>
            <w:tcW w:w="14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w:t>
            </w:r>
          </w:p>
        </w:tc>
        <w:tc>
          <w:tcPr>
            <w:tcW w:w="940" w:type="dxa"/>
            <w:tcBorders/>
            <w:vAlign w:val="center"/>
          </w:tcPr>
          <w:p>
            <w:pPr>
              <w:pStyle w:val="TableContents"/>
              <w:bidi w:val="0"/>
              <w:spacing w:before="0" w:after="283"/>
              <w:jc w:val="right"/>
              <w:rPr/>
            </w:pPr>
            <w:r>
              <w:rPr/>
              <w:t>2,015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13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8. Accrued Severance Benefits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September 30, 2023, 97% of all employees of the Company were eligible for severance benefits.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Changes in accrued severance benefits are as follows (in thousands): </w:t>
      </w:r>
    </w:p>
    <w:p>
      <w:pPr>
        <w:pStyle w:val="TextBody"/>
        <w:bidi w:val="0"/>
        <w:spacing w:before="0" w:after="0"/>
        <w:jc w:val="left"/>
        <w:rPr>
          <w:shd w:fill="FFFFFF" w:val="clear"/>
        </w:rPr>
      </w:pPr>
      <w:r>
        <w:rPr>
          <w:shd w:fill="FFFFFF" w:val="clear"/>
        </w:rPr>
        <w:t> </w:t>
      </w:r>
    </w:p>
    <w:p>
      <w:pPr>
        <w:pStyle w:val="TextBody"/>
        <w:bidi w:val="0"/>
        <w:spacing w:before="0" w:after="0"/>
        <w:jc w:val="left"/>
        <w:rPr>
          <w:sz w:val="24"/>
        </w:rPr>
      </w:pPr>
      <w:r>
        <w:rPr>
          <w:sz w:val="24"/>
        </w:rPr>
      </w:r>
    </w:p>
    <w:tbl>
      <w:tblPr>
        <w:tblW w:w="10815" w:type="dxa"/>
        <w:jc w:val="left"/>
        <w:tblInd w:w="0" w:type="dxa"/>
        <w:tblLayout w:type="fixed"/>
        <w:tblCellMar>
          <w:top w:w="0" w:type="dxa"/>
          <w:left w:w="0" w:type="dxa"/>
          <w:bottom w:w="0" w:type="dxa"/>
          <w:right w:w="0" w:type="dxa"/>
        </w:tblCellMar>
      </w:tblPr>
      <w:tblGrid>
        <w:gridCol w:w="1130"/>
        <w:gridCol w:w="120"/>
        <w:gridCol w:w="345"/>
        <w:gridCol w:w="1865"/>
        <w:gridCol w:w="155"/>
        <w:gridCol w:w="120"/>
        <w:gridCol w:w="324"/>
        <w:gridCol w:w="1751"/>
        <w:gridCol w:w="155"/>
        <w:gridCol w:w="120"/>
        <w:gridCol w:w="345"/>
        <w:gridCol w:w="1865"/>
        <w:gridCol w:w="155"/>
        <w:gridCol w:w="120"/>
        <w:gridCol w:w="324"/>
        <w:gridCol w:w="1751"/>
        <w:gridCol w:w="170"/>
      </w:tblGrid>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075" w:type="dxa"/>
            <w:gridSpan w:val="2"/>
            <w:tcBorders/>
            <w:vAlign w:val="center"/>
          </w:tcPr>
          <w:p>
            <w:pPr>
              <w:pStyle w:val="TableContents"/>
              <w:bidi w:val="0"/>
              <w:spacing w:before="0" w:after="0"/>
              <w:jc w:val="center"/>
              <w:rPr>
                <w:b/>
                <w:spacing w:val="0"/>
              </w:rPr>
            </w:pPr>
            <w:r>
              <w:rPr>
                <w:b/>
                <w:spacing w:val="0"/>
              </w:rPr>
              <w:t>Nine Months Ended</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10" w:type="dxa"/>
            <w:gridSpan w:val="2"/>
            <w:tcBorders/>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075" w:type="dxa"/>
            <w:gridSpan w:val="2"/>
            <w:tcBorders/>
            <w:vAlign w:val="center"/>
          </w:tcPr>
          <w:p>
            <w:pPr>
              <w:pStyle w:val="TableContents"/>
              <w:bidi w:val="0"/>
              <w:spacing w:before="0" w:after="0"/>
              <w:jc w:val="center"/>
              <w:rPr>
                <w:b/>
                <w:spacing w:val="0"/>
              </w:rPr>
            </w:pPr>
            <w:r>
              <w:rPr>
                <w:b/>
                <w:spacing w:val="0"/>
              </w:rPr>
              <w:t>Nine Months Ended</w:t>
            </w:r>
          </w:p>
        </w:tc>
        <w:tc>
          <w:tcPr>
            <w:tcW w:w="170" w:type="dxa"/>
            <w:tcBorders/>
            <w:vAlign w:val="center"/>
          </w:tcPr>
          <w:p>
            <w:pPr>
              <w:pStyle w:val="TableContents"/>
              <w:bidi w:val="0"/>
              <w:spacing w:before="0" w:after="0"/>
              <w:jc w:val="left"/>
              <w:rPr>
                <w:spacing w:val="0"/>
              </w:rPr>
            </w:pPr>
            <w:r>
              <w:rPr>
                <w:spacing w:val="0"/>
              </w:rPr>
              <w:t> </w:t>
            </w:r>
          </w:p>
        </w:tc>
      </w:tr>
      <w:tr>
        <w:trPr/>
        <w:tc>
          <w:tcPr>
            <w:tcW w:w="113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10"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075"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210" w:type="dxa"/>
            <w:gridSpan w:val="2"/>
            <w:tcBorders/>
            <w:vAlign w:val="center"/>
          </w:tcPr>
          <w:p>
            <w:pPr>
              <w:pStyle w:val="TableContents"/>
              <w:bidi w:val="0"/>
              <w:spacing w:before="0" w:after="0"/>
              <w:jc w:val="lef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075" w:type="dxa"/>
            <w:gridSpan w:val="2"/>
            <w:tcBorders/>
            <w:vAlign w:val="center"/>
          </w:tcPr>
          <w:p>
            <w:pPr>
              <w:pStyle w:val="TableContents"/>
              <w:bidi w:val="0"/>
              <w:spacing w:before="0" w:after="0"/>
              <w:jc w:val="left"/>
              <w:rPr>
                <w:spacing w:val="0"/>
              </w:rPr>
            </w:pPr>
            <w:r>
              <w:rPr>
                <w:spacing w:val="0"/>
              </w:rPr>
              <w:t> </w:t>
            </w:r>
          </w:p>
        </w:tc>
        <w:tc>
          <w:tcPr>
            <w:tcW w:w="170" w:type="dxa"/>
            <w:tcBorders/>
            <w:vAlign w:val="center"/>
          </w:tcPr>
          <w:p>
            <w:pPr>
              <w:pStyle w:val="TableContents"/>
              <w:bidi w:val="0"/>
              <w:spacing w:before="0" w:after="0"/>
              <w:jc w:val="left"/>
              <w:rPr>
                <w:spacing w:val="0"/>
              </w:rPr>
            </w:pPr>
            <w:r>
              <w:rPr>
                <w:spacing w:val="0"/>
              </w:rPr>
              <w:t> </w:t>
            </w:r>
          </w:p>
        </w:tc>
      </w:tr>
      <w:tr>
        <w:trPr/>
        <w:tc>
          <w:tcPr>
            <w:tcW w:w="113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560" w:type="dxa"/>
            <w:gridSpan w:val="6"/>
            <w:tcBorders>
              <w:bottom w:val="single" w:sz="8" w:space="0" w:color="000000"/>
            </w:tcBorders>
            <w:tcMar>
              <w:bottom w:w="28" w:type="dxa"/>
            </w:tcMar>
            <w:vAlign w:val="center"/>
          </w:tcPr>
          <w:p>
            <w:pPr>
              <w:pStyle w:val="TableContents"/>
              <w:bidi w:val="0"/>
              <w:spacing w:before="0" w:after="0"/>
              <w:jc w:val="center"/>
              <w:rPr>
                <w:b/>
                <w:spacing w:val="0"/>
                <w:sz w:val="16"/>
              </w:rPr>
            </w:pPr>
            <w:r>
              <w:rPr>
                <w:b/>
                <w:spacing w:val="0"/>
                <w:sz w:val="16"/>
              </w:rPr>
              <w:t>September 30, 2023</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4560" w:type="dxa"/>
            <w:gridSpan w:val="6"/>
            <w:tcBorders>
              <w:bottom w:val="single" w:sz="8" w:space="0" w:color="000000"/>
            </w:tcBorders>
            <w:tcMar>
              <w:bottom w:w="28" w:type="dxa"/>
            </w:tcMar>
            <w:vAlign w:val="center"/>
          </w:tcPr>
          <w:p>
            <w:pPr>
              <w:pStyle w:val="TableContents"/>
              <w:bidi w:val="0"/>
              <w:spacing w:before="0" w:after="0"/>
              <w:jc w:val="center"/>
              <w:rPr>
                <w:b/>
                <w:spacing w:val="0"/>
                <w:sz w:val="16"/>
              </w:rPr>
            </w:pPr>
            <w:r>
              <w:rPr>
                <w:b/>
                <w:spacing w:val="0"/>
                <w:sz w:val="16"/>
              </w:rPr>
              <w:t>September 30, 2022</w:t>
            </w:r>
          </w:p>
        </w:tc>
        <w:tc>
          <w:tcPr>
            <w:tcW w:w="170" w:type="dxa"/>
            <w:tcBorders/>
            <w:vAlign w:val="center"/>
          </w:tcPr>
          <w:p>
            <w:pPr>
              <w:pStyle w:val="TableContents"/>
              <w:bidi w:val="0"/>
              <w:spacing w:before="0" w:after="0"/>
              <w:jc w:val="left"/>
              <w:rPr>
                <w:spacing w:val="0"/>
              </w:rPr>
            </w:pPr>
            <w:r>
              <w:rPr>
                <w:spacing w:val="0"/>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7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865" w:type="dxa"/>
            <w:tcBorders/>
            <w:shd w:fill="CCEEFF" w:val="clear"/>
            <w:vAlign w:val="center"/>
          </w:tcPr>
          <w:p>
            <w:pPr>
              <w:pStyle w:val="TableContents"/>
              <w:bidi w:val="0"/>
              <w:spacing w:before="0" w:after="283"/>
              <w:jc w:val="right"/>
              <w:rPr/>
            </w:pPr>
            <w:r>
              <w:rPr/>
              <w:t>45,121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1751" w:type="dxa"/>
            <w:tcBorders/>
            <w:shd w:fill="CCEEFF" w:val="clear"/>
            <w:vAlign w:val="center"/>
          </w:tcPr>
          <w:p>
            <w:pPr>
              <w:pStyle w:val="TableContents"/>
              <w:bidi w:val="0"/>
              <w:spacing w:before="0" w:after="283"/>
              <w:jc w:val="right"/>
              <w:rPr/>
            </w:pPr>
            <w:r>
              <w:rPr/>
              <w:t>48,496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865" w:type="dxa"/>
            <w:tcBorders/>
            <w:shd w:fill="CCEEFF" w:val="clear"/>
            <w:vAlign w:val="center"/>
          </w:tcPr>
          <w:p>
            <w:pPr>
              <w:pStyle w:val="TableContents"/>
              <w:bidi w:val="0"/>
              <w:spacing w:before="0" w:after="283"/>
              <w:jc w:val="right"/>
              <w:rPr/>
            </w:pPr>
            <w:r>
              <w:rPr/>
              <w:t>47,586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1751" w:type="dxa"/>
            <w:tcBorders/>
            <w:shd w:fill="CCEEFF" w:val="clear"/>
            <w:vAlign w:val="center"/>
          </w:tcPr>
          <w:p>
            <w:pPr>
              <w:pStyle w:val="TableContents"/>
              <w:bidi w:val="0"/>
              <w:spacing w:before="0" w:after="283"/>
              <w:jc w:val="right"/>
              <w:rPr/>
            </w:pPr>
            <w:r>
              <w:rPr/>
              <w:t>51,567</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Provisions</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1,267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751" w:type="dxa"/>
            <w:tcBorders/>
            <w:vAlign w:val="center"/>
          </w:tcPr>
          <w:p>
            <w:pPr>
              <w:pStyle w:val="TableContents"/>
              <w:bidi w:val="0"/>
              <w:spacing w:before="0" w:after="283"/>
              <w:jc w:val="right"/>
              <w:rPr/>
            </w:pPr>
            <w:r>
              <w:rPr/>
              <w:t>5,358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1,923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751" w:type="dxa"/>
            <w:tcBorders/>
            <w:vAlign w:val="center"/>
          </w:tcPr>
          <w:p>
            <w:pPr>
              <w:pStyle w:val="TableContents"/>
              <w:bidi w:val="0"/>
              <w:spacing w:before="0" w:after="283"/>
              <w:jc w:val="right"/>
              <w:rPr/>
            </w:pPr>
            <w:r>
              <w:rPr/>
              <w:t>5,163</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Severance payments</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(455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pPr>
            <w:r>
              <w:rPr/>
              <w:t>(6,183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(1,247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pPr>
            <w:r>
              <w:rPr/>
              <w:t>(4,181</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Translation adjustments</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(1,092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751" w:type="dxa"/>
            <w:tcBorders/>
            <w:vAlign w:val="center"/>
          </w:tcPr>
          <w:p>
            <w:pPr>
              <w:pStyle w:val="TableContents"/>
              <w:bidi w:val="0"/>
              <w:spacing w:before="0" w:after="283"/>
              <w:jc w:val="right"/>
              <w:rPr/>
            </w:pPr>
            <w:r>
              <w:rPr/>
              <w:t>(2,830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(4,730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751" w:type="dxa"/>
            <w:tcBorders/>
            <w:vAlign w:val="center"/>
          </w:tcPr>
          <w:p>
            <w:pPr>
              <w:pStyle w:val="TableContents"/>
              <w:bidi w:val="0"/>
              <w:spacing w:before="0" w:after="283"/>
              <w:jc w:val="right"/>
              <w:rPr/>
            </w:pPr>
            <w:r>
              <w:rPr/>
              <w:t>(9,017</w:t>
            </w:r>
          </w:p>
        </w:tc>
        <w:tc>
          <w:tcPr>
            <w:tcW w:w="17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5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5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44,841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pPr>
            <w:r>
              <w:rPr/>
              <w:t>44,841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43,532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pPr>
            <w:r>
              <w:rPr/>
              <w:t>43,532</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Cumulative contributions to severance insurance deposit accounts</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(24,503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751" w:type="dxa"/>
            <w:tcBorders/>
            <w:vAlign w:val="center"/>
          </w:tcPr>
          <w:p>
            <w:pPr>
              <w:pStyle w:val="TableContents"/>
              <w:bidi w:val="0"/>
              <w:spacing w:before="0" w:after="283"/>
              <w:jc w:val="right"/>
              <w:rPr/>
            </w:pPr>
            <w:r>
              <w:rPr/>
              <w:t>(24,503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(15,292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751" w:type="dxa"/>
            <w:tcBorders/>
            <w:vAlign w:val="center"/>
          </w:tcPr>
          <w:p>
            <w:pPr>
              <w:pStyle w:val="TableContents"/>
              <w:bidi w:val="0"/>
              <w:spacing w:before="0" w:after="283"/>
              <w:jc w:val="right"/>
              <w:rPr/>
            </w:pPr>
            <w:r>
              <w:rPr/>
              <w:t>(15,292</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 National Pension Fund</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(29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pPr>
            <w:r>
              <w:rPr/>
              <w:t>(29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 </w:t>
            </w:r>
          </w:p>
        </w:tc>
        <w:tc>
          <w:tcPr>
            <w:tcW w:w="1865" w:type="dxa"/>
            <w:tcBorders/>
            <w:shd w:fill="CCEEFF" w:val="clear"/>
            <w:vAlign w:val="center"/>
          </w:tcPr>
          <w:p>
            <w:pPr>
              <w:pStyle w:val="TableContents"/>
              <w:bidi w:val="0"/>
              <w:spacing w:before="0" w:after="283"/>
              <w:jc w:val="right"/>
              <w:rPr/>
            </w:pPr>
            <w:r>
              <w:rPr/>
              <w:t>(40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751" w:type="dxa"/>
            <w:tcBorders/>
            <w:shd w:fill="CCEEFF" w:val="clear"/>
            <w:vAlign w:val="center"/>
          </w:tcPr>
          <w:p>
            <w:pPr>
              <w:pStyle w:val="TableContents"/>
              <w:bidi w:val="0"/>
              <w:spacing w:before="0" w:after="283"/>
              <w:jc w:val="right"/>
              <w:rPr/>
            </w:pPr>
            <w:r>
              <w:rPr/>
              <w:t>(40</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Group severance insurance plan</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(149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751" w:type="dxa"/>
            <w:tcBorders/>
            <w:vAlign w:val="center"/>
          </w:tcPr>
          <w:p>
            <w:pPr>
              <w:pStyle w:val="TableContents"/>
              <w:bidi w:val="0"/>
              <w:spacing w:before="0" w:after="283"/>
              <w:jc w:val="right"/>
              <w:rPr/>
            </w:pPr>
            <w:r>
              <w:rPr/>
              <w:t>(149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right"/>
              <w:rPr/>
            </w:pPr>
            <w:r>
              <w:rPr/>
              <w:t>(164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751" w:type="dxa"/>
            <w:tcBorders/>
            <w:vAlign w:val="center"/>
          </w:tcPr>
          <w:p>
            <w:pPr>
              <w:pStyle w:val="TableContents"/>
              <w:bidi w:val="0"/>
              <w:spacing w:before="0" w:after="283"/>
              <w:jc w:val="right"/>
              <w:rPr/>
            </w:pPr>
            <w:r>
              <w:rPr/>
              <w:t>(164</w:t>
            </w:r>
          </w:p>
        </w:tc>
        <w:tc>
          <w:tcPr>
            <w:tcW w:w="17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5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single" w:sz="2" w:space="1" w:color="000000"/>
              </w:rPr>
            </w:pPr>
            <w:r>
              <w:rPr>
                <w:bdr w:val="single" w:sz="2" w:space="1" w:color="000000"/>
              </w:rPr>
              <w:t> </w:t>
            </w:r>
          </w:p>
        </w:tc>
        <w:tc>
          <w:tcPr>
            <w:tcW w:w="18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0"/>
              <w:jc w:val="left"/>
              <w:rPr>
                <w:bdr w:val="single" w:sz="2" w:space="1" w:color="000000"/>
              </w:rPr>
            </w:pPr>
            <w:r>
              <w:rPr>
                <w:bdr w:val="single" w:sz="2" w:space="1" w:color="000000"/>
              </w:rPr>
              <w:t> </w:t>
            </w:r>
          </w:p>
        </w:tc>
        <w:tc>
          <w:tcPr>
            <w:tcW w:w="1751"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severance benefits, net</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865" w:type="dxa"/>
            <w:tcBorders/>
            <w:shd w:fill="CCEEFF" w:val="clear"/>
            <w:vAlign w:val="center"/>
          </w:tcPr>
          <w:p>
            <w:pPr>
              <w:pStyle w:val="TableContents"/>
              <w:bidi w:val="0"/>
              <w:spacing w:before="0" w:after="283"/>
              <w:jc w:val="right"/>
              <w:rPr/>
            </w:pPr>
            <w:r>
              <w:rPr/>
              <w:t>20,160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1751" w:type="dxa"/>
            <w:tcBorders/>
            <w:shd w:fill="CCEEFF" w:val="clear"/>
            <w:vAlign w:val="center"/>
          </w:tcPr>
          <w:p>
            <w:pPr>
              <w:pStyle w:val="TableContents"/>
              <w:bidi w:val="0"/>
              <w:spacing w:before="0" w:after="283"/>
              <w:jc w:val="right"/>
              <w:rPr/>
            </w:pPr>
            <w:r>
              <w:rPr/>
              <w:t>20,160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left"/>
              <w:rPr/>
            </w:pPr>
            <w:r>
              <w:rPr/>
              <w:t>$</w:t>
            </w:r>
          </w:p>
        </w:tc>
        <w:tc>
          <w:tcPr>
            <w:tcW w:w="1865" w:type="dxa"/>
            <w:tcBorders/>
            <w:shd w:fill="CCEEFF" w:val="clear"/>
            <w:vAlign w:val="center"/>
          </w:tcPr>
          <w:p>
            <w:pPr>
              <w:pStyle w:val="TableContents"/>
              <w:bidi w:val="0"/>
              <w:spacing w:before="0" w:after="283"/>
              <w:jc w:val="right"/>
              <w:rPr/>
            </w:pPr>
            <w:r>
              <w:rPr/>
              <w:t>28,036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1751" w:type="dxa"/>
            <w:tcBorders/>
            <w:shd w:fill="CCEEFF" w:val="clear"/>
            <w:vAlign w:val="center"/>
          </w:tcPr>
          <w:p>
            <w:pPr>
              <w:pStyle w:val="TableContents"/>
              <w:bidi w:val="0"/>
              <w:spacing w:before="0" w:after="283"/>
              <w:jc w:val="right"/>
              <w:rPr/>
            </w:pPr>
            <w:r>
              <w:rPr/>
              <w:t>28,036</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double" w:sz="6" w:space="1" w:color="000000"/>
              </w:rPr>
            </w:pPr>
            <w:r>
              <w:rPr>
                <w:bdr w:val="double" w:sz="6" w:space="1" w:color="000000"/>
              </w:rPr>
              <w:t> </w:t>
            </w:r>
          </w:p>
        </w:tc>
        <w:tc>
          <w:tcPr>
            <w:tcW w:w="186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0"/>
              <w:jc w:val="left"/>
              <w:rPr>
                <w:bdr w:val="double" w:sz="6" w:space="1" w:color="000000"/>
              </w:rPr>
            </w:pPr>
            <w:r>
              <w:rPr>
                <w:bdr w:val="double" w:sz="6" w:space="1" w:color="000000"/>
              </w:rPr>
              <w:t> </w:t>
            </w:r>
          </w:p>
        </w:tc>
        <w:tc>
          <w:tcPr>
            <w:tcW w:w="175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5" w:type="dxa"/>
            <w:tcBorders/>
            <w:vAlign w:val="center"/>
          </w:tcPr>
          <w:p>
            <w:pPr>
              <w:pStyle w:val="TableContents"/>
              <w:bidi w:val="0"/>
              <w:spacing w:before="0" w:after="0"/>
              <w:jc w:val="left"/>
              <w:rPr>
                <w:bdr w:val="double" w:sz="6" w:space="1" w:color="000000"/>
              </w:rPr>
            </w:pPr>
            <w:r>
              <w:rPr>
                <w:bdr w:val="double" w:sz="6" w:space="1" w:color="000000"/>
              </w:rPr>
              <w:t> </w:t>
            </w:r>
          </w:p>
        </w:tc>
        <w:tc>
          <w:tcPr>
            <w:tcW w:w="186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0"/>
              <w:jc w:val="left"/>
              <w:rPr>
                <w:bdr w:val="double" w:sz="6" w:space="1" w:color="000000"/>
              </w:rPr>
            </w:pPr>
            <w:r>
              <w:rPr>
                <w:bdr w:val="double" w:sz="6" w:space="1" w:color="000000"/>
              </w:rPr>
              <w:t> </w:t>
            </w:r>
          </w:p>
        </w:tc>
        <w:tc>
          <w:tcPr>
            <w:tcW w:w="1751"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z w:val="20"/>
          <w:shd w:fill="FFFFFF" w:val="clear"/>
        </w:rPr>
      </w:pPr>
      <w:r>
        <w:rPr>
          <w:rFonts w:ascii="Times New Roman" w:hAnsi="Times New Roman"/>
          <w:sz w:val="20"/>
          <w:shd w:fill="FFFFFF" w:val="clear"/>
        </w:rPr>
        <w:t xml:space="preserve">The severance benefits funded through the Company’s National Pension Fund and group severance insurance plan will be used exclusively for payment of severance benefits to eligible employees. These amounts have been deducted from the accrued severance benefit balance.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Beginning in July 2018, the Company contributes to certain severance insurance deposit accounts a certain percentage of severance benefits that are accrued for eligible employees for their services from January 1, 2018 pursuant to Employee Retirement Benefit Security Act of Korea. These accounts consist of time deposits and other guaranteed principal and interest, and are maintained at insurance companies, banks or security companies for the benefit of employees. The Company deducts the contributions made to these severance insurance deposit accounts from its accrued severance benefits.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Company is liable to pay the following future benefits to its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non-executive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employees upon their normal retirement age (in thousands): </w:t>
      </w:r>
    </w:p>
    <w:p>
      <w:pPr>
        <w:pStyle w:val="TextBody"/>
        <w:bidi w:val="0"/>
        <w:spacing w:before="0" w:after="0"/>
        <w:jc w:val="left"/>
        <w:rPr>
          <w:shd w:fill="FFFFFF" w:val="clear"/>
        </w:rPr>
      </w:pPr>
      <w:r>
        <w:rPr>
          <w:shd w:fill="FFFFFF" w:val="clear"/>
        </w:rPr>
        <w:t> </w:t>
      </w:r>
    </w:p>
    <w:tbl>
      <w:tblPr>
        <w:tblW w:w="3595" w:type="dxa"/>
        <w:jc w:val="left"/>
        <w:tblInd w:w="0" w:type="dxa"/>
        <w:tblLayout w:type="fixed"/>
        <w:tblCellMar>
          <w:top w:w="0" w:type="dxa"/>
          <w:left w:w="0" w:type="dxa"/>
          <w:bottom w:w="0" w:type="dxa"/>
          <w:right w:w="0" w:type="dxa"/>
        </w:tblCellMar>
      </w:tblPr>
      <w:tblGrid>
        <w:gridCol w:w="1595"/>
        <w:gridCol w:w="120"/>
        <w:gridCol w:w="308"/>
        <w:gridCol w:w="1497"/>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Severance benefit</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Remainder of 2023</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163</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2024</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497" w:type="dxa"/>
            <w:tcBorders/>
            <w:vAlign w:val="center"/>
          </w:tcPr>
          <w:p>
            <w:pPr>
              <w:pStyle w:val="TableContents"/>
              <w:bidi w:val="0"/>
              <w:spacing w:before="0" w:after="283"/>
              <w:jc w:val="right"/>
              <w:rPr/>
            </w:pPr>
            <w:r>
              <w:rPr/>
              <w:t>310</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577</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497" w:type="dxa"/>
            <w:tcBorders/>
            <w:vAlign w:val="center"/>
          </w:tcPr>
          <w:p>
            <w:pPr>
              <w:pStyle w:val="TableContents"/>
              <w:bidi w:val="0"/>
              <w:spacing w:before="0" w:after="283"/>
              <w:jc w:val="right"/>
              <w:rPr/>
            </w:pPr>
            <w:r>
              <w:rPr/>
              <w:t>647</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362</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w:t>
            </w:r>
          </w:p>
        </w:tc>
        <w:tc>
          <w:tcPr>
            <w:tcW w:w="1497" w:type="dxa"/>
            <w:tcBorders/>
            <w:vAlign w:val="center"/>
          </w:tcPr>
          <w:p>
            <w:pPr>
              <w:pStyle w:val="TableContents"/>
              <w:bidi w:val="0"/>
              <w:spacing w:before="0" w:after="283"/>
              <w:jc w:val="right"/>
              <w:rPr/>
            </w:pPr>
            <w:r>
              <w:rPr/>
              <w:t>3,352</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2029 – 2033</w:t>
            </w:r>
          </w:p>
        </w:tc>
        <w:tc>
          <w:tcPr>
            <w:tcW w:w="12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p>
        </w:tc>
        <w:tc>
          <w:tcPr>
            <w:tcW w:w="1497" w:type="dxa"/>
            <w:tcBorders/>
            <w:shd w:fill="CCEEFF" w:val="clear"/>
            <w:vAlign w:val="center"/>
          </w:tcPr>
          <w:p>
            <w:pPr>
              <w:pStyle w:val="TableContents"/>
              <w:bidi w:val="0"/>
              <w:spacing w:before="0" w:after="283"/>
              <w:jc w:val="right"/>
              <w:rPr/>
            </w:pPr>
            <w:r>
              <w:rPr/>
              <w:t>17,648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above amounts were determined based on the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non-executive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employees’ current salary rates and the number of service years that will be accumulated upon their retirement dates. These amounts do not include amounts that might be paid to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non-executive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employees that will cease working with the Company before their normal retirement ages.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Korea’s mandatory retirement age is 60 years of age or older under the Employment Promotion for the Aged Act. The Company sets the retirement age of employees at 60.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14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9. Early Termination and Other Charges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During the first quarter of 2023, the Company commenced the voluntary resignation program (the “2023 Voluntary Resignation Program”), which was available for the employees with more than 20 years of service. For the nine months ended September 30, 2023, the Company recorded in its consolidated statement of operations $8,449 thousand of termination related charges as “early termination and other charges”, which were paid during the second quarter of 2023.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nine months ended September 30, 2023, the Company also recorded $802 thousand of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one-time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employee incentives</w:t>
      </w:r>
    </w:p>
    <w:p>
      <w:pPr>
        <w:pStyle w:val="TextBody"/>
        <w:bidi w:val="0"/>
        <w:spacing w:before="240" w:after="0"/>
        <w:jc w:val="left"/>
        <w:rPr>
          <w:rFonts w:ascii="Times New Roman;serif" w:hAnsi="Times New Roman;serif"/>
          <w:spacing w:val="0"/>
          <w:sz w:val="20"/>
          <w:shd w:fill="FFFFFF" w:val="clear"/>
        </w:rPr>
      </w:pPr>
      <w:r>
        <w:rPr>
          <w:rFonts w:ascii="Times New Roman;serif" w:hAnsi="Times New Roman;serif"/>
          <w:spacing w:val="0"/>
          <w:sz w:val="20"/>
          <w:shd w:fill="FFFFFF" w:val="clear"/>
        </w:rPr>
        <w:t>, which were paid during the third quarter of 2023.</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three and nine months ended September 30, 2022, the Company recorded $2,821 thousand of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one-time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employee incentives, in each period, and professional service fees and expenses of $217 thousand and $1,014 thousand, respectively, incurred in connection with certain strategic evaluations, both of which were offset in part by a $537 thousand gain on sale of certain legacy equipment of the closed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back-end</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line in our fabrication facility in Gumi. </w:t>
      </w:r>
    </w:p>
    <w:p>
      <w:pPr>
        <w:pStyle w:val="TextBody"/>
        <w:bidi w:val="0"/>
        <w:spacing w:before="36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10. Foreign Currency Loss, Net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Net foreign currency gain or loss includes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non-cash</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translation gain or loss associated with intercompany balances. A substantial portion of the Company’s net foreign currency gain or loss is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non-cash</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translation gain or loss associated with intercompany long-term loans to the Company’s Korean subsidiary. The loans are denominated in U.S. dollars and are affected by changes in the exchange rate between the Korean won and the U.S. dollar. As of September 30, 2023 and December 31, 2022, the outstanding intercompany loan balances including accrued interest between the Korean subsidiary and the Dutch subsidiary were $281,685 thousand and $310,988 thousand, respectively. The Korean won to U.S. dollar exchange rates were 1,344.8:1 and 1,267.3:1 using the first base rate as of September 30, 2023 and December 31, 2022, respectively, as quoted by the KEB Hana Bank. </w:t>
      </w:r>
    </w:p>
    <w:p>
      <w:pPr>
        <w:pStyle w:val="TextBody"/>
        <w:bidi w:val="0"/>
        <w:spacing w:before="360" w:after="0"/>
        <w:ind w:left="0" w:right="0" w:hanging="0"/>
        <w:jc w:val="left"/>
        <w:rPr>
          <w:rFonts w:ascii="Times New Roman" w:hAnsi="Times New Roman"/>
          <w:b/>
          <w:spacing w:val="0"/>
          <w:sz w:val="20"/>
          <w:shd w:fill="FFFFFF" w:val="clear"/>
        </w:rPr>
      </w:pPr>
      <w:r>
        <w:rPr>
          <w:rFonts w:ascii="Times New Roman" w:hAnsi="Times New Roman"/>
          <w:b/>
          <w:spacing w:val="0"/>
          <w:sz w:val="20"/>
          <w:shd w:fill="FFFFFF" w:val="clear"/>
        </w:rPr>
        <w:t>11. Income Taxes</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Company and its subsidiaries file income tax returns in Korea, Japan, Taiwan, the U.S. and in various other jurisdictions. The Company is subject to income or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non-income</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tax examinations by tax authorities of these jurisdictions for all open tax years.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three and nine months ended September 30, 2023, the Company recorded an income tax benefit of $4,373 thousand and $8,577 thousand, respectively, primarily related to its primary operating entity in Korea based on the estimated taxable loss for the respective period.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three and nine months ended September 30, 2022, the Company recorded an income tax benefit of $3,942 thousand and $1,356 thousand, respectively, primarily attributable to a decrease in its Korean subsidiary’s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pre-tax</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income for the respective period due to the foreign currency translation loss recorded in its Korean subsidiary in connection with intercompany loans.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15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12. Geographic and Other Information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sets forth information relating to the single operating segment (in thousands): </w:t>
      </w:r>
    </w:p>
    <w:p>
      <w:pPr>
        <w:pStyle w:val="TextBody"/>
        <w:bidi w:val="0"/>
        <w:spacing w:before="0" w:after="0"/>
        <w:jc w:val="left"/>
        <w:rPr>
          <w:shd w:fill="FFFFFF" w:val="clear"/>
        </w:rPr>
      </w:pPr>
      <w:r>
        <w:rPr>
          <w:shd w:fill="FFFFFF" w:val="clear"/>
        </w:rPr>
        <w:t> </w:t>
      </w:r>
    </w:p>
    <w:tbl>
      <w:tblPr>
        <w:tblW w:w="9568" w:type="dxa"/>
        <w:jc w:val="left"/>
        <w:tblInd w:w="0" w:type="dxa"/>
        <w:tblLayout w:type="fixed"/>
        <w:tblCellMar>
          <w:top w:w="0" w:type="dxa"/>
          <w:left w:w="0" w:type="dxa"/>
          <w:bottom w:w="0" w:type="dxa"/>
          <w:right w:w="0" w:type="dxa"/>
        </w:tblCellMar>
      </w:tblPr>
      <w:tblGrid>
        <w:gridCol w:w="2900"/>
        <w:gridCol w:w="120"/>
        <w:gridCol w:w="251"/>
        <w:gridCol w:w="1223"/>
        <w:gridCol w:w="72"/>
        <w:gridCol w:w="145"/>
        <w:gridCol w:w="251"/>
        <w:gridCol w:w="1223"/>
        <w:gridCol w:w="60"/>
        <w:gridCol w:w="120"/>
        <w:gridCol w:w="218"/>
        <w:gridCol w:w="1256"/>
        <w:gridCol w:w="60"/>
        <w:gridCol w:w="120"/>
        <w:gridCol w:w="218"/>
        <w:gridCol w:w="1256"/>
        <w:gridCol w:w="75"/>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Standard products business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Display Solutions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6,404</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6,355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26,902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63,876</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Power Solutions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45,215</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56,416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127,606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184,193</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3"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standard products business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51,619</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62,771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154,508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248,069</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Transitional Fab 3 foundry services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9,626</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8,428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24,721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28,599</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3"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revenues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61,245</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71,199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179,229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276,668</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3" w:type="dxa"/>
            <w:tcBorders/>
            <w:vAlign w:val="center"/>
          </w:tcPr>
          <w:p>
            <w:pPr>
              <w:pStyle w:val="TableContents"/>
              <w:bidi w:val="0"/>
              <w:spacing w:before="0" w:after="0"/>
              <w:jc w:val="left"/>
              <w:rPr>
                <w:bdr w:val="double" w:sz="6" w:space="1" w:color="000000"/>
              </w:rPr>
            </w:pPr>
            <w:r>
              <w:rPr>
                <w:bdr w:val="double" w:sz="6"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9879" w:type="dxa"/>
        <w:jc w:val="left"/>
        <w:tblInd w:w="0" w:type="dxa"/>
        <w:tblLayout w:type="fixed"/>
        <w:tblCellMar>
          <w:top w:w="0" w:type="dxa"/>
          <w:left w:w="0" w:type="dxa"/>
          <w:bottom w:w="0" w:type="dxa"/>
          <w:right w:w="0" w:type="dxa"/>
        </w:tblCellMar>
      </w:tblPr>
      <w:tblGrid>
        <w:gridCol w:w="2900"/>
        <w:gridCol w:w="120"/>
        <w:gridCol w:w="251"/>
        <w:gridCol w:w="1223"/>
        <w:gridCol w:w="178"/>
        <w:gridCol w:w="138"/>
        <w:gridCol w:w="250"/>
        <w:gridCol w:w="1224"/>
        <w:gridCol w:w="155"/>
        <w:gridCol w:w="120"/>
        <w:gridCol w:w="250"/>
        <w:gridCol w:w="1224"/>
        <w:gridCol w:w="167"/>
        <w:gridCol w:w="130"/>
        <w:gridCol w:w="249"/>
        <w:gridCol w:w="1225"/>
        <w:gridCol w:w="75"/>
      </w:tblGrid>
      <w:tr>
        <w:trPr/>
        <w:tc>
          <w:tcPr>
            <w:tcW w:w="2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64"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2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67"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Standard products business</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223" w:type="dxa"/>
            <w:tcBorders/>
            <w:vAlign w:val="center"/>
          </w:tcPr>
          <w:p>
            <w:pPr>
              <w:pStyle w:val="TableContents"/>
              <w:bidi w:val="0"/>
              <w:spacing w:before="0" w:after="283"/>
              <w:jc w:val="right"/>
              <w:rPr/>
            </w:pPr>
            <w:r>
              <w:rPr/>
              <w:t>14,790</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w:t>
            </w:r>
          </w:p>
        </w:tc>
        <w:tc>
          <w:tcPr>
            <w:tcW w:w="1224" w:type="dxa"/>
            <w:tcBorders/>
            <w:vAlign w:val="center"/>
          </w:tcPr>
          <w:p>
            <w:pPr>
              <w:pStyle w:val="TableContents"/>
              <w:bidi w:val="0"/>
              <w:spacing w:before="0" w:after="283"/>
              <w:jc w:val="right"/>
              <w:rPr/>
            </w:pPr>
            <w:r>
              <w:rPr/>
              <w:t>17,274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w:t>
            </w:r>
          </w:p>
        </w:tc>
        <w:tc>
          <w:tcPr>
            <w:tcW w:w="1224" w:type="dxa"/>
            <w:tcBorders/>
            <w:vAlign w:val="center"/>
          </w:tcPr>
          <w:p>
            <w:pPr>
              <w:pStyle w:val="TableContents"/>
              <w:bidi w:val="0"/>
              <w:spacing w:before="0" w:after="283"/>
              <w:jc w:val="right"/>
              <w:rPr/>
            </w:pPr>
            <w:r>
              <w:rPr/>
              <w:t>42,500</w:t>
            </w:r>
          </w:p>
        </w:tc>
        <w:tc>
          <w:tcPr>
            <w:tcW w:w="167"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w:t>
            </w:r>
          </w:p>
        </w:tc>
        <w:tc>
          <w:tcPr>
            <w:tcW w:w="1225" w:type="dxa"/>
            <w:tcBorders/>
            <w:vAlign w:val="center"/>
          </w:tcPr>
          <w:p>
            <w:pPr>
              <w:pStyle w:val="TableContents"/>
              <w:bidi w:val="0"/>
              <w:spacing w:before="0" w:after="283"/>
              <w:jc w:val="right"/>
              <w:rPr/>
            </w:pPr>
            <w:r>
              <w:rPr/>
              <w:t>82,872</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Transitional Fab 3 foundry services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(309</w:t>
            </w:r>
          </w:p>
        </w:tc>
        <w:tc>
          <w:tcPr>
            <w:tcW w:w="178"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(2,387</w:t>
            </w:r>
          </w:p>
        </w:tc>
        <w:tc>
          <w:tcPr>
            <w:tcW w:w="167"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225" w:type="dxa"/>
            <w:tcBorders/>
            <w:shd w:fill="CCEEFF" w:val="clear"/>
            <w:vAlign w:val="center"/>
          </w:tcPr>
          <w:p>
            <w:pPr>
              <w:pStyle w:val="TableContents"/>
              <w:bidi w:val="0"/>
              <w:spacing w:before="0" w:after="283"/>
              <w:jc w:val="right"/>
              <w:rPr/>
            </w:pPr>
            <w:r>
              <w:rPr/>
              <w:t>2,294</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3" w:type="dxa"/>
            <w:tcBorders/>
            <w:vAlign w:val="center"/>
          </w:tcPr>
          <w:p>
            <w:pPr>
              <w:pStyle w:val="TableContents"/>
              <w:bidi w:val="0"/>
              <w:spacing w:before="0" w:after="0"/>
              <w:jc w:val="left"/>
              <w:rPr>
                <w:bdr w:val="single" w:sz="2" w:space="1" w:color="000000"/>
              </w:rPr>
            </w:pPr>
            <w:r>
              <w:rPr>
                <w:bdr w:val="single" w:sz="2" w:space="1" w:color="000000"/>
              </w:rPr>
              <w:t> </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4" w:type="dxa"/>
            <w:tcBorders/>
            <w:vAlign w:val="center"/>
          </w:tcPr>
          <w:p>
            <w:pPr>
              <w:pStyle w:val="TableContents"/>
              <w:bidi w:val="0"/>
              <w:spacing w:before="0" w:after="0"/>
              <w:jc w:val="left"/>
              <w:rPr>
                <w:bdr w:val="single" w:sz="2" w:space="1" w:color="000000"/>
              </w:rPr>
            </w:pPr>
            <w:r>
              <w:rPr>
                <w:bdr w:val="single" w:sz="2" w:space="1" w:color="000000"/>
              </w:rPr>
              <w:t> </w:t>
            </w:r>
          </w:p>
        </w:tc>
        <w:tc>
          <w:tcPr>
            <w:tcW w:w="167"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0"/>
              <w:jc w:val="left"/>
              <w:rPr>
                <w:bdr w:val="single" w:sz="2" w:space="1" w:color="000000"/>
              </w:rPr>
            </w:pPr>
            <w:r>
              <w:rPr>
                <w:bdr w:val="single" w:sz="2" w:space="1" w:color="000000"/>
              </w:rPr>
              <w:t> </w:t>
            </w:r>
          </w:p>
        </w:tc>
        <w:tc>
          <w:tcPr>
            <w:tcW w:w="1225"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gross profit</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w:t>
            </w:r>
          </w:p>
        </w:tc>
        <w:tc>
          <w:tcPr>
            <w:tcW w:w="1223" w:type="dxa"/>
            <w:tcBorders/>
            <w:vAlign w:val="center"/>
          </w:tcPr>
          <w:p>
            <w:pPr>
              <w:pStyle w:val="TableContents"/>
              <w:bidi w:val="0"/>
              <w:spacing w:before="0" w:after="283"/>
              <w:jc w:val="right"/>
              <w:rPr/>
            </w:pPr>
            <w:r>
              <w:rPr/>
              <w:t>14,481</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w:t>
            </w:r>
          </w:p>
        </w:tc>
        <w:tc>
          <w:tcPr>
            <w:tcW w:w="1224" w:type="dxa"/>
            <w:tcBorders/>
            <w:vAlign w:val="center"/>
          </w:tcPr>
          <w:p>
            <w:pPr>
              <w:pStyle w:val="TableContents"/>
              <w:bidi w:val="0"/>
              <w:spacing w:before="0" w:after="283"/>
              <w:jc w:val="right"/>
              <w:rPr/>
            </w:pPr>
            <w:r>
              <w:rPr/>
              <w:t>17,225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w:t>
            </w:r>
          </w:p>
        </w:tc>
        <w:tc>
          <w:tcPr>
            <w:tcW w:w="1224" w:type="dxa"/>
            <w:tcBorders/>
            <w:vAlign w:val="center"/>
          </w:tcPr>
          <w:p>
            <w:pPr>
              <w:pStyle w:val="TableContents"/>
              <w:bidi w:val="0"/>
              <w:spacing w:before="0" w:after="283"/>
              <w:jc w:val="right"/>
              <w:rPr/>
            </w:pPr>
            <w:r>
              <w:rPr/>
              <w:t>40,113</w:t>
            </w:r>
          </w:p>
        </w:tc>
        <w:tc>
          <w:tcPr>
            <w:tcW w:w="167"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w:t>
            </w:r>
          </w:p>
        </w:tc>
        <w:tc>
          <w:tcPr>
            <w:tcW w:w="1225" w:type="dxa"/>
            <w:tcBorders/>
            <w:vAlign w:val="center"/>
          </w:tcPr>
          <w:p>
            <w:pPr>
              <w:pStyle w:val="TableContents"/>
              <w:bidi w:val="0"/>
              <w:spacing w:before="0" w:after="283"/>
              <w:jc w:val="right"/>
              <w:rPr/>
            </w:pPr>
            <w:r>
              <w:rPr/>
              <w:t>85,166</w:t>
            </w:r>
          </w:p>
        </w:tc>
        <w:tc>
          <w:tcPr>
            <w:tcW w:w="75" w:type="dxa"/>
            <w:tcBorders/>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3" w:type="dxa"/>
            <w:tcBorders/>
            <w:vAlign w:val="center"/>
          </w:tcPr>
          <w:p>
            <w:pPr>
              <w:pStyle w:val="TableContents"/>
              <w:bidi w:val="0"/>
              <w:spacing w:before="0" w:after="0"/>
              <w:jc w:val="left"/>
              <w:rPr>
                <w:bdr w:val="double" w:sz="6" w:space="1" w:color="000000"/>
              </w:rPr>
            </w:pPr>
            <w:r>
              <w:rPr>
                <w:bdr w:val="double" w:sz="6" w:space="1" w:color="000000"/>
              </w:rPr>
              <w:t> </w:t>
            </w:r>
          </w:p>
        </w:tc>
        <w:tc>
          <w:tcPr>
            <w:tcW w:w="17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4" w:type="dxa"/>
            <w:tcBorders/>
            <w:vAlign w:val="center"/>
          </w:tcPr>
          <w:p>
            <w:pPr>
              <w:pStyle w:val="TableContents"/>
              <w:bidi w:val="0"/>
              <w:spacing w:before="0" w:after="0"/>
              <w:jc w:val="left"/>
              <w:rPr>
                <w:bdr w:val="double" w:sz="6" w:space="1" w:color="000000"/>
              </w:rPr>
            </w:pPr>
            <w:r>
              <w:rPr>
                <w:bdr w:val="double" w:sz="6" w:space="1" w:color="000000"/>
              </w:rPr>
              <w:t> </w:t>
            </w:r>
          </w:p>
        </w:tc>
        <w:tc>
          <w:tcPr>
            <w:tcW w:w="167"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0"/>
              <w:jc w:val="left"/>
              <w:rPr>
                <w:bdr w:val="double" w:sz="6" w:space="1" w:color="000000"/>
              </w:rPr>
            </w:pPr>
            <w:r>
              <w:rPr>
                <w:bdr w:val="double" w:sz="6" w:space="1" w:color="000000"/>
              </w:rPr>
              <w:t> </w:t>
            </w:r>
          </w:p>
        </w:tc>
        <w:tc>
          <w:tcPr>
            <w:tcW w:w="1225"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is a summary of net sales—standard products business (which does not include the Transitional Fab 3 Foundry Services) by geographic region, based on the location to which the products are billed (in thousands): </w:t>
      </w:r>
    </w:p>
    <w:p>
      <w:pPr>
        <w:pStyle w:val="TextBody"/>
        <w:bidi w:val="0"/>
        <w:spacing w:before="0" w:after="0"/>
        <w:jc w:val="left"/>
        <w:rPr>
          <w:shd w:fill="FFFFFF" w:val="clear"/>
        </w:rPr>
      </w:pPr>
      <w:r>
        <w:rPr>
          <w:shd w:fill="FFFFFF" w:val="clear"/>
        </w:rPr>
        <w:t> </w:t>
      </w:r>
    </w:p>
    <w:tbl>
      <w:tblPr>
        <w:tblW w:w="9178" w:type="dxa"/>
        <w:jc w:val="left"/>
        <w:tblInd w:w="0" w:type="dxa"/>
        <w:tblLayout w:type="fixed"/>
        <w:tblCellMar>
          <w:top w:w="0" w:type="dxa"/>
          <w:left w:w="0" w:type="dxa"/>
          <w:bottom w:w="0" w:type="dxa"/>
          <w:right w:w="0" w:type="dxa"/>
        </w:tblCellMar>
      </w:tblPr>
      <w:tblGrid>
        <w:gridCol w:w="2510"/>
        <w:gridCol w:w="120"/>
        <w:gridCol w:w="251"/>
        <w:gridCol w:w="1223"/>
        <w:gridCol w:w="72"/>
        <w:gridCol w:w="145"/>
        <w:gridCol w:w="251"/>
        <w:gridCol w:w="1223"/>
        <w:gridCol w:w="60"/>
        <w:gridCol w:w="120"/>
        <w:gridCol w:w="218"/>
        <w:gridCol w:w="1256"/>
        <w:gridCol w:w="60"/>
        <w:gridCol w:w="120"/>
        <w:gridCol w:w="218"/>
        <w:gridCol w:w="1256"/>
        <w:gridCol w:w="75"/>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6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Korea</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19,249</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23,867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50,139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86,065</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Asia Pacific (other than Korea)</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29,859</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34,612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96,784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148,940</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1,214</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2,718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2,495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8,074</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1,297</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1,574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5,090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1256" w:type="dxa"/>
            <w:tcBorders/>
            <w:vAlign w:val="center"/>
          </w:tcPr>
          <w:p>
            <w:pPr>
              <w:pStyle w:val="TableContents"/>
              <w:bidi w:val="0"/>
              <w:spacing w:before="0" w:after="283"/>
              <w:jc w:val="right"/>
              <w:rPr/>
            </w:pPr>
            <w:r>
              <w:rPr/>
              <w:t>4,990</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3" w:type="dxa"/>
            <w:tcBorders/>
            <w:vAlign w:val="center"/>
          </w:tcPr>
          <w:p>
            <w:pPr>
              <w:pStyle w:val="TableContents"/>
              <w:bidi w:val="0"/>
              <w:spacing w:before="0" w:after="0"/>
              <w:jc w:val="left"/>
              <w:rPr>
                <w:bdr w:val="single" w:sz="2" w:space="1" w:color="000000"/>
              </w:rPr>
            </w:pPr>
            <w:r>
              <w:rPr>
                <w:bdr w:val="single" w:sz="2"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single" w:sz="2" w:space="1" w:color="000000"/>
              </w:rPr>
            </w:pPr>
            <w:r>
              <w:rPr>
                <w:bdr w:val="single" w:sz="2" w:space="1" w:color="000000"/>
              </w:rPr>
              <w:t> </w:t>
            </w:r>
          </w:p>
        </w:tc>
        <w:tc>
          <w:tcPr>
            <w:tcW w:w="1223"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single" w:sz="2" w:space="1" w:color="000000"/>
              </w:rPr>
            </w:pPr>
            <w:r>
              <w:rPr>
                <w:bdr w:val="single" w:sz="2" w:space="1" w:color="000000"/>
              </w:rPr>
              <w:t> </w:t>
            </w:r>
          </w:p>
        </w:tc>
        <w:tc>
          <w:tcPr>
            <w:tcW w:w="125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51,619</w:t>
            </w:r>
          </w:p>
        </w:tc>
        <w:tc>
          <w:tcPr>
            <w:tcW w:w="7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62,771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154,508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248,069</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3" w:type="dxa"/>
            <w:tcBorders/>
            <w:vAlign w:val="center"/>
          </w:tcPr>
          <w:p>
            <w:pPr>
              <w:pStyle w:val="TableContents"/>
              <w:bidi w:val="0"/>
              <w:spacing w:before="0" w:after="0"/>
              <w:jc w:val="left"/>
              <w:rPr>
                <w:bdr w:val="double" w:sz="6" w:space="1" w:color="000000"/>
              </w:rPr>
            </w:pPr>
            <w:r>
              <w:rPr>
                <w:bdr w:val="double" w:sz="6" w:space="1" w:color="000000"/>
              </w:rPr>
              <w:t> </w:t>
            </w:r>
          </w:p>
        </w:tc>
        <w:tc>
          <w:tcPr>
            <w:tcW w:w="72"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0"/>
              <w:jc w:val="left"/>
              <w:rPr>
                <w:bdr w:val="double" w:sz="6" w:space="1" w:color="000000"/>
              </w:rPr>
            </w:pPr>
            <w:r>
              <w:rPr>
                <w:bdr w:val="double" w:sz="6" w:space="1" w:color="000000"/>
              </w:rPr>
              <w:t> </w:t>
            </w:r>
          </w:p>
        </w:tc>
        <w:tc>
          <w:tcPr>
            <w:tcW w:w="1223"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0"/>
              <w:jc w:val="left"/>
              <w:rPr>
                <w:bdr w:val="double" w:sz="6" w:space="1" w:color="000000"/>
              </w:rPr>
            </w:pPr>
            <w:r>
              <w:rPr>
                <w:bdr w:val="double" w:sz="6" w:space="1" w:color="000000"/>
              </w:rPr>
              <w:t> </w:t>
            </w:r>
          </w:p>
        </w:tc>
        <w:tc>
          <w:tcPr>
            <w:tcW w:w="1256"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three months ended September 30, 2023 and 2022, of the Company’s net sales – standard products business in Asia Pacific (other than Korea), net sales – standard products business in China and Hong Kong together represented 73.3% and 74.2%, respectively. For the nine months ended September 30, 2023 and 2022, of the Company’s net sales – standard products business in Asia Pacific (other than Korea), net sales – standard products business in China and Hong Kong represented 66.1% and 66.4%, respectively.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Net sales from the Company’s top ten largest customers in the standard products business (which does not include the Transitional Fab 3 Foundry Services) accounted for 74% and 64% for the three months ended September 30, 2023 and 2022, respectively, and 70% for the nine months ended September 30, 2023 and 2022, in each period.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For the three months ended September 30, 2023, the Company had one customer that represented 18.8% of its net sales—standard products business. For the nine months ended September 30, 2023, the Company had two customers that represented 15.9% and 13.3% of its net sales—standard products business, respectively. For the three months ended September 30, 2022, the Company had one customer that represented 16.2% of its net sales – standard products business. For the nine months ended September 30, 2022, the Company had two customers that represented 20.6% and 13.9% of its net sales – standard products business.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As of September 30, 2023, two customers of the Company’s standard products business accounted for 30.6% and 10.4% of its accounts receivable –standard products business (which does not include the Transitional Fab 3 Foundry Services), respectively. As of December 31, 2022, two customers of the Company’s standard products business accounted for 25.1% and 15.2% of its accounts receivable – standard products business (which does not include the Transitional Fab 3 Foundry Services), respectively. </w:t>
      </w: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16</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13. Accumulated Other Comprehensive Loss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Accumulated other comprehensive loss consists of the following as of September 30, 2023 and December 31, 2022, respectively (in thousands): </w:t>
      </w:r>
    </w:p>
    <w:p>
      <w:pPr>
        <w:pStyle w:val="TextBody"/>
        <w:bidi w:val="0"/>
        <w:spacing w:before="0" w:after="0"/>
        <w:jc w:val="left"/>
        <w:rPr>
          <w:shd w:fill="FFFFFF" w:val="clear"/>
        </w:rPr>
      </w:pPr>
      <w:r>
        <w:rPr>
          <w:shd w:fill="FFFFFF" w:val="clear"/>
        </w:rPr>
        <w:t> </w:t>
      </w:r>
    </w:p>
    <w:tbl>
      <w:tblPr>
        <w:tblW w:w="6805" w:type="dxa"/>
        <w:jc w:val="left"/>
        <w:tblInd w:w="0" w:type="dxa"/>
        <w:tblLayout w:type="fixed"/>
        <w:tblCellMar>
          <w:top w:w="0" w:type="dxa"/>
          <w:left w:w="0" w:type="dxa"/>
          <w:bottom w:w="0" w:type="dxa"/>
          <w:right w:w="0" w:type="dxa"/>
        </w:tblCellMar>
      </w:tblPr>
      <w:tblGrid>
        <w:gridCol w:w="3350"/>
        <w:gridCol w:w="120"/>
        <w:gridCol w:w="230"/>
        <w:gridCol w:w="1245"/>
        <w:gridCol w:w="155"/>
        <w:gridCol w:w="120"/>
        <w:gridCol w:w="221"/>
        <w:gridCol w:w="1194"/>
        <w:gridCol w:w="170"/>
      </w:tblGrid>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December 31,</w:t>
              <w:br/>
              <w:t>2022</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(17,368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(11,328</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Derivative adjustments</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1245" w:type="dxa"/>
            <w:tcBorders/>
            <w:vAlign w:val="center"/>
          </w:tcPr>
          <w:p>
            <w:pPr>
              <w:pStyle w:val="TableContents"/>
              <w:bidi w:val="0"/>
              <w:spacing w:before="0" w:after="283"/>
              <w:jc w:val="right"/>
              <w:rPr/>
            </w:pPr>
            <w:r>
              <w:rPr/>
              <w:t>(1,204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94" w:type="dxa"/>
            <w:tcBorders/>
            <w:vAlign w:val="center"/>
          </w:tcPr>
          <w:p>
            <w:pPr>
              <w:pStyle w:val="TableContents"/>
              <w:bidi w:val="0"/>
              <w:spacing w:before="0" w:after="283"/>
              <w:jc w:val="right"/>
              <w:rPr/>
            </w:pPr>
            <w:r>
              <w:rPr/>
              <w:t>(1,225</w:t>
            </w:r>
          </w:p>
        </w:tc>
        <w:tc>
          <w:tcPr>
            <w:tcW w:w="170" w:type="dxa"/>
            <w:tcBorders/>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single" w:sz="2" w:space="1" w:color="000000"/>
              </w:rPr>
            </w:pPr>
            <w:r>
              <w:rPr>
                <w:bdr w:val="single" w:sz="2" w:space="1" w:color="000000"/>
              </w:rPr>
              <w:t> </w:t>
            </w:r>
          </w:p>
        </w:tc>
        <w:tc>
          <w:tcPr>
            <w:tcW w:w="124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single" w:sz="2" w:space="1" w:color="000000"/>
              </w:rPr>
            </w:pPr>
            <w:r>
              <w:rPr>
                <w:bdr w:val="single" w:sz="2" w:space="1" w:color="000000"/>
              </w:rPr>
              <w:t> </w:t>
            </w:r>
          </w:p>
        </w:tc>
        <w:tc>
          <w:tcPr>
            <w:tcW w:w="1194"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5" w:type="dxa"/>
            <w:tcBorders/>
            <w:shd w:fill="CCEEFF" w:val="clear"/>
            <w:vAlign w:val="center"/>
          </w:tcPr>
          <w:p>
            <w:pPr>
              <w:pStyle w:val="TableContents"/>
              <w:bidi w:val="0"/>
              <w:spacing w:before="0" w:after="283"/>
              <w:jc w:val="right"/>
              <w:rPr/>
            </w:pPr>
            <w:r>
              <w:rPr/>
              <w:t>(18,572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4" w:type="dxa"/>
            <w:tcBorders/>
            <w:shd w:fill="CCEEFF" w:val="clear"/>
            <w:vAlign w:val="center"/>
          </w:tcPr>
          <w:p>
            <w:pPr>
              <w:pStyle w:val="TableContents"/>
              <w:bidi w:val="0"/>
              <w:spacing w:before="0" w:after="283"/>
              <w:jc w:val="right"/>
              <w:rPr/>
            </w:pPr>
            <w:r>
              <w:rPr/>
              <w:t>(12,553</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dr w:val="double" w:sz="6" w:space="1" w:color="000000"/>
              </w:rPr>
            </w:pPr>
            <w:r>
              <w:rPr>
                <w:bdr w:val="double" w:sz="6" w:space="1" w:color="000000"/>
              </w:rPr>
              <w:t> </w:t>
            </w:r>
          </w:p>
        </w:tc>
        <w:tc>
          <w:tcPr>
            <w:tcW w:w="124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0"/>
              <w:jc w:val="left"/>
              <w:rPr>
                <w:bdr w:val="double" w:sz="6" w:space="1" w:color="000000"/>
              </w:rPr>
            </w:pPr>
            <w:r>
              <w:rPr>
                <w:bdr w:val="double" w:sz="6" w:space="1" w:color="000000"/>
              </w:rPr>
              <w:t> </w:t>
            </w:r>
          </w:p>
        </w:tc>
        <w:tc>
          <w:tcPr>
            <w:tcW w:w="1194"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Changes in accumulated other comprehensive loss for the three months ended September 30, 2023 and 2022 are as follows (in thousands): </w:t>
      </w:r>
    </w:p>
    <w:p>
      <w:pPr>
        <w:pStyle w:val="TextBody"/>
        <w:bidi w:val="0"/>
        <w:spacing w:before="0" w:after="0"/>
        <w:jc w:val="left"/>
        <w:rPr>
          <w:shd w:fill="FFFFFF" w:val="clear"/>
        </w:rPr>
      </w:pPr>
      <w:r>
        <w:rPr>
          <w:shd w:fill="FFFFFF" w:val="clear"/>
        </w:rPr>
        <w:t> </w:t>
      </w:r>
    </w:p>
    <w:tbl>
      <w:tblPr>
        <w:tblW w:w="9565" w:type="dxa"/>
        <w:jc w:val="left"/>
        <w:tblInd w:w="0" w:type="dxa"/>
        <w:tblLayout w:type="fixed"/>
        <w:tblCellMar>
          <w:top w:w="0" w:type="dxa"/>
          <w:left w:w="0" w:type="dxa"/>
          <w:bottom w:w="0" w:type="dxa"/>
          <w:right w:w="0" w:type="dxa"/>
        </w:tblCellMar>
      </w:tblPr>
      <w:tblGrid>
        <w:gridCol w:w="5330"/>
        <w:gridCol w:w="120"/>
        <w:gridCol w:w="195"/>
        <w:gridCol w:w="1055"/>
        <w:gridCol w:w="155"/>
        <w:gridCol w:w="120"/>
        <w:gridCol w:w="225"/>
        <w:gridCol w:w="1025"/>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Three Months Ended September 30, 2023</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br/>
              <w:t>currency</w:t>
              <w:br/>
              <w:t>translation</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Derivative</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(15,521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(889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(16,410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(1,847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(1,013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(2,860</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698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698</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(1,847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(2,162</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(17,368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(1,204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(18,572</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double" w:sz="6" w:space="1" w:color="000000"/>
              </w:rPr>
            </w:pPr>
            <w:r>
              <w:rPr>
                <w:bdr w:val="double" w:sz="6" w:space="1" w:color="000000"/>
              </w:rPr>
              <w:t> </w:t>
            </w:r>
          </w:p>
        </w:tc>
        <w:tc>
          <w:tcPr>
            <w:tcW w:w="102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9565" w:type="dxa"/>
        <w:jc w:val="left"/>
        <w:tblInd w:w="0" w:type="dxa"/>
        <w:tblLayout w:type="fixed"/>
        <w:tblCellMar>
          <w:top w:w="0" w:type="dxa"/>
          <w:left w:w="0" w:type="dxa"/>
          <w:bottom w:w="0" w:type="dxa"/>
          <w:right w:w="0" w:type="dxa"/>
        </w:tblCellMar>
      </w:tblPr>
      <w:tblGrid>
        <w:gridCol w:w="5330"/>
        <w:gridCol w:w="120"/>
        <w:gridCol w:w="195"/>
        <w:gridCol w:w="1055"/>
        <w:gridCol w:w="155"/>
        <w:gridCol w:w="120"/>
        <w:gridCol w:w="195"/>
        <w:gridCol w:w="1055"/>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Three Months Ended September 30, 2022</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br/>
              <w:t>currency</w:t>
              <w:br/>
              <w:t>translation</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Derivative</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(10,677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(6,643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(17,320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(5,974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(11,757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(17,731</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2,820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(5,974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(8,937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(14,911</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(16,651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(15,580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(32,231</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Changes in accumulated other comprehensive loss for the nine months ended September 30, 2023 and 2022 are as follows (in thousands): </w:t>
      </w:r>
    </w:p>
    <w:p>
      <w:pPr>
        <w:pStyle w:val="TextBody"/>
        <w:bidi w:val="0"/>
        <w:spacing w:before="0" w:after="0"/>
        <w:jc w:val="left"/>
        <w:rPr>
          <w:shd w:fill="FFFFFF" w:val="clear"/>
        </w:rPr>
      </w:pPr>
      <w:r>
        <w:rPr>
          <w:shd w:fill="FFFFFF" w:val="clear"/>
        </w:rPr>
        <w:t> </w:t>
      </w:r>
    </w:p>
    <w:tbl>
      <w:tblPr>
        <w:tblW w:w="9565" w:type="dxa"/>
        <w:jc w:val="left"/>
        <w:tblInd w:w="0" w:type="dxa"/>
        <w:tblLayout w:type="fixed"/>
        <w:tblCellMar>
          <w:top w:w="0" w:type="dxa"/>
          <w:left w:w="0" w:type="dxa"/>
          <w:bottom w:w="0" w:type="dxa"/>
          <w:right w:w="0" w:type="dxa"/>
        </w:tblCellMar>
      </w:tblPr>
      <w:tblGrid>
        <w:gridCol w:w="5330"/>
        <w:gridCol w:w="120"/>
        <w:gridCol w:w="195"/>
        <w:gridCol w:w="1055"/>
        <w:gridCol w:w="155"/>
        <w:gridCol w:w="120"/>
        <w:gridCol w:w="225"/>
        <w:gridCol w:w="1025"/>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Nine Months Ended September 30, 2023</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br/>
              <w:t>currency</w:t>
              <w:br/>
              <w:t>translation</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Derivative</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(11,328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(1,225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(12,553</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(6,040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(2,523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(8,563</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2,544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2,544</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(6,040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(6,019</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single" w:sz="2" w:space="1" w:color="000000"/>
              </w:rPr>
            </w:pPr>
            <w:r>
              <w:rPr>
                <w:bdr w:val="single" w:sz="2" w:space="1" w:color="000000"/>
              </w:rPr>
              <w:t> </w:t>
            </w:r>
          </w:p>
        </w:tc>
        <w:tc>
          <w:tcPr>
            <w:tcW w:w="102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(17,368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(1,204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(18,572</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bdr w:val="double" w:sz="6" w:space="1" w:color="000000"/>
              </w:rPr>
            </w:pPr>
            <w:r>
              <w:rPr>
                <w:bdr w:val="double" w:sz="6" w:space="1" w:color="000000"/>
              </w:rPr>
              <w:t> </w:t>
            </w:r>
          </w:p>
        </w:tc>
        <w:tc>
          <w:tcPr>
            <w:tcW w:w="102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9565" w:type="dxa"/>
        <w:jc w:val="left"/>
        <w:tblInd w:w="0" w:type="dxa"/>
        <w:tblLayout w:type="fixed"/>
        <w:tblCellMar>
          <w:top w:w="0" w:type="dxa"/>
          <w:left w:w="0" w:type="dxa"/>
          <w:bottom w:w="0" w:type="dxa"/>
          <w:right w:w="0" w:type="dxa"/>
        </w:tblCellMar>
      </w:tblPr>
      <w:tblGrid>
        <w:gridCol w:w="5330"/>
        <w:gridCol w:w="120"/>
        <w:gridCol w:w="195"/>
        <w:gridCol w:w="1055"/>
        <w:gridCol w:w="155"/>
        <w:gridCol w:w="120"/>
        <w:gridCol w:w="195"/>
        <w:gridCol w:w="1055"/>
        <w:gridCol w:w="155"/>
        <w:gridCol w:w="120"/>
        <w:gridCol w:w="140"/>
        <w:gridCol w:w="755"/>
        <w:gridCol w:w="170"/>
      </w:tblGrid>
      <w:tr>
        <w:trPr/>
        <w:tc>
          <w:tcPr>
            <w:tcW w:w="5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33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Nine Months Ended September 30, 2022</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Foreign</w:t>
              <w:br/>
              <w:t>currency</w:t>
              <w:br/>
              <w:t>translation</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Derivative</w:t>
              <w:br/>
              <w:t>adjustments</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(770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(1,460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(2,230</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 before reclassifications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(15,881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(19,498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(35,379</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reclassified from 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5,378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5,378</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current-period other comprehensive loss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(15,881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(14,120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(30,001</w:t>
            </w:r>
          </w:p>
        </w:tc>
        <w:tc>
          <w:tcPr>
            <w:tcW w:w="17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single" w:sz="2" w:space="1" w:color="000000"/>
              </w:rPr>
            </w:pPr>
            <w:r>
              <w:rPr>
                <w:bdr w:val="single" w:sz="2" w:space="1" w:color="000000"/>
              </w:rPr>
              <w:t> </w:t>
            </w:r>
          </w:p>
        </w:tc>
        <w:tc>
          <w:tcPr>
            <w:tcW w:w="7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(16,651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(15,580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(32,231</w:t>
            </w:r>
          </w:p>
        </w:tc>
        <w:tc>
          <w:tcPr>
            <w:tcW w:w="170" w:type="dxa"/>
            <w:tcBorders/>
            <w:shd w:fill="CCEEFF" w:val="clear"/>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bdr w:val="double" w:sz="6" w:space="1" w:color="000000"/>
              </w:rPr>
            </w:pPr>
            <w:r>
              <w:rPr>
                <w:bdr w:val="double" w:sz="6" w:space="1" w:color="000000"/>
              </w:rPr>
              <w:t> </w:t>
            </w:r>
          </w:p>
        </w:tc>
        <w:tc>
          <w:tcPr>
            <w:tcW w:w="7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17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ind w:left="0" w:right="0" w:hanging="0"/>
        <w:jc w:val="left"/>
        <w:rPr>
          <w:rFonts w:ascii="Times New Roman" w:hAnsi="Times New Roman"/>
          <w:b/>
          <w:sz w:val="20"/>
          <w:shd w:fill="FFFFFF" w:val="clear"/>
        </w:rPr>
      </w:pPr>
      <w:r>
        <w:rPr>
          <w:rFonts w:ascii="Times New Roman" w:hAnsi="Times New Roman"/>
          <w:b/>
          <w:sz w:val="20"/>
          <w:shd w:fill="FFFFFF" w:val="clear"/>
        </w:rPr>
        <w:t xml:space="preserve">14. Stock Repurchases </w:t>
      </w:r>
    </w:p>
    <w:p>
      <w:pPr>
        <w:pStyle w:val="TextBody"/>
        <w:bidi w:val="0"/>
        <w:spacing w:before="12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Accelerated Stock Repurchase Program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On December 21, 2021, the Board of Directors authorized the Company to repurchase up to $75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million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of its outstanding common stock and the Company entered into an accelerated stock repurchase agreement dated December 21, 2021 (the “ASR Agreement”) with JPMorgan Chase Bank, National Association (“JPM”) to repurchase an aggregate of $37.5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mi</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lli</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on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of its common stock.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Pursuant to the terms of the ASR Agreement, the Company paid to JPM $37.5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million</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in cash and received an initial delivery of 994,695 shares of its common stock in the open market for an aggregate purchase price of $20.1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million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and a price per share of $20.18 on December 22, 2021.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As of December 31, 2021, the Company accounted for the remaining portion of the ASR Agreement as a forward contract indexed to its own common stock and recorded $17.4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million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in additional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capital in stockholders’ equity in its consolidated balance sheets.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In March 2022, the previously announced repurchase of $37.5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million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of the Company’s common stock was completed pursuant to the ASR Agreement, and as a result, the Company additionally received 1,031,576 shares of its common stock for an aggregate purchase price of $17.2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million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at a price per share of $16.69, which was reclassified as treasury stock from additional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paid-in</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capital in stockholder’s equity in its consolidated balance sheets.</w:t>
      </w:r>
    </w:p>
    <w:p>
      <w:pPr>
        <w:pStyle w:val="TextBody"/>
        <w:bidi w:val="0"/>
        <w:spacing w:before="36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Expanded Stock Repurchase Program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On August 31, 2022, the Board of Directors authorized an expansion of the Company’s previously announced stock repurchase program from $75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million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to $87.5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million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of its common stock. The remaining $50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million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of the expanded $87.5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million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program was expected to be repurchased in the open market or through privately negotiated transactions.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In June 2023, the Company completed the repurchase of its common stock under its expanded stock repurchase program using the remaining $50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million</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through open market purchases.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From September 2022 to December 2022, the Company repurchased 1,235,650 shares of its common stock in the open market for an aggregate purchase price of $12.5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million</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and a </w:t>
      </w:r>
    </w:p>
    <w:p>
      <w:pPr>
        <w:pStyle w:val="TextBody"/>
        <w:bidi w:val="0"/>
        <w:spacing w:before="240" w:after="0"/>
        <w:jc w:val="left"/>
        <w:rPr>
          <w:rFonts w:ascii="Times New Roman;serif" w:hAnsi="Times New Roman;serif"/>
          <w:spacing w:val="0"/>
          <w:sz w:val="20"/>
          <w:shd w:fill="FFFFFF" w:val="clear"/>
        </w:rPr>
      </w:pPr>
      <w:r>
        <w:rPr>
          <w:rFonts w:ascii="Times New Roman;serif" w:hAnsi="Times New Roman;serif"/>
          <w:spacing w:val="0"/>
          <w:sz w:val="20"/>
          <w:shd w:fill="FFFFFF" w:val="clear"/>
        </w:rPr>
        <w:t>weighted average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price per share of $10.13 under the expanded stock repurchase program.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During the first half of 2023, the Company repurchased 3,705,443 shares of its common stock in the open market for an aggregate purchase price of $37.4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million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and a </w:t>
      </w:r>
    </w:p>
    <w:p>
      <w:pPr>
        <w:pStyle w:val="TextBody"/>
        <w:bidi w:val="0"/>
        <w:spacing w:before="240" w:after="0"/>
        <w:jc w:val="left"/>
        <w:rPr>
          <w:rFonts w:ascii="Times New Roman;serif" w:hAnsi="Times New Roman;serif"/>
          <w:spacing w:val="0"/>
          <w:sz w:val="20"/>
          <w:shd w:fill="FFFFFF" w:val="clear"/>
        </w:rPr>
      </w:pPr>
      <w:r>
        <w:rPr>
          <w:rFonts w:ascii="Times New Roman;serif" w:hAnsi="Times New Roman;serif"/>
          <w:spacing w:val="0"/>
          <w:sz w:val="20"/>
          <w:shd w:fill="FFFFFF" w:val="clear"/>
        </w:rPr>
        <w:t>weighted average</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price per share of $10.10 under the expanded stock repurchase program. </w:t>
      </w:r>
    </w:p>
    <w:p>
      <w:pPr>
        <w:pStyle w:val="TextBody"/>
        <w:bidi w:val="0"/>
        <w:spacing w:before="360" w:after="0"/>
        <w:ind w:left="0" w:right="0" w:hanging="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New Stock Repurchase Program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On July 19, 2023, the Board of Directors authorized a new $50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million</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stock buyback program. Purchases have been and will be made in the open market or through privately negotiated transactions, depending upon market conditions and other factors.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From August 2023 to September 2023, the Company repurchased 671,498 shares of its common stock in the open market for an aggregate purchase price of $5.4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m</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i</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l</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l</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i</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o</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n</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and a </w:t>
      </w:r>
    </w:p>
    <w:p>
      <w:pPr>
        <w:pStyle w:val="TextBody"/>
        <w:bidi w:val="0"/>
        <w:spacing w:before="240" w:after="0"/>
        <w:jc w:val="left"/>
        <w:rPr>
          <w:rFonts w:ascii="Times New Roman;serif" w:hAnsi="Times New Roman;serif"/>
          <w:spacing w:val="0"/>
          <w:sz w:val="20"/>
          <w:shd w:fill="FFFFFF" w:val="clear"/>
        </w:rPr>
      </w:pPr>
      <w:r>
        <w:rPr>
          <w:rFonts w:ascii="Times New Roman;serif" w:hAnsi="Times New Roman;serif"/>
          <w:spacing w:val="0"/>
          <w:sz w:val="20"/>
          <w:shd w:fill="FFFFFF" w:val="clear"/>
        </w:rPr>
        <w:t xml:space="preserve">weighted average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price per share of $7.98 under the new stock repurchase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program. </w:t>
      </w:r>
    </w:p>
    <w:p>
      <w:pPr>
        <w:pStyle w:val="TextBody"/>
        <w:bidi w:val="0"/>
        <w:spacing w:before="24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In October 2023, the Company repurchased 904,977 shares of its common stock in the open market for an aggregate purchase price of $7.0 million and a weighted average price per share of $7.78 under the new stock repurchase program. </w:t>
      </w:r>
    </w:p>
    <w:p>
      <w:pPr>
        <w:pStyle w:val="TextBody"/>
        <w:bidi w:val="0"/>
        <w:spacing w:before="0" w:after="0"/>
        <w:ind w:left="0" w:right="0" w:hanging="0"/>
        <w:jc w:val="left"/>
        <w:rPr>
          <w:shd w:fill="FFFFFF" w:val="clear"/>
        </w:rPr>
      </w:pPr>
      <w:r>
        <w:rPr>
          <w:shd w:fill="FFFFFF" w:val="clear"/>
        </w:rPr>
        <w:t> </w:t>
      </w:r>
    </w:p>
    <w:p>
      <w:pPr>
        <w:pStyle w:val="TextBody"/>
        <w:bidi w:val="0"/>
        <w:spacing w:before="0" w:after="0"/>
        <w:ind w:left="0" w:right="0" w:hanging="0"/>
        <w:jc w:val="center"/>
        <w:rPr>
          <w:rFonts w:ascii="Times New Roman" w:hAnsi="Times New Roman"/>
          <w:sz w:val="20"/>
          <w:shd w:fill="FFFFFF" w:val="clear"/>
        </w:rPr>
      </w:pPr>
      <w:r>
        <w:rPr>
          <w:rFonts w:ascii="Times New Roman" w:hAnsi="Times New Roman"/>
          <w:sz w:val="20"/>
          <w:shd w:fill="FFFFFF" w:val="clear"/>
        </w:rPr>
        <w:t>18</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15. Loss Per Share </w:t>
      </w:r>
    </w:p>
    <w:p>
      <w:pPr>
        <w:pStyle w:val="TextBody"/>
        <w:bidi w:val="0"/>
        <w:spacing w:before="120" w:after="0"/>
        <w:jc w:val="left"/>
        <w:rPr>
          <w:rFonts w:ascii="Times New Roman" w:hAnsi="Times New Roman"/>
          <w:sz w:val="20"/>
          <w:shd w:fill="FFFFFF" w:val="clear"/>
        </w:rPr>
      </w:pPr>
      <w:r>
        <w:rPr>
          <w:rFonts w:ascii="Times New Roman" w:hAnsi="Times New Roman"/>
          <w:sz w:val="20"/>
          <w:shd w:fill="FFFFFF" w:val="clear"/>
        </w:rPr>
        <w:t xml:space="preserve">The following table illustrates the computation of basic and diluted loss per common share for the three and nine months ended September 30, 2023 and 2022: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3271"/>
        <w:gridCol w:w="120"/>
        <w:gridCol w:w="163"/>
        <w:gridCol w:w="1291"/>
        <w:gridCol w:w="155"/>
        <w:gridCol w:w="120"/>
        <w:gridCol w:w="163"/>
        <w:gridCol w:w="1291"/>
        <w:gridCol w:w="155"/>
        <w:gridCol w:w="120"/>
        <w:gridCol w:w="163"/>
        <w:gridCol w:w="1291"/>
        <w:gridCol w:w="155"/>
        <w:gridCol w:w="120"/>
        <w:gridCol w:w="163"/>
        <w:gridCol w:w="1291"/>
        <w:gridCol w:w="173"/>
      </w:tblGrid>
      <w:tr>
        <w:trPr/>
        <w:tc>
          <w:tcPr>
            <w:tcW w:w="32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27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3"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83"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173" w:type="dxa"/>
            <w:tcBorders/>
            <w:vAlign w:val="center"/>
          </w:tcPr>
          <w:p>
            <w:pPr>
              <w:pStyle w:val="TableContents"/>
              <w:bidi w:val="0"/>
              <w:spacing w:before="0" w:after="283"/>
              <w:jc w:val="left"/>
              <w:rPr/>
            </w:pPr>
            <w:r>
              <w:rPr/>
              <w:t> </w:t>
            </w:r>
          </w:p>
        </w:tc>
      </w:tr>
      <w:tr>
        <w:trPr/>
        <w:tc>
          <w:tcPr>
            <w:tcW w:w="327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4"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4"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4"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4"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327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173" w:type="dxa"/>
            <w:tcBorders/>
            <w:vAlign w:val="center"/>
          </w:tcPr>
          <w:p>
            <w:pPr>
              <w:pStyle w:val="TableContents"/>
              <w:bidi w:val="0"/>
              <w:spacing w:before="0" w:after="283"/>
              <w:jc w:val="left"/>
              <w:rPr/>
            </w:pPr>
            <w:r>
              <w:rPr/>
              <w:t> </w:t>
            </w:r>
          </w:p>
        </w:tc>
      </w:tr>
      <w:tr>
        <w:trPr/>
        <w:tc>
          <w:tcPr>
            <w:tcW w:w="327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4"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4"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4"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54"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327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41" w:type="dxa"/>
            <w:gridSpan w:val="14"/>
            <w:tcBorders/>
            <w:vAlign w:val="center"/>
          </w:tcPr>
          <w:p>
            <w:pPr>
              <w:pStyle w:val="TableContents"/>
              <w:bidi w:val="0"/>
              <w:spacing w:before="0" w:after="0"/>
              <w:jc w:val="center"/>
              <w:rPr>
                <w:b/>
                <w:spacing w:val="0"/>
              </w:rPr>
            </w:pPr>
            <w:r>
              <w:rPr>
                <w:b/>
                <w:spacing w:val="0"/>
              </w:rPr>
              <w:t>(In thousands of U.S. dollars, except share data)</w:t>
            </w:r>
          </w:p>
        </w:tc>
        <w:tc>
          <w:tcPr>
            <w:tcW w:w="173" w:type="dxa"/>
            <w:tcBorders/>
            <w:vAlign w:val="center"/>
          </w:tcPr>
          <w:p>
            <w:pPr>
              <w:pStyle w:val="TableContents"/>
              <w:bidi w:val="0"/>
              <w:spacing w:before="0" w:after="283"/>
              <w:jc w:val="left"/>
              <w:rPr/>
            </w:pPr>
            <w:r>
              <w:rPr/>
              <w:t> </w:t>
            </w:r>
          </w:p>
        </w:tc>
      </w:tr>
      <w:tr>
        <w:trPr/>
        <w:tc>
          <w:tcPr>
            <w:tcW w:w="3271"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Basic loss per share</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32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right"/>
              <w:rPr/>
            </w:pPr>
            <w:r>
              <w:rPr/>
              <w:t>(5,165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right"/>
              <w:rPr/>
            </w:pPr>
            <w:r>
              <w:rPr/>
              <w:t>(17,195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right"/>
              <w:rPr/>
            </w:pPr>
            <w:r>
              <w:rPr/>
              <w:t>(30,582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right"/>
              <w:rPr/>
            </w:pPr>
            <w:r>
              <w:rPr/>
              <w:t>(11,007</w:t>
            </w:r>
          </w:p>
        </w:tc>
        <w:tc>
          <w:tcPr>
            <w:tcW w:w="173" w:type="dxa"/>
            <w:tcBorders/>
            <w:vAlign w:val="center"/>
          </w:tcPr>
          <w:p>
            <w:pPr>
              <w:pStyle w:val="TableContents"/>
              <w:bidi w:val="0"/>
              <w:spacing w:before="0" w:after="283"/>
              <w:jc w:val="left"/>
              <w:rPr/>
            </w:pPr>
            <w:r>
              <w:rPr/>
              <w:t>) </w:t>
            </w:r>
          </w:p>
        </w:tc>
      </w:tr>
      <w:tr>
        <w:trPr/>
        <w:tc>
          <w:tcPr>
            <w:tcW w:w="327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weighted average common stock outstanding</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40,145,290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44,865,266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41,747,255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45,119,214</w:t>
            </w:r>
          </w:p>
        </w:tc>
        <w:tc>
          <w:tcPr>
            <w:tcW w:w="173" w:type="dxa"/>
            <w:tcBorders/>
            <w:shd w:fill="CCEEFF" w:val="clear"/>
            <w:vAlign w:val="center"/>
          </w:tcPr>
          <w:p>
            <w:pPr>
              <w:pStyle w:val="TableContents"/>
              <w:bidi w:val="0"/>
              <w:spacing w:before="0" w:after="283"/>
              <w:jc w:val="left"/>
              <w:rPr/>
            </w:pPr>
            <w:r>
              <w:rPr/>
              <w:t> </w:t>
            </w:r>
          </w:p>
        </w:tc>
      </w:tr>
      <w:tr>
        <w:trPr/>
        <w:tc>
          <w:tcPr>
            <w:tcW w:w="32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 loss per common share</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right"/>
              <w:rPr/>
            </w:pPr>
            <w:r>
              <w:rPr/>
              <w:t>(0.13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right"/>
              <w:rPr/>
            </w:pPr>
            <w:r>
              <w:rPr/>
              <w:t>(0.38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right"/>
              <w:rPr/>
            </w:pPr>
            <w:r>
              <w:rPr/>
              <w:t>(0.73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right"/>
              <w:rPr/>
            </w:pPr>
            <w:r>
              <w:rPr/>
              <w:t>(0.24</w:t>
            </w:r>
          </w:p>
        </w:tc>
        <w:tc>
          <w:tcPr>
            <w:tcW w:w="173" w:type="dxa"/>
            <w:tcBorders/>
            <w:vAlign w:val="center"/>
          </w:tcPr>
          <w:p>
            <w:pPr>
              <w:pStyle w:val="TableContents"/>
              <w:bidi w:val="0"/>
              <w:spacing w:before="0" w:after="283"/>
              <w:jc w:val="left"/>
              <w:rPr/>
            </w:pPr>
            <w:r>
              <w:rPr/>
              <w:t>) </w:t>
            </w:r>
          </w:p>
        </w:tc>
      </w:tr>
      <w:tr>
        <w:trPr/>
        <w:tc>
          <w:tcPr>
            <w:tcW w:w="3271"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Diluted loss per share</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r>
      <w:tr>
        <w:trPr/>
        <w:tc>
          <w:tcPr>
            <w:tcW w:w="32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right"/>
              <w:rPr/>
            </w:pPr>
            <w:r>
              <w:rPr/>
              <w:t>(5,165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right"/>
              <w:rPr/>
            </w:pPr>
            <w:r>
              <w:rPr/>
              <w:t>(17,195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right"/>
              <w:rPr/>
            </w:pPr>
            <w:r>
              <w:rPr/>
              <w:t>(30,582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right"/>
              <w:rPr/>
            </w:pPr>
            <w:r>
              <w:rPr/>
              <w:t>(11,007</w:t>
            </w:r>
          </w:p>
        </w:tc>
        <w:tc>
          <w:tcPr>
            <w:tcW w:w="173" w:type="dxa"/>
            <w:tcBorders/>
            <w:vAlign w:val="center"/>
          </w:tcPr>
          <w:p>
            <w:pPr>
              <w:pStyle w:val="TableContents"/>
              <w:bidi w:val="0"/>
              <w:spacing w:before="0" w:after="283"/>
              <w:jc w:val="left"/>
              <w:rPr/>
            </w:pPr>
            <w:r>
              <w:rPr/>
              <w:t>) </w:t>
            </w:r>
          </w:p>
        </w:tc>
      </w:tr>
      <w:tr>
        <w:trPr/>
        <w:tc>
          <w:tcPr>
            <w:tcW w:w="327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weighted average common stock outstanding</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40,145,290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44,865,266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41,747,255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45,119,214</w:t>
            </w:r>
          </w:p>
        </w:tc>
        <w:tc>
          <w:tcPr>
            <w:tcW w:w="173" w:type="dxa"/>
            <w:tcBorders/>
            <w:shd w:fill="CCEEFF" w:val="clear"/>
            <w:vAlign w:val="center"/>
          </w:tcPr>
          <w:p>
            <w:pPr>
              <w:pStyle w:val="TableContents"/>
              <w:bidi w:val="0"/>
              <w:spacing w:before="0" w:after="283"/>
              <w:jc w:val="left"/>
              <w:rPr/>
            </w:pPr>
            <w:r>
              <w:rPr/>
              <w:t> </w:t>
            </w:r>
          </w:p>
        </w:tc>
      </w:tr>
      <w:tr>
        <w:trPr/>
        <w:tc>
          <w:tcPr>
            <w:tcW w:w="32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effect of dilutive equity awards</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1291" w:type="dxa"/>
            <w:tcBorders/>
            <w:vAlign w:val="center"/>
          </w:tcPr>
          <w:p>
            <w:pPr>
              <w:pStyle w:val="TableContents"/>
              <w:bidi w:val="0"/>
              <w:spacing w:before="0" w:after="283"/>
              <w:jc w:val="right"/>
              <w:rPr/>
            </w:pPr>
            <w:r>
              <w:rPr/>
              <w:t>— </w:t>
            </w:r>
          </w:p>
        </w:tc>
        <w:tc>
          <w:tcPr>
            <w:tcW w:w="173" w:type="dxa"/>
            <w:tcBorders/>
            <w:vAlign w:val="center"/>
          </w:tcPr>
          <w:p>
            <w:pPr>
              <w:pStyle w:val="TableContents"/>
              <w:bidi w:val="0"/>
              <w:spacing w:before="0" w:after="283"/>
              <w:jc w:val="left"/>
              <w:rPr/>
            </w:pPr>
            <w:r>
              <w:rPr/>
              <w:t> </w:t>
            </w:r>
          </w:p>
        </w:tc>
      </w:tr>
      <w:tr>
        <w:trPr/>
        <w:tc>
          <w:tcPr>
            <w:tcW w:w="3271"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bdr w:val="single" w:sz="2" w:space="1" w:color="000000"/>
              </w:rPr>
            </w:pPr>
            <w:r>
              <w:rPr>
                <w:bdr w:val="single" w:sz="2" w:space="1" w:color="000000"/>
              </w:rPr>
              <w:t> </w:t>
            </w:r>
          </w:p>
        </w:tc>
        <w:tc>
          <w:tcPr>
            <w:tcW w:w="1291" w:type="dxa"/>
            <w:tcBorders/>
            <w:vAlign w:val="center"/>
          </w:tcPr>
          <w:p>
            <w:pPr>
              <w:pStyle w:val="TableContents"/>
              <w:bidi w:val="0"/>
              <w:spacing w:before="0" w:after="0"/>
              <w:jc w:val="left"/>
              <w:rPr>
                <w:bdr w:val="single" w:sz="2" w:space="1" w:color="000000"/>
              </w:rPr>
            </w:pPr>
            <w:r>
              <w:rPr>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3271"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 weighted average common stock outstanding</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40,145,290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44,865,266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41,747,255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45,119,214</w:t>
            </w:r>
          </w:p>
        </w:tc>
        <w:tc>
          <w:tcPr>
            <w:tcW w:w="173" w:type="dxa"/>
            <w:tcBorders/>
            <w:shd w:fill="CCEEFF" w:val="clear"/>
            <w:vAlign w:val="center"/>
          </w:tcPr>
          <w:p>
            <w:pPr>
              <w:pStyle w:val="TableContents"/>
              <w:bidi w:val="0"/>
              <w:spacing w:before="0" w:after="283"/>
              <w:jc w:val="left"/>
              <w:rPr/>
            </w:pPr>
            <w:r>
              <w:rPr/>
              <w:t> </w:t>
            </w:r>
          </w:p>
        </w:tc>
      </w:tr>
      <w:tr>
        <w:trPr/>
        <w:tc>
          <w:tcPr>
            <w:tcW w:w="327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Diluted loss per share</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right"/>
              <w:rPr/>
            </w:pPr>
            <w:r>
              <w:rPr/>
              <w:t>(0.13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right"/>
              <w:rPr/>
            </w:pPr>
            <w:r>
              <w:rPr/>
              <w:t>(0.38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right"/>
              <w:rPr/>
            </w:pPr>
            <w:r>
              <w:rPr/>
              <w:t>(0.73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w:t>
            </w:r>
          </w:p>
        </w:tc>
        <w:tc>
          <w:tcPr>
            <w:tcW w:w="1291" w:type="dxa"/>
            <w:tcBorders/>
            <w:vAlign w:val="center"/>
          </w:tcPr>
          <w:p>
            <w:pPr>
              <w:pStyle w:val="TableContents"/>
              <w:bidi w:val="0"/>
              <w:spacing w:before="0" w:after="283"/>
              <w:jc w:val="right"/>
              <w:rPr/>
            </w:pPr>
            <w:r>
              <w:rPr/>
              <w:t>(0.24</w:t>
            </w:r>
          </w:p>
        </w:tc>
        <w:tc>
          <w:tcPr>
            <w:tcW w:w="17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Diluted loss per share adjusts basic loss per share for the potentially dilutive impact of stock options and restricted stock units. As the Company has reported loss for the three and nine months ended September 30, 2023 and September 30, 2022, all potentially dilutive securities are anti-dilutive and accordingly not considered, therefore basic net loss per share equals diluted net loss per share. </w:t>
      </w:r>
    </w:p>
    <w:p>
      <w:pPr>
        <w:pStyle w:val="TextBody"/>
        <w:bidi w:val="0"/>
        <w:spacing w:before="240" w:after="0"/>
        <w:jc w:val="left"/>
        <w:rPr>
          <w:rFonts w:ascii="Times New Roman" w:hAnsi="Times New Roman"/>
          <w:sz w:val="20"/>
          <w:shd w:fill="FFFFFF" w:val="clear"/>
        </w:rPr>
      </w:pPr>
      <w:r>
        <w:rPr>
          <w:rFonts w:ascii="Times New Roman" w:hAnsi="Times New Roman"/>
          <w:sz w:val="20"/>
          <w:shd w:fill="FFFFFF" w:val="clear"/>
        </w:rPr>
        <w:t xml:space="preserve">The following outstanding instruments were excluded from the computation of diluted loss per share, as they have an anti-dilutive effect on the calculation: </w:t>
      </w:r>
    </w:p>
    <w:p>
      <w:pPr>
        <w:pStyle w:val="TextBody"/>
        <w:bidi w:val="0"/>
        <w:spacing w:before="0" w:after="0"/>
        <w:jc w:val="left"/>
        <w:rPr>
          <w:shd w:fill="FFFFFF" w:val="clear"/>
        </w:rPr>
      </w:pPr>
      <w:r>
        <w:rPr>
          <w:shd w:fill="FFFFFF" w:val="clear"/>
        </w:rPr>
        <w:t> </w:t>
      </w:r>
    </w:p>
    <w:tbl>
      <w:tblPr>
        <w:tblW w:w="8482" w:type="dxa"/>
        <w:jc w:val="left"/>
        <w:tblInd w:w="0" w:type="dxa"/>
        <w:tblLayout w:type="fixed"/>
        <w:tblCellMar>
          <w:top w:w="0" w:type="dxa"/>
          <w:left w:w="0" w:type="dxa"/>
          <w:bottom w:w="0" w:type="dxa"/>
          <w:right w:w="0" w:type="dxa"/>
        </w:tblCellMar>
      </w:tblPr>
      <w:tblGrid>
        <w:gridCol w:w="1850"/>
        <w:gridCol w:w="120"/>
        <w:gridCol w:w="84"/>
        <w:gridCol w:w="1390"/>
        <w:gridCol w:w="60"/>
        <w:gridCol w:w="120"/>
        <w:gridCol w:w="85"/>
        <w:gridCol w:w="1390"/>
        <w:gridCol w:w="60"/>
        <w:gridCol w:w="120"/>
        <w:gridCol w:w="84"/>
        <w:gridCol w:w="1390"/>
        <w:gridCol w:w="60"/>
        <w:gridCol w:w="120"/>
        <w:gridCol w:w="84"/>
        <w:gridCol w:w="1390"/>
        <w:gridCol w:w="75"/>
      </w:tblGrid>
      <w:tr>
        <w:trPr/>
        <w:tc>
          <w:tcPr>
            <w:tcW w:w="1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9"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Three Months Ended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28"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Nine Months Ended</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b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September 30,</w:t>
            </w:r>
          </w:p>
          <w:p>
            <w:pPr>
              <w:pStyle w:val="TableContents"/>
              <w:bidi w:val="0"/>
              <w:spacing w:before="0" w:after="0"/>
              <w:jc w:val="center"/>
              <w:rPr/>
            </w:pPr>
            <w:r>
              <w:rPr/>
            </w:r>
          </w:p>
          <w:p>
            <w:pPr>
              <w:pStyle w:val="TableContents"/>
              <w:bidi w:val="0"/>
              <w:spacing w:before="0" w:after="0"/>
              <w:jc w:val="center"/>
              <w:rPr>
                <w:b/>
                <w:spacing w:val="0"/>
              </w:rPr>
            </w:pPr>
            <w:r>
              <w:rPr>
                <w:b/>
                <w:spacing w:val="0"/>
              </w:rPr>
              <w:t>2022</w:t>
            </w:r>
          </w:p>
        </w:tc>
        <w:tc>
          <w:tcPr>
            <w:tcW w:w="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Options</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902,858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1,141,551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902,858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1,141,551</w:t>
            </w:r>
          </w:p>
        </w:tc>
        <w:tc>
          <w:tcPr>
            <w:tcW w:w="75" w:type="dxa"/>
            <w:tcBorders/>
            <w:shd w:fill="CCEEFF" w:val="cle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1,321,794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1,014,124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1,321,794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90" w:type="dxa"/>
            <w:tcBorders/>
            <w:vAlign w:val="center"/>
          </w:tcPr>
          <w:p>
            <w:pPr>
              <w:pStyle w:val="TableContents"/>
              <w:bidi w:val="0"/>
              <w:spacing w:before="0" w:after="283"/>
              <w:jc w:val="right"/>
              <w:rPr/>
            </w:pPr>
            <w:r>
              <w:rPr/>
              <w:t>1,014,124</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z w:val="20"/>
          <w:shd w:fill="FFFFFF" w:val="clear"/>
        </w:rPr>
      </w:pPr>
      <w:r>
        <w:rPr>
          <w:rFonts w:ascii="Times New Roman" w:hAnsi="Times New Roman"/>
          <w:sz w:val="20"/>
          <w:shd w:fill="FFFFFF" w:val="clear"/>
        </w:rPr>
        <w:t>19</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left"/>
        <w:rPr>
          <w:rFonts w:ascii="Times New Roman" w:hAnsi="Times New Roman"/>
          <w:b/>
          <w:sz w:val="20"/>
          <w:shd w:fill="FFFFFF" w:val="clear"/>
        </w:rPr>
      </w:pPr>
      <w:r>
        <w:rPr>
          <w:rFonts w:ascii="Times New Roman" w:hAnsi="Times New Roman"/>
          <w:b/>
          <w:sz w:val="20"/>
          <w:shd w:fill="FFFFFF" w:val="clear"/>
        </w:rPr>
        <w:t xml:space="preserve">16. Commitments and Contingencies </w:t>
      </w:r>
    </w:p>
    <w:p>
      <w:pPr>
        <w:pStyle w:val="TextBody"/>
        <w:bidi w:val="0"/>
        <w:spacing w:before="120" w:after="0"/>
        <w:jc w:val="left"/>
        <w:rPr>
          <w:rFonts w:ascii="Times New Roman" w:hAnsi="Times New Roman"/>
          <w:b/>
          <w:i/>
          <w:caps w:val="false"/>
          <w:smallCaps w:val="false"/>
          <w:spacing w:val="0"/>
          <w:sz w:val="20"/>
          <w:shd w:fill="FFFFFF" w:val="clear"/>
        </w:rPr>
      </w:pPr>
      <w:r>
        <w:rPr>
          <w:rFonts w:ascii="Times New Roman" w:hAnsi="Times New Roman"/>
          <w:b/>
          <w:i/>
          <w:caps w:val="false"/>
          <w:smallCaps w:val="false"/>
          <w:spacing w:val="0"/>
          <w:sz w:val="20"/>
          <w:shd w:fill="FFFFFF" w:val="clear"/>
        </w:rPr>
        <w:t xml:space="preserve">Advances to Suppliers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0"/>
        <w:jc w:val="left"/>
        <w:rPr>
          <w:rFonts w:ascii="Times New Roman" w:hAnsi="Times New Roman"/>
          <w:sz w:val="20"/>
        </w:rPr>
      </w:pPr>
      <w:r>
        <w:rPr>
          <w:rFonts w:ascii="Times New Roman" w:hAnsi="Times New Roman"/>
          <w:sz w:val="20"/>
        </w:rPr>
        <w:t xml:space="preserve">The Company, from time to time, may make advances in form of prepayments or deposits to suppliers, including external foundries, to meet its planned production. The Company recorded advances of $3,907 thousand and $6,605 thousand as other current assets as of September 30, 2023 and December 31, 2022, respectively.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FFFFFF" w:val="clear"/>
        </w:rPr>
      </w:pPr>
      <w:r>
        <w:rPr>
          <w:shd w:fill="FFFFFF" w:val="clear"/>
        </w:rPr>
        <w:t> </w:t>
      </w:r>
    </w:p>
    <w:p>
      <w:pPr>
        <w:pStyle w:val="TextBody"/>
        <w:bidi w:val="0"/>
        <w:spacing w:before="0" w:after="0"/>
        <w:jc w:val="center"/>
        <w:rPr>
          <w:rFonts w:ascii="Times New Roman" w:hAnsi="Times New Roman"/>
          <w:spacing w:val="0"/>
          <w:sz w:val="20"/>
          <w:shd w:fill="FFFFFF" w:val="clear"/>
        </w:rPr>
      </w:pPr>
      <w:r>
        <w:rPr>
          <w:rFonts w:ascii="Times New Roman" w:hAnsi="Times New Roman"/>
          <w:spacing w:val="0"/>
          <w:sz w:val="20"/>
          <w:shd w:fill="FFFFFF" w:val="clear"/>
        </w:rPr>
        <w:t>20</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shd w:fill="FFFFFF" w:val="clear"/>
          </w:rPr>
          <w:t>Table of Contents</w:t>
        </w:r>
      </w:hyperlink>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FORWARD 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Quarterly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10-Q</w:t>
      </w:r>
    </w:p>
    <w:p>
      <w:pPr>
        <w:pStyle w:val="TextBody"/>
        <w:bidi w:val="0"/>
        <w:spacing w:before="240" w:after="0"/>
        <w:jc w:val="left"/>
        <w:rPr>
          <w:rFonts w:ascii="Times New Roman" w:hAnsi="Times New Roman"/>
          <w:sz w:val="20"/>
        </w:rPr>
      </w:pPr>
      <w:r>
        <w:rPr>
          <w:rFonts w:ascii="Times New Roman" w:hAnsi="Times New Roman"/>
          <w:sz w:val="20"/>
        </w:rPr>
        <w:t xml:space="preserve">(this “Report”) contains forward-looking statements within the meaning of Section 21E of the Securities Exchange Act of 1934, as amended (the “Exchange Act”), and Section 27A of the Securities Act of 1933, as amended,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in “Part II: Item 1A. Risk Factors” herein and in “Part I: Item 1A. Risk Factors” in our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our fiscal year ended December 31, 2022 filed on February 22, 2023 (“2022 </w:t>
      </w:r>
    </w:p>
    <w:p>
      <w:pPr>
        <w:pStyle w:val="TextBody"/>
        <w:bidi w:val="0"/>
        <w:spacing w:before="240" w:after="0"/>
        <w:jc w:val="left"/>
        <w:rPr>
          <w:rFonts w:ascii="Times New Roman" w:hAnsi="Times New Roman"/>
          <w:spacing w:val="0"/>
          <w:sz w:val="20"/>
        </w:rPr>
      </w:pPr>
      <w:r>
        <w:rPr>
          <w:rFonts w:ascii="Times New Roman" w:hAnsi="Times New Roman"/>
          <w:spacing w:val="0"/>
          <w:sz w:val="20"/>
        </w:rPr>
        <w:t>Form 10-K”).</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Statements made in this Report, unless the context otherwise requires, that include the use of the terms “we,” “us,” “our” and “Magnachip” refer to Magnachip Semiconductor Corporation and its consolidated subsidiaries. The term “Korea” refers to the Republic of Korea or South Korea.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8275" w:type="dxa"/>
        <w:jc w:val="left"/>
        <w:tblInd w:w="0" w:type="dxa"/>
        <w:tblLayout w:type="fixed"/>
        <w:tblCellMar>
          <w:top w:w="0" w:type="dxa"/>
          <w:left w:w="0" w:type="dxa"/>
          <w:bottom w:w="0" w:type="dxa"/>
          <w:right w:w="0" w:type="dxa"/>
        </w:tblCellMar>
      </w:tblPr>
      <w:tblGrid>
        <w:gridCol w:w="740"/>
        <w:gridCol w:w="7535"/>
      </w:tblGrid>
      <w:tr>
        <w:trPr/>
        <w:tc>
          <w:tcPr>
            <w:tcW w:w="740" w:type="dxa"/>
            <w:tcBorders/>
            <w:vAlign w:val="center"/>
          </w:tcPr>
          <w:p>
            <w:pPr>
              <w:pStyle w:val="TableContents"/>
              <w:bidi w:val="0"/>
              <w:spacing w:before="0" w:after="0"/>
              <w:jc w:val="left"/>
              <w:rPr>
                <w:b/>
                <w:spacing w:val="0"/>
              </w:rPr>
            </w:pPr>
            <w:bookmarkStart w:id="4" w:name="toc546648_9"/>
            <w:bookmarkEnd w:id="4"/>
            <w:r>
              <w:rPr>
                <w:b/>
                <w:spacing w:val="0"/>
              </w:rPr>
              <w:t>Item 2.</w:t>
            </w:r>
          </w:p>
        </w:tc>
        <w:tc>
          <w:tcPr>
            <w:tcW w:w="753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Management’s Discussion and Analysis of Financial Condition and Results of Operations </w:t>
            </w:r>
          </w:p>
        </w:tc>
      </w:tr>
    </w:tbl>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following discussion and analysis should be read in conjunction with the unaudited consolidated financial statements and the related notes included elsewhere in this Report.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Overview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are a designer and manufacturer of analog and mixed-signal semiconductor platform solutions for communications, IoT applications, consumer, computing, industrial and automotive applications. We have a proven record with more than 40 years of operating history, a portfolio of approximately 1,100 registered patents and pending applications and extensive engineering and manufacturing process expertise.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standard products business includes our Display Solutions and Power Solutions business lines.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Display Solutions line of products provide flat panel display solutions to major suppliers of large and small flat panel displays. These products include source and gate drivers and timing controllers that cover a wide range of flat panel displays used in mobile communications, automotives, entertainment devices, IT applications such as monitors, notebook PCs, tablet PC and TVs applied with liquid crystal display (LCD), organic light emitting diodes (OLED) and Micro light emitting diode (Micro LED) panel. Since 2007, we have designed and manufactured OLED display driver integrated circuit (IC) products. Our current portfolio of OLED solutions address a wide range of resolutions ranging from HD (High Definition) to UHD (Ultra High Definition) for a wide range of applications including smartphones, TVs, automotive and IT applications such as monitors, notebook PCs, tablet PCs as well as AR/VRs. </w:t>
      </w:r>
    </w:p>
    <w:p>
      <w:pPr>
        <w:pStyle w:val="TextBody"/>
        <w:bidi w:val="0"/>
        <w:spacing w:before="240" w:after="0"/>
        <w:jc w:val="left"/>
        <w:rPr>
          <w:rFonts w:ascii="Times New Roman" w:hAnsi="Times New Roman"/>
          <w:sz w:val="20"/>
        </w:rPr>
      </w:pPr>
      <w:r>
        <w:rPr>
          <w:rFonts w:ascii="Times New Roman" w:hAnsi="Times New Roman"/>
          <w:sz w:val="20"/>
        </w:rPr>
        <w:t xml:space="preserve">Our Power Solutions business line produces power management semiconductor products including discrete and integrated circuit solutions for power management in communications, consumer, computing, servers, automotive, and industrial applications. These products include metal oxide semiconductor field effect transistors (MOSFETs), insulated-gate bipolar transistors (IGBTs),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AC-DC/DC-DC</w:t>
      </w:r>
    </w:p>
    <w:p>
      <w:pPr>
        <w:pStyle w:val="TextBody"/>
        <w:bidi w:val="0"/>
        <w:spacing w:before="240" w:after="0"/>
        <w:jc w:val="left"/>
        <w:rPr>
          <w:rFonts w:ascii="Times New Roman" w:hAnsi="Times New Roman"/>
          <w:sz w:val="20"/>
        </w:rPr>
      </w:pPr>
      <w:r>
        <w:rPr>
          <w:rFonts w:ascii="Times New Roman" w:hAnsi="Times New Roman"/>
          <w:sz w:val="20"/>
        </w:rPr>
        <w:t xml:space="preserve">converters, LED drivers, regulators and power management integrated circuits (PMICs) for a range of devices, including televisions, smartphones, mobile phones, wearable devices, desktop PCs, notebooks, tablet PCs, other consumer electrics, automotive, and industrial applications such as power suppliers,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e-bikes,</w:t>
      </w:r>
    </w:p>
    <w:p>
      <w:pPr>
        <w:pStyle w:val="TextBody"/>
        <w:bidi w:val="0"/>
        <w:spacing w:before="240" w:after="0"/>
        <w:jc w:val="left"/>
        <w:rPr>
          <w:rFonts w:ascii="Times New Roman" w:hAnsi="Times New Roman"/>
          <w:sz w:val="20"/>
        </w:rPr>
      </w:pPr>
      <w:r>
        <w:rPr>
          <w:rFonts w:ascii="Times New Roman" w:hAnsi="Times New Roman"/>
          <w:sz w:val="20"/>
        </w:rPr>
        <w:t xml:space="preserve">solar inverters, LED lighting and motor drives. </w:t>
      </w:r>
    </w:p>
    <w:p>
      <w:pPr>
        <w:pStyle w:val="TextBody"/>
        <w:bidi w:val="0"/>
        <w:spacing w:before="240" w:after="0"/>
        <w:jc w:val="left"/>
        <w:rPr>
          <w:rFonts w:ascii="Times New Roman" w:hAnsi="Times New Roman"/>
          <w:sz w:val="20"/>
        </w:rPr>
      </w:pPr>
      <w:r>
        <w:rPr>
          <w:rFonts w:ascii="Times New Roman" w:hAnsi="Times New Roman"/>
          <w:sz w:val="20"/>
        </w:rPr>
        <w:t xml:space="preserve">Our wide variety of analog and mixed-signal semiconductor products combined with our mature technology platform allow us to address multiple high-growth end markets and rapidly develop and introduce new products and services in response to market demands. Our design center in Korea and substantial manufacturing operations place us at the core of the global electronics device supply chain. We believe this enables us to quickly and efficiently respond to our customers’ needs, and allows us to better serve and capture additional demand from existing and new customers. Certain of our OLED products are produced using external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12-inch</w:t>
      </w:r>
    </w:p>
    <w:p>
      <w:pPr>
        <w:pStyle w:val="TextBody"/>
        <w:bidi w:val="0"/>
        <w:spacing w:before="240" w:after="0"/>
        <w:jc w:val="left"/>
        <w:rPr>
          <w:rFonts w:ascii="Times New Roman" w:hAnsi="Times New Roman"/>
          <w:sz w:val="20"/>
        </w:rPr>
      </w:pPr>
      <w:r>
        <w:rPr>
          <w:rFonts w:ascii="Times New Roman" w:hAnsi="Times New Roman"/>
          <w:sz w:val="20"/>
        </w:rPr>
        <w:t xml:space="preserve">foundries. Through a strategic cooperation with external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12-inch</w:t>
      </w:r>
    </w:p>
    <w:p>
      <w:pPr>
        <w:pStyle w:val="TextBody"/>
        <w:bidi w:val="0"/>
        <w:spacing w:before="240" w:after="0"/>
        <w:jc w:val="left"/>
        <w:rPr>
          <w:rFonts w:ascii="Times New Roman" w:hAnsi="Times New Roman"/>
          <w:sz w:val="20"/>
        </w:rPr>
      </w:pPr>
      <w:r>
        <w:rPr>
          <w:rFonts w:ascii="Times New Roman" w:hAnsi="Times New Roman"/>
          <w:sz w:val="20"/>
        </w:rPr>
        <w:t xml:space="preserve">foundries, we are managing to ensure outsourcing wafers at competitive price and produce quality products.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also invest in relevant research and development activities and purchase necessary materials on a timely basis to meet our customers’ demand while maintaining our target margins and cash flow.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Demand for our products and services is driven by overall demand for communications, IoT, consumer and industrial products and can be adversely affected by periods of weak consumer and enterprise spending or by market share losses by our customers. In order to mitigate the impact of market volatility on our business, we continually strive to diversify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 worldwide customer base, if we are not effective in competing in these markets, our operating results may be adversely affected.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Net sales for our standard products business are driven by design wins in which we are selected by an electronics original equipment manufacturer (OEM) or other potential customer to supply its demand for a particular product. A customer will often have more than one supplier designed into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end-market</w:t>
      </w:r>
    </w:p>
    <w:p>
      <w:pPr>
        <w:pStyle w:val="TextBody"/>
        <w:bidi w:val="0"/>
        <w:spacing w:before="0" w:after="0"/>
        <w:jc w:val="left"/>
        <w:rPr>
          <w:rFonts w:ascii="Times New Roman" w:hAnsi="Times New Roman"/>
          <w:sz w:val="20"/>
        </w:rPr>
      </w:pPr>
      <w:r>
        <w:rPr>
          <w:rFonts w:ascii="Times New Roman" w:hAnsi="Times New Roman"/>
          <w:sz w:val="20"/>
        </w:rPr>
        <w:t xml:space="preserve">demand for the goods in which our products are used, the inventory levels maintained by our customers and, in some cases, allocation of demand for components for a particular product among selected qualified suppliers.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contrast to completely fabless semiconductor companies, our internal manufacturing capacity provides us with greater control over certain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internally manufactured products. However, having internal manufacturing capacity exposes us to the risk of under-utilization of manufacturing capacity that results in lower gross profit margins, particularly during downturns in the semiconductor industry. </w:t>
      </w:r>
    </w:p>
    <w:p>
      <w:pPr>
        <w:pStyle w:val="TextBody"/>
        <w:bidi w:val="0"/>
        <w:spacing w:before="240" w:after="0"/>
        <w:jc w:val="left"/>
        <w:rPr>
          <w:rFonts w:ascii="Times New Roman" w:hAnsi="Times New Roman"/>
          <w:sz w:val="20"/>
        </w:rPr>
      </w:pPr>
      <w:r>
        <w:rPr>
          <w:rFonts w:ascii="Times New Roman" w:hAnsi="Times New Roman"/>
          <w:sz w:val="20"/>
        </w:rPr>
        <w:t xml:space="preserve">Our standard products business requires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12-inch</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8-inch</w:t>
      </w:r>
    </w:p>
    <w:p>
      <w:pPr>
        <w:pStyle w:val="TextBody"/>
        <w:bidi w:val="0"/>
        <w:spacing w:before="240" w:after="0"/>
        <w:jc w:val="left"/>
        <w:rPr>
          <w:rFonts w:ascii="Times New Roman" w:hAnsi="Times New Roman"/>
          <w:sz w:val="20"/>
        </w:rPr>
      </w:pPr>
      <w:r>
        <w:rPr>
          <w:rFonts w:ascii="Times New Roman" w:hAnsi="Times New Roman"/>
          <w:sz w:val="20"/>
        </w:rPr>
        <w:t xml:space="preserve">wafer capacity, such as organic light emitting diodes (OLED). We believe this balanced capital investment strategy enables us to optimize our capital investments and facilitates more diversified product and service offerings. </w:t>
      </w:r>
    </w:p>
    <w:p>
      <w:pPr>
        <w:pStyle w:val="TextBody"/>
        <w:bidi w:val="0"/>
        <w:spacing w:before="240" w:after="0"/>
        <w:jc w:val="left"/>
        <w:rPr>
          <w:rFonts w:ascii="Times New Roman" w:hAnsi="Times New Roman"/>
          <w:sz w:val="20"/>
        </w:rPr>
      </w:pPr>
      <w:r>
        <w:rPr>
          <w:rFonts w:ascii="Times New Roman" w:hAnsi="Times New Roman"/>
          <w:sz w:val="20"/>
        </w:rPr>
        <w:t xml:space="preserve">Since 2007, we had designed and manufactured OLED display driver ICs in our internal manufacturing facilities. As we expanded our design capabilities to products that require lower geometries unavailable at our existing manufacturing facilities, we began outsourcing manufacturing of certain OLED display driver ICs to external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12-inch</w:t>
      </w:r>
    </w:p>
    <w:p>
      <w:pPr>
        <w:pStyle w:val="TextBody"/>
        <w:bidi w:val="0"/>
        <w:spacing w:before="240" w:after="0"/>
        <w:jc w:val="left"/>
        <w:rPr>
          <w:rFonts w:ascii="Times New Roman" w:hAnsi="Times New Roman"/>
          <w:sz w:val="20"/>
        </w:rPr>
      </w:pPr>
      <w:r>
        <w:rPr>
          <w:rFonts w:ascii="Times New Roman" w:hAnsi="Times New Roman"/>
          <w:sz w:val="20"/>
        </w:rPr>
        <w:t xml:space="preserve">foundries starting in the second half of 2015 and we have started outsourcing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8-inch</w:t>
      </w:r>
    </w:p>
    <w:p>
      <w:pPr>
        <w:pStyle w:val="TextBody"/>
        <w:bidi w:val="0"/>
        <w:spacing w:before="240" w:after="0"/>
        <w:jc w:val="left"/>
        <w:rPr>
          <w:rFonts w:ascii="Times New Roman" w:hAnsi="Times New Roman"/>
          <w:sz w:val="20"/>
        </w:rPr>
      </w:pPr>
      <w:r>
        <w:rPr>
          <w:rFonts w:ascii="Times New Roman" w:hAnsi="Times New Roman"/>
          <w:sz w:val="20"/>
        </w:rPr>
        <w:t xml:space="preserve">wafer for OLED TV IC after the sale of our fabrication facility located in Cheongju, Korea in 2020. This additional source of manufacturing is an increasingly important part of our supply chain management. By outsourcing manufacturing of OLED products to external foundries, we are able to adapt dynamically to changing customer requirements and address growing markets without substantial capital investments by us. However, relying on external foundries exposes us to the risk of being unable to secure manufacturing capacity in the case of facing with a worldwide shortage of foundry services. Although we work strategically with external foundries to ensure long-term wafer capacity, if these efforts are unsuccessful, our ability to deliver products to our customers may be negatively impacted, which would adversely affect our relationship with customers and opportunities to secure new design-wins.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Recent Developments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New Stock Repurchase Program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On July 19, 2023, our Board of Directors authorized a new $50 million stock buyback program. Purchases have been and will be made in the open market or in privately negotiated transactions, depending upon market conditions and other factors.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From August 2023 to September 2023, we repurchased 671,498 shares of our common stock in the open market for an aggregate purchase price of $5.4 million and a weighted average price per share of $7.98 under the new stock repurchase program.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In October 2023, we repurchased 904,977 shares of our common stock in the open market for an aggregate purchase price of $7.0 million and a weighted average price per share of $7.78 under the new stock repurchase program.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Macroeconomic Industry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semiconductor industry continues to face a number of macroeconomic challenges, including rising inflation, increased interest rates, supply chain disruptions, capacity constraints, inventory corrections, shifting customer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end-user</w:t>
      </w:r>
    </w:p>
    <w:p>
      <w:pPr>
        <w:pStyle w:val="TextBody"/>
        <w:bidi w:val="0"/>
        <w:spacing w:before="120" w:after="0"/>
        <w:jc w:val="left"/>
        <w:rPr>
          <w:rFonts w:ascii="Times New Roman" w:hAnsi="Times New Roman"/>
          <w:sz w:val="20"/>
        </w:rPr>
      </w:pPr>
      <w:r>
        <w:rPr>
          <w:rFonts w:ascii="Times New Roman" w:hAnsi="Times New Roman"/>
          <w:sz w:val="20"/>
        </w:rPr>
        <w:t xml:space="preserve">demand, fluctuations in currency rates, and geopolitical tensions, including without limitation ongoing conflicts involving Russia-Ukraine and Israel-Hamas, any one and all of which can cause volatility and unpredictability in the market for semiconductor products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end-user</w:t>
      </w:r>
    </w:p>
    <w:p>
      <w:pPr>
        <w:pStyle w:val="TextBody"/>
        <w:bidi w:val="0"/>
        <w:spacing w:before="120" w:after="0"/>
        <w:jc w:val="left"/>
        <w:rPr>
          <w:rFonts w:ascii="Times New Roman" w:hAnsi="Times New Roman"/>
          <w:sz w:val="20"/>
        </w:rPr>
      </w:pPr>
      <w:r>
        <w:rPr>
          <w:rFonts w:ascii="Times New Roman" w:hAnsi="Times New Roman"/>
          <w:sz w:val="20"/>
        </w:rPr>
        <w:t xml:space="preserve">demand. The length and severity of these macroeconomic events and their overall impact on our business, results of operations and financial condition remain uncertain.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Developments in Export Control Regulations </w:t>
      </w:r>
    </w:p>
    <w:p>
      <w:pPr>
        <w:pStyle w:val="TextBody"/>
        <w:bidi w:val="0"/>
        <w:spacing w:before="120" w:after="0"/>
        <w:jc w:val="left"/>
        <w:rPr>
          <w:rFonts w:ascii="Times New Roman" w:hAnsi="Times New Roman"/>
          <w:sz w:val="20"/>
        </w:rPr>
      </w:pPr>
      <w:r>
        <w:rPr>
          <w:rFonts w:ascii="Times New Roman" w:hAnsi="Times New Roman"/>
          <w:sz w:val="20"/>
        </w:rPr>
        <w:t xml:space="preserve">On October 7, 2022, the Bureau of Industry and Security of the U.S. Department of Commerce published changes to U.S. export control regulations (U.S. Export Regulations), including new restrictions on Chinese entities’ ability to obtain advanced computing chips, develop and maintain supercomputers, and manufacture advanced semiconductors. Further, on October 12, 2022, a new rule went into effect requiring U.S. persons to obtain a license prior to engaging in certain activities that could “support” certain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end-uses</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end-users,</w:t>
      </w:r>
    </w:p>
    <w:p>
      <w:pPr>
        <w:pStyle w:val="TextBody"/>
        <w:bidi w:val="0"/>
        <w:spacing w:before="120" w:after="0"/>
        <w:jc w:val="left"/>
        <w:rPr>
          <w:rFonts w:ascii="Times New Roman" w:hAnsi="Times New Roman"/>
          <w:sz w:val="20"/>
        </w:rPr>
      </w:pPr>
      <w:r>
        <w:rPr>
          <w:rFonts w:ascii="Times New Roman" w:hAnsi="Times New Roman"/>
          <w:sz w:val="20"/>
        </w:rPr>
        <w:t xml:space="preserve">including those related to weapons of mass destruction. Additionally, on October 21, 2022, the Bureau of Industry and Security brought into effect a series of new Foreign Direct Product (FDP) rules and various new controls on advanced computing items, significantly expanding the scope of items that are subject to export control under the U.S. Export Regulations. Based on our understanding of the U.S. Export Regulations and related rules currently in effect, we do not anticipate that they will have a material impact on our business. More recently, on October 17, 2023, the Bureau of Industry and Security released additional rules (set to go into effect on November 16, 2023) to expand, clarify, and correct the rules published on October 7, 2022. We are still evaluating these additional rules and their potential impact on our business. Additional changes to the U.S. Export Regulations are expected, but the scope or timing of such changes is unknown. We will continue to monitor such developments, including potential additional trade restrictions, and other regulatory or policy changes by the U.S. and foreign governments.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Explanation and Reconciliation of </w:t>
      </w:r>
    </w:p>
    <w:p>
      <w:pPr>
        <w:pStyle w:val="TextBody"/>
        <w:bidi w:val="0"/>
        <w:spacing w:before="0" w:after="0"/>
        <w:jc w:val="left"/>
        <w:rPr>
          <w:rFonts w:ascii="Times New Roman" w:hAnsi="Times New Roman"/>
          <w:b/>
          <w:spacing w:val="0"/>
          <w:sz w:val="20"/>
        </w:rPr>
      </w:pPr>
      <w:r>
        <w:rPr>
          <w:rFonts w:ascii="Times New Roman" w:hAnsi="Times New Roman"/>
          <w:b/>
          <w:spacing w:val="0"/>
          <w:sz w:val="20"/>
        </w:rPr>
        <w:t>Non-U.S. GAAP</w:t>
      </w:r>
    </w:p>
    <w:p>
      <w:pPr>
        <w:pStyle w:val="TextBody"/>
        <w:bidi w:val="0"/>
        <w:spacing w:before="0" w:after="0"/>
        <w:jc w:val="left"/>
        <w:rPr>
          <w:rFonts w:ascii="Times New Roman" w:hAnsi="Times New Roman"/>
          <w:b/>
          <w:sz w:val="20"/>
        </w:rPr>
      </w:pPr>
      <w:r>
        <w:rPr>
          <w:rFonts w:ascii="Times New Roman" w:hAnsi="Times New Roman"/>
          <w:b/>
          <w:sz w:val="20"/>
        </w:rPr>
        <w:t xml:space="preserve">Measures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Adjusted EBITDA, Adjusted Operating Income (Loss) and Adjusted Net Income (Loss) </w:t>
      </w:r>
    </w:p>
    <w:p>
      <w:pPr>
        <w:pStyle w:val="TextBody"/>
        <w:bidi w:val="0"/>
        <w:spacing w:before="120" w:after="0"/>
        <w:jc w:val="left"/>
        <w:rPr>
          <w:rFonts w:ascii="Times New Roman" w:hAnsi="Times New Roman"/>
          <w:sz w:val="20"/>
        </w:rPr>
      </w:pPr>
      <w:r>
        <w:rPr>
          <w:rFonts w:ascii="Times New Roman" w:hAnsi="Times New Roman"/>
          <w:sz w:val="20"/>
        </w:rPr>
        <w:t xml:space="preserve">We use the terms Adjusted EBITDA, Adjusted Operating Income (Loss) and Adjusted Net Income (Loss) (including on a per share basis) in this Report. Adjusted EBITDA, as we define it, is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120" w:after="0"/>
        <w:jc w:val="left"/>
        <w:rPr>
          <w:rFonts w:ascii="Times New Roman" w:hAnsi="Times New Roman"/>
          <w:sz w:val="20"/>
        </w:rPr>
      </w:pPr>
      <w:r>
        <w:rPr>
          <w:rFonts w:ascii="Times New Roman" w:hAnsi="Times New Roman"/>
          <w:sz w:val="20"/>
        </w:rPr>
        <w:t xml:space="preserve">GAAP measure. We define Adjusted EBITDA for the periods indicated as EBITDA (as defined below), adjusted to exclude (i) equity-based compensation expense, (ii) foreign currency loss, net, (iii) derivative valuation loss (gain), net and (iv) early termination and other charges, net. EBITDA for the periods indicated is defined as net loss before interest income, interest expense, income tax benefit, and depreciation and amortization.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See the footnotes to the table below for further information regarding these items. We present Adjusted EBITDA as a supplemental measure of our performance because: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Adjusted EBITDA, by eliminating the impact of a number of items that we do not consider to be indicative of our core ongoing operating performance, provides a more comparable measure of our operating performance from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period-to-period</w:t>
            </w:r>
          </w:p>
          <w:p>
            <w:pPr>
              <w:pStyle w:val="TableContents"/>
              <w:bidi w:val="0"/>
              <w:spacing w:before="0" w:after="0"/>
              <w:jc w:val="left"/>
              <w:rPr>
                <w:rFonts w:ascii="Times New Roman" w:hAnsi="Times New Roman"/>
                <w:sz w:val="20"/>
              </w:rPr>
            </w:pPr>
            <w:r>
              <w:rPr>
                <w:rFonts w:ascii="Times New Roman" w:hAnsi="Times New Roman"/>
                <w:sz w:val="20"/>
              </w:rPr>
              <w:t xml:space="preserve">and may be a better indicator of future performance;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we believe that Adjusted EBITDA is commonly requested and used by securities analysts, investors and other interested parties in the evaluation of a company as an enterprise level performance measure that eliminates the effects of financing, income taxes and the accounting effects of capital spending, as well as other one time or recurring items described above; and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Adjusted EBITDA is useful for investors, among other reasons, to assess a company’s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period-to-period</w:t>
            </w:r>
          </w:p>
          <w:p>
            <w:pPr>
              <w:pStyle w:val="TableContents"/>
              <w:bidi w:val="0"/>
              <w:spacing w:before="0" w:after="0"/>
              <w:jc w:val="left"/>
              <w:rPr>
                <w:rFonts w:ascii="Times New Roman" w:hAnsi="Times New Roman"/>
                <w:sz w:val="20"/>
              </w:rPr>
            </w:pPr>
            <w:r>
              <w:rPr>
                <w:rFonts w:ascii="Times New Roman" w:hAnsi="Times New Roman"/>
                <w:sz w:val="20"/>
              </w:rPr>
              <w:t xml:space="preserve">core operating performance and to understand and assess the manner in which management analyzes operating performance.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use Adjusted EBITDA in a number of ways, including: </w:t>
      </w:r>
    </w:p>
    <w:p>
      <w:pPr>
        <w:pStyle w:val="TextBody"/>
        <w:bidi w:val="0"/>
        <w:spacing w:before="0" w:after="0"/>
        <w:jc w:val="left"/>
        <w:rPr>
          <w:spacing w:val="0"/>
        </w:rPr>
      </w:pPr>
      <w:r>
        <w:rPr>
          <w:spacing w:val="0"/>
        </w:rPr>
        <w:t> </w:t>
      </w:r>
    </w:p>
    <w:tbl>
      <w:tblPr>
        <w:tblW w:w="6880" w:type="dxa"/>
        <w:jc w:val="left"/>
        <w:tblInd w:w="0" w:type="dxa"/>
        <w:tblLayout w:type="fixed"/>
        <w:tblCellMar>
          <w:top w:w="0" w:type="dxa"/>
          <w:left w:w="0" w:type="dxa"/>
          <w:bottom w:w="0" w:type="dxa"/>
          <w:right w:w="0" w:type="dxa"/>
        </w:tblCellMar>
      </w:tblPr>
      <w:tblGrid>
        <w:gridCol w:w="75"/>
        <w:gridCol w:w="110"/>
        <w:gridCol w:w="60"/>
        <w:gridCol w:w="6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for planning purposes, including the preparation of our annual operating budget; </w:t>
            </w:r>
          </w:p>
        </w:tc>
      </w:tr>
    </w:tbl>
    <w:p>
      <w:pPr>
        <w:pStyle w:val="TextBody"/>
        <w:bidi w:val="0"/>
        <w:spacing w:before="0" w:after="0"/>
        <w:jc w:val="left"/>
        <w:rPr>
          <w:spacing w:val="0"/>
        </w:rPr>
      </w:pPr>
      <w:r>
        <w:rPr>
          <w:spacing w:val="0"/>
        </w:rPr>
        <w:t> </w:t>
      </w:r>
    </w:p>
    <w:tbl>
      <w:tblPr>
        <w:tblW w:w="6040" w:type="dxa"/>
        <w:jc w:val="left"/>
        <w:tblInd w:w="0" w:type="dxa"/>
        <w:tblLayout w:type="fixed"/>
        <w:tblCellMar>
          <w:top w:w="0" w:type="dxa"/>
          <w:left w:w="0" w:type="dxa"/>
          <w:bottom w:w="0" w:type="dxa"/>
          <w:right w:w="0" w:type="dxa"/>
        </w:tblCellMar>
      </w:tblPr>
      <w:tblGrid>
        <w:gridCol w:w="75"/>
        <w:gridCol w:w="110"/>
        <w:gridCol w:w="60"/>
        <w:gridCol w:w="5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to evaluate the effectiveness of our enterprise level business strategies; </w:t>
            </w:r>
          </w:p>
        </w:tc>
      </w:tr>
    </w:tbl>
    <w:p>
      <w:pPr>
        <w:pStyle w:val="TextBody"/>
        <w:bidi w:val="0"/>
        <w:spacing w:before="0" w:after="0"/>
        <w:jc w:val="left"/>
        <w:rPr>
          <w:spacing w:val="0"/>
        </w:rPr>
      </w:pPr>
      <w:r>
        <w:rPr>
          <w:spacing w:val="0"/>
        </w:rPr>
        <w:t> </w:t>
      </w:r>
    </w:p>
    <w:tbl>
      <w:tblPr>
        <w:tblW w:w="8725" w:type="dxa"/>
        <w:jc w:val="left"/>
        <w:tblInd w:w="0" w:type="dxa"/>
        <w:tblLayout w:type="fixed"/>
        <w:tblCellMar>
          <w:top w:w="0" w:type="dxa"/>
          <w:left w:w="0" w:type="dxa"/>
          <w:bottom w:w="0" w:type="dxa"/>
          <w:right w:w="0" w:type="dxa"/>
        </w:tblCellMar>
      </w:tblPr>
      <w:tblGrid>
        <w:gridCol w:w="75"/>
        <w:gridCol w:w="110"/>
        <w:gridCol w:w="60"/>
        <w:gridCol w:w="8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 communications with our Board of Directors concerning our consolidated financial performance; and </w:t>
            </w:r>
          </w:p>
        </w:tc>
      </w:tr>
    </w:tbl>
    <w:p>
      <w:pPr>
        <w:pStyle w:val="TextBody"/>
        <w:bidi w:val="0"/>
        <w:spacing w:before="0" w:after="0"/>
        <w:jc w:val="left"/>
        <w:rPr>
          <w:spacing w:val="0"/>
        </w:rPr>
      </w:pPr>
      <w:r>
        <w:rPr>
          <w:spacing w:val="0"/>
        </w:rPr>
        <w:t> </w:t>
      </w:r>
    </w:p>
    <w:tbl>
      <w:tblPr>
        <w:tblW w:w="9550" w:type="dxa"/>
        <w:jc w:val="left"/>
        <w:tblInd w:w="0" w:type="dxa"/>
        <w:tblLayout w:type="fixed"/>
        <w:tblCellMar>
          <w:top w:w="0" w:type="dxa"/>
          <w:left w:w="0" w:type="dxa"/>
          <w:bottom w:w="0" w:type="dxa"/>
          <w:right w:w="0" w:type="dxa"/>
        </w:tblCellMar>
      </w:tblPr>
      <w:tblGrid>
        <w:gridCol w:w="75"/>
        <w:gridCol w:w="110"/>
        <w:gridCol w:w="60"/>
        <w:gridCol w:w="9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 certain of our compensation plans as a performance measure for determining incentive compensation payments. </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net income (loss) or any other performance measure derived in accordance with U.S. GAAP, or as an alternative to cash flows from operating activities as a measure of liquidity. A reconciliation of net loss to Adjusted EBITDA is as follows: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190"/>
        <w:gridCol w:w="120"/>
        <w:gridCol w:w="385"/>
        <w:gridCol w:w="1090"/>
        <w:gridCol w:w="155"/>
        <w:gridCol w:w="120"/>
        <w:gridCol w:w="315"/>
        <w:gridCol w:w="1160"/>
        <w:gridCol w:w="155"/>
        <w:gridCol w:w="120"/>
        <w:gridCol w:w="315"/>
        <w:gridCol w:w="1160"/>
        <w:gridCol w:w="155"/>
        <w:gridCol w:w="120"/>
        <w:gridCol w:w="315"/>
        <w:gridCol w:w="1160"/>
        <w:gridCol w:w="170"/>
      </w:tblGrid>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Three Months</w:t>
              <w:br/>
              <w:t>Ended</w:t>
              <w:br/>
              <w:t>September 30,</w:t>
              <w:b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Nine Months</w:t>
              <w:br/>
              <w:t>Ended</w:t>
              <w:br/>
              <w:t>September 30,</w:t>
              <w:b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Three Months</w:t>
              <w:br/>
              <w:t>Ended</w:t>
              <w:br/>
              <w:t>September 30,</w:t>
              <w:b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Nine Months</w:t>
              <w:br/>
              <w:t>Ended</w:t>
              <w:br/>
              <w:t>September 30,</w:t>
              <w:br/>
              <w:t>2022</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25" w:type="dxa"/>
            <w:gridSpan w:val="14"/>
            <w:tcBorders/>
            <w:vAlign w:val="center"/>
          </w:tcPr>
          <w:p>
            <w:pPr>
              <w:pStyle w:val="TableContents"/>
              <w:bidi w:val="0"/>
              <w:spacing w:before="0" w:after="0"/>
              <w:jc w:val="center"/>
              <w:rPr>
                <w:b/>
                <w:spacing w:val="0"/>
              </w:rPr>
            </w:pPr>
            <w:r>
              <w:rPr>
                <w:b/>
                <w:spacing w:val="0"/>
              </w:rPr>
              <w:t>(Dollars in millions)</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(30.6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(11.0</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(3.6</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expense</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0.9</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 benefit</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(4.4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(8.6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(3.9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(1.4</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Depreciation and amortization</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11.2</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9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EBITDA</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1090" w:type="dxa"/>
            <w:tcBorders/>
            <w:vAlign w:val="center"/>
          </w:tcPr>
          <w:p>
            <w:pPr>
              <w:pStyle w:val="TableContents"/>
              <w:bidi w:val="0"/>
              <w:spacing w:before="0" w:after="283"/>
              <w:jc w:val="right"/>
              <w:rPr/>
            </w:pPr>
            <w:r>
              <w:rPr/>
              <w:t>(7.7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(33.8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(19.0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(3.8</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sz w:val="4"/>
                <w:szCs w:val="4"/>
              </w:rPr>
            </w:pPr>
            <w:r>
              <w:rPr>
                <w:sz w:val="4"/>
                <w:szCs w:val="4"/>
              </w:rPr>
            </w:r>
          </w:p>
        </w:tc>
        <w:tc>
          <w:tcPr>
            <w:tcW w:w="109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sz w:val="4"/>
                <w:szCs w:val="4"/>
              </w:rPr>
            </w:pPr>
            <w:r>
              <w:rPr>
                <w:sz w:val="4"/>
                <w:szCs w:val="4"/>
              </w:rPr>
            </w:r>
          </w:p>
        </w:tc>
        <w:tc>
          <w:tcPr>
            <w:tcW w:w="116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1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Equity-based compensation expense(a)</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5.4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4.5</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 currency loss, net(b)</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4.8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20.5</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Derivative valuation loss (gain), net(c)</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(0.2</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Early termination and other charges, net(d)</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9.3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2.5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3.3</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9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Adjusted EBITDA</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w:t>
            </w:r>
          </w:p>
        </w:tc>
        <w:tc>
          <w:tcPr>
            <w:tcW w:w="1090" w:type="dxa"/>
            <w:tcBorders/>
            <w:vAlign w:val="center"/>
          </w:tcPr>
          <w:p>
            <w:pPr>
              <w:pStyle w:val="TableContents"/>
              <w:bidi w:val="0"/>
              <w:spacing w:before="0" w:after="283"/>
              <w:jc w:val="right"/>
              <w:rPr/>
            </w:pPr>
            <w:r>
              <w:rPr/>
              <w:t>(2.7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(14.2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24.3</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9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equity-based compensation expenses. Although we expect to incur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expenses as supplemental information.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(b)</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mainly eliminates the impact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gains or losses, which we cannot control. Additionally, we believe the isolation of this adjustment provides investors with enhanced comparability to prior and future periods of our operating performance results.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(c)</w:t>
            </w:r>
          </w:p>
        </w:tc>
        <w:tc>
          <w:tcPr>
            <w:tcW w:w="99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(d)</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nine months ended September 30, 2023, this adjustment eliminates the termination related charges of $8.4 million in connection with the 2023 Voluntary Resignation Program that we offered and paid to certain employees during the first half of 2023, and $0.8 million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z w:val="20"/>
              </w:rPr>
            </w:pPr>
            <w:r>
              <w:rPr>
                <w:rFonts w:ascii="Times New Roman" w:hAnsi="Times New Roman"/>
                <w:sz w:val="20"/>
              </w:rPr>
              <w:t xml:space="preserve">employee incentives. For the three and nine months ended September 30, 2022, this adjustment eliminates $2.8 million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z w:val="20"/>
              </w:rPr>
            </w:pPr>
            <w:r>
              <w:rPr>
                <w:rFonts w:ascii="Times New Roman" w:hAnsi="Times New Roman"/>
                <w:sz w:val="20"/>
              </w:rPr>
              <w:t xml:space="preserve">employee incentives, in each period, and professional service fees and expenses of $0.2 million and $1.0 million, respectively, incurred in connection with certain strategic evaluations, both of which were offset in part by a $0.5 million gain on sale of certain legacy equipment of the closed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back-end</w:t>
            </w:r>
          </w:p>
          <w:p>
            <w:pPr>
              <w:pStyle w:val="TableContents"/>
              <w:bidi w:val="0"/>
              <w:spacing w:before="0" w:after="0"/>
              <w:jc w:val="left"/>
              <w:rPr>
                <w:rFonts w:ascii="Times New Roman" w:hAnsi="Times New Roman"/>
                <w:sz w:val="20"/>
              </w:rPr>
            </w:pPr>
            <w:r>
              <w:rPr>
                <w:rFonts w:ascii="Times New Roman" w:hAnsi="Times New Roman"/>
                <w:sz w:val="20"/>
              </w:rPr>
              <w:t xml:space="preserve">line in our fabrication facility in Gumi. As this adjustment meaningfully impacted our operating results and are not expected to represent an ongoing operating expense or income to us, we believe our operating performance results are more usefully compared if this adjustment is excluded.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Adjusted EBITDA has limitations as an analytical tool, and you should not consider it in isolation, or as a substitute for analysis of our results as reported under U.S. GAAP. Some of these limitations are: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Adjusted EBITDA does not reflect our cash expenditures, or future requirements, for capital expenditures or contractual commitments; </w:t>
            </w:r>
          </w:p>
        </w:tc>
      </w:tr>
    </w:tbl>
    <w:p>
      <w:pPr>
        <w:pStyle w:val="TextBody"/>
        <w:bidi w:val="0"/>
        <w:spacing w:before="0" w:after="0"/>
        <w:jc w:val="left"/>
        <w:rPr>
          <w:spacing w:val="0"/>
        </w:rPr>
      </w:pPr>
      <w:r>
        <w:rPr>
          <w:spacing w:val="0"/>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Adjusted EBITDA does not reflect changes in, or cash requirements for, our working capital needs;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Adjusted EBITDA does not reflect the interest expense, or the cash requirements necessary to service interest or principal payments, on our debt;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although depreciation and amortization are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charges, the assets being depreciated and amortized will often need to be replaced in the future, and Adjusted EBITDA does not reflect any cash requirements for such replacements;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Adjusted EBITDA does not consider the potentially dilutive impact of issuing equity-based compensation to our management team and employees; </w:t>
            </w:r>
          </w:p>
        </w:tc>
      </w:tr>
    </w:tbl>
    <w:p>
      <w:pPr>
        <w:pStyle w:val="TextBody"/>
        <w:bidi w:val="0"/>
        <w:spacing w:before="0" w:after="0"/>
        <w:jc w:val="left"/>
        <w:rPr>
          <w:spacing w:val="0"/>
        </w:rPr>
      </w:pPr>
      <w:r>
        <w:rPr>
          <w:spacing w:val="0"/>
        </w:rPr>
        <w:t> </w:t>
      </w:r>
    </w:p>
    <w:tbl>
      <w:tblPr>
        <w:tblW w:w="9145" w:type="dxa"/>
        <w:jc w:val="left"/>
        <w:tblInd w:w="0" w:type="dxa"/>
        <w:tblLayout w:type="fixed"/>
        <w:tblCellMar>
          <w:top w:w="0" w:type="dxa"/>
          <w:left w:w="0" w:type="dxa"/>
          <w:bottom w:w="0" w:type="dxa"/>
          <w:right w:w="0" w:type="dxa"/>
        </w:tblCellMar>
      </w:tblPr>
      <w:tblGrid>
        <w:gridCol w:w="75"/>
        <w:gridCol w:w="110"/>
        <w:gridCol w:w="60"/>
        <w:gridCol w:w="8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Adjusted EBITDA does not reflect the costs of holding certain assets and liabilities in foreign currencies; and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other companies in our industry may calculate Adjusted EBITDA differently than we do, limiting its usefulness as a comparative measure.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We present Adjusted Operating Income (Loss) as a supplemental measure of our performance. We prepare Adjusted Operating Income (Loss) by adjusting operating income (loss) to eliminate the impact of equity-based compensation expenses and other items that may be either one time or recurring that we do not consider to be indicative of our core ongoing operating performance. We believe that Adjusted Operating Income (Loss) is useful to investors to provide a supplemental way to understand our underlying operating performance and allows investors to monitor and understand changes in our ability to generate income from ongoing business operations.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Adjusted Operating Income (Loss) is not a measure defined in accordance with U.S. GAAP and should not be construed as an alternative to operating income or any other performance measure derived in accordance with U.S. GAAP. We encourage you to evaluate each adjustment and the reasons we consider them appropriate. Other companies in our industry may calculate Adjusted Operating Income (Loss) differently than we do, limiting its usefulness as a comparative measure. In addition, in evaluating Adjusted Operating Income (Loss), you should be aware that in the future we may incur expenses similar to the adjustments in this presentation. We define Adjusted Operating Income (Loss) for the periods indicated as operating income (loss) adjusted to exclude (i) equity-based compensation expense and (ii) early termination and other charges, net.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the adjustments to operating income (loss) that we make in order to calculate Adjusted Operating Income (Loss) for the periods indicated: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285"/>
        <w:gridCol w:w="120"/>
        <w:gridCol w:w="385"/>
        <w:gridCol w:w="1090"/>
        <w:gridCol w:w="155"/>
        <w:gridCol w:w="120"/>
        <w:gridCol w:w="315"/>
        <w:gridCol w:w="1160"/>
        <w:gridCol w:w="155"/>
        <w:gridCol w:w="120"/>
        <w:gridCol w:w="315"/>
        <w:gridCol w:w="1160"/>
        <w:gridCol w:w="155"/>
        <w:gridCol w:w="120"/>
        <w:gridCol w:w="356"/>
        <w:gridCol w:w="1119"/>
        <w:gridCol w:w="75"/>
      </w:tblGrid>
      <w:tr>
        <w:trPr/>
        <w:tc>
          <w:tcPr>
            <w:tcW w:w="3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Three Months</w:t>
              <w:br/>
              <w:t>Ended</w:t>
              <w:br/>
              <w:t>September 30,</w:t>
              <w:b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Nine Months</w:t>
              <w:br/>
              <w:t>Ended</w:t>
              <w:br/>
              <w:t>September 30,</w:t>
              <w:b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Three Months</w:t>
              <w:br/>
              <w:t>Ended</w:t>
              <w:br/>
              <w:t>September 30,</w:t>
              <w:b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Nine Months</w:t>
              <w:br/>
              <w:t>Ended</w:t>
              <w:br/>
              <w:t>September 30,</w:t>
              <w:br/>
              <w:t>2022</w:t>
            </w:r>
          </w:p>
        </w:tc>
        <w:tc>
          <w:tcPr>
            <w:tcW w:w="75" w:type="dxa"/>
            <w:tcBorders/>
            <w:vAlign w:val="center"/>
          </w:tcPr>
          <w:p>
            <w:pPr>
              <w:pStyle w:val="TableContents"/>
              <w:bidi w:val="0"/>
              <w:spacing w:before="0" w:after="283"/>
              <w:jc w:val="left"/>
              <w:rPr/>
            </w:pPr>
            <w:r>
              <w:rPr/>
              <w:t> </w:t>
            </w:r>
          </w:p>
        </w:tc>
      </w:tr>
      <w:tr>
        <w:trPr/>
        <w:tc>
          <w:tcPr>
            <w:tcW w:w="3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25" w:type="dxa"/>
            <w:gridSpan w:val="14"/>
            <w:tcBorders/>
            <w:vAlign w:val="center"/>
          </w:tcPr>
          <w:p>
            <w:pPr>
              <w:pStyle w:val="TableContents"/>
              <w:bidi w:val="0"/>
              <w:spacing w:before="0" w:after="0"/>
              <w:jc w:val="center"/>
              <w:rPr>
                <w:b/>
                <w:spacing w:val="0"/>
              </w:rPr>
            </w:pPr>
            <w:r>
              <w:rPr>
                <w:b/>
                <w:spacing w:val="0"/>
              </w:rPr>
              <w:t>(Dollars in millions)</w:t>
            </w:r>
          </w:p>
        </w:tc>
        <w:tc>
          <w:tcPr>
            <w:tcW w:w="75" w:type="dxa"/>
            <w:tcBorders/>
            <w:vAlign w:val="center"/>
          </w:tcPr>
          <w:p>
            <w:pPr>
              <w:pStyle w:val="TableContents"/>
              <w:bidi w:val="0"/>
              <w:spacing w:before="0" w:after="283"/>
              <w:jc w:val="left"/>
              <w:rPr/>
            </w:pPr>
            <w:r>
              <w:rPr/>
              <w:t> </w:t>
            </w:r>
          </w:p>
        </w:tc>
      </w:tr>
      <w:tr>
        <w:trPr/>
        <w:tc>
          <w:tcPr>
            <w:tcW w:w="32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income (loss)</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(41.7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w:t>
            </w:r>
          </w:p>
        </w:tc>
        <w:tc>
          <w:tcPr>
            <w:tcW w:w="1119" w:type="dxa"/>
            <w:tcBorders/>
            <w:shd w:fill="CCEEFF" w:val="clear"/>
            <w:vAlign w:val="center"/>
          </w:tcPr>
          <w:p>
            <w:pPr>
              <w:pStyle w:val="TableContents"/>
              <w:bidi w:val="0"/>
              <w:spacing w:before="0" w:after="283"/>
              <w:jc w:val="right"/>
              <w:rPr/>
            </w:pPr>
            <w:r>
              <w:rPr/>
              <w:t>4.9</w:t>
            </w:r>
          </w:p>
        </w:tc>
        <w:tc>
          <w:tcPr>
            <w:tcW w:w="75" w:type="dxa"/>
            <w:tcBorders/>
            <w:shd w:fill="CCEEFF" w:val="clear"/>
            <w:vAlign w:val="center"/>
          </w:tcPr>
          <w:p>
            <w:pPr>
              <w:pStyle w:val="TableContents"/>
              <w:bidi w:val="0"/>
              <w:spacing w:before="0" w:after="283"/>
              <w:jc w:val="left"/>
              <w:rPr/>
            </w:pPr>
            <w:r>
              <w:rPr/>
              <w:t> </w:t>
            </w:r>
          </w:p>
        </w:tc>
      </w:tr>
      <w:tr>
        <w:trPr/>
        <w:tc>
          <w:tcPr>
            <w:tcW w:w="32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Equity-based compensation expense(a)</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5.4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0.9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right"/>
              <w:rPr/>
            </w:pPr>
            <w:r>
              <w:rPr/>
              <w:t>4.5</w:t>
            </w:r>
          </w:p>
        </w:tc>
        <w:tc>
          <w:tcPr>
            <w:tcW w:w="75" w:type="dxa"/>
            <w:tcBorders/>
            <w:shd w:fill="CCEEFF" w:val="clear"/>
            <w:vAlign w:val="center"/>
          </w:tcPr>
          <w:p>
            <w:pPr>
              <w:pStyle w:val="TableContents"/>
              <w:bidi w:val="0"/>
              <w:spacing w:before="0" w:after="283"/>
              <w:jc w:val="left"/>
              <w:rPr/>
            </w:pPr>
            <w:r>
              <w:rPr/>
              <w:t> </w:t>
            </w:r>
          </w:p>
        </w:tc>
      </w:tr>
      <w:tr>
        <w:trPr/>
        <w:tc>
          <w:tcPr>
            <w:tcW w:w="328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Early termination and other charges, net(b)</w:t>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9.3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283"/>
              <w:jc w:val="left"/>
              <w:rPr/>
            </w:pPr>
            <w:r>
              <w:rPr/>
              <w:t> </w:t>
            </w:r>
          </w:p>
        </w:tc>
        <w:tc>
          <w:tcPr>
            <w:tcW w:w="1119"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3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9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11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8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Adjusted Operating Income (Loss)</w:t>
            </w:r>
          </w:p>
        </w:tc>
        <w:tc>
          <w:tcPr>
            <w:tcW w:w="12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left"/>
              <w:rPr/>
            </w:pPr>
            <w:r>
              <w:rPr/>
              <w:t>$</w:t>
            </w:r>
          </w:p>
        </w:tc>
        <w:tc>
          <w:tcPr>
            <w:tcW w:w="1090" w:type="dxa"/>
            <w:tcBorders/>
            <w:shd w:fill="CCEEFF" w:val="clear"/>
            <w:vAlign w:val="center"/>
          </w:tcPr>
          <w:p>
            <w:pPr>
              <w:pStyle w:val="TableContents"/>
              <w:bidi w:val="0"/>
              <w:spacing w:before="0" w:after="283"/>
              <w:jc w:val="right"/>
              <w:rPr/>
            </w:pPr>
            <w:r>
              <w:rPr/>
              <w:t>(7.1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(27.1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w:t>
            </w:r>
          </w:p>
        </w:tc>
        <w:tc>
          <w:tcPr>
            <w:tcW w:w="1119" w:type="dxa"/>
            <w:tcBorders/>
            <w:shd w:fill="CCEEFF" w:val="clear"/>
            <w:vAlign w:val="center"/>
          </w:tcPr>
          <w:p>
            <w:pPr>
              <w:pStyle w:val="TableContents"/>
              <w:bidi w:val="0"/>
              <w:spacing w:before="0" w:after="283"/>
              <w:jc w:val="right"/>
              <w:rPr/>
            </w:pPr>
            <w:r>
              <w:rPr/>
              <w:t>12.7</w:t>
            </w:r>
          </w:p>
        </w:tc>
        <w:tc>
          <w:tcPr>
            <w:tcW w:w="75" w:type="dxa"/>
            <w:tcBorders/>
            <w:shd w:fill="CCEEFF" w:val="clear"/>
            <w:vAlign w:val="center"/>
          </w:tcPr>
          <w:p>
            <w:pPr>
              <w:pStyle w:val="TableContents"/>
              <w:bidi w:val="0"/>
              <w:spacing w:before="0" w:after="283"/>
              <w:jc w:val="left"/>
              <w:rPr/>
            </w:pPr>
            <w:r>
              <w:rPr/>
              <w:t> </w:t>
            </w:r>
          </w:p>
        </w:tc>
      </w:tr>
      <w:tr>
        <w:trPr/>
        <w:tc>
          <w:tcPr>
            <w:tcW w:w="3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9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1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11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equity-based compensation expenses. Although we expect to incur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expenses as supplemental information.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(b)</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nine months ended September 30, 2023, this adjustment eliminates the termination related charges of $8.4 million in connection with the 2023 Voluntary Resignation Program that we offered and paid to certain employees during the first half of 2023, and $0.8 million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z w:val="20"/>
              </w:rPr>
            </w:pPr>
            <w:r>
              <w:rPr>
                <w:rFonts w:ascii="Times New Roman" w:hAnsi="Times New Roman"/>
                <w:sz w:val="20"/>
              </w:rPr>
              <w:t xml:space="preserve">employee incentives. For the three and nine months ended September 30, 2022, this adjustment eliminates $2.8 million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z w:val="20"/>
              </w:rPr>
            </w:pPr>
            <w:r>
              <w:rPr>
                <w:rFonts w:ascii="Times New Roman" w:hAnsi="Times New Roman"/>
                <w:sz w:val="20"/>
              </w:rPr>
              <w:t xml:space="preserve">employee incentives, in each period, and professional service fees and expenses of $0.2 million and $1.0 million, respectively, incurred in connection with certain strategic evaluations, both of which were offset in part by a $0.5 million gain on sale of certain legacy equipment of the closed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back-end</w:t>
            </w:r>
          </w:p>
          <w:p>
            <w:pPr>
              <w:pStyle w:val="TableContents"/>
              <w:bidi w:val="0"/>
              <w:spacing w:before="0" w:after="0"/>
              <w:jc w:val="left"/>
              <w:rPr>
                <w:rFonts w:ascii="Times New Roman" w:hAnsi="Times New Roman"/>
                <w:sz w:val="20"/>
              </w:rPr>
            </w:pPr>
            <w:r>
              <w:rPr>
                <w:rFonts w:ascii="Times New Roman" w:hAnsi="Times New Roman"/>
                <w:sz w:val="20"/>
              </w:rPr>
              <w:t xml:space="preserve">line in our fabrication facility in Gumi. As this adjustment meaningfully impacted our operating results and are not expected to represent an ongoing operating expense or income to us, we believe our operating performance results are more usefully compared if this adjustment is excluded.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present Adjusted Net Income (Loss) (including on a per share basis) as a further supplemental measure of our performance. We prepare Adjusted Net Income (Loss) (including on a per share basis) by adjusting net loss to eliminate the impact of a number of </w:t>
      </w:r>
    </w:p>
    <w:p>
      <w:pPr>
        <w:pStyle w:val="TextBody"/>
        <w:bidi w:val="0"/>
        <w:spacing w:before="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0" w:after="0"/>
        <w:jc w:val="left"/>
        <w:rPr>
          <w:rFonts w:ascii="Times New Roman" w:hAnsi="Times New Roman"/>
          <w:sz w:val="20"/>
        </w:rPr>
      </w:pPr>
      <w:r>
        <w:rPr>
          <w:rFonts w:ascii="Times New Roman" w:hAnsi="Times New Roman"/>
          <w:sz w:val="20"/>
        </w:rPr>
        <w:t xml:space="preserve">expenses and other items that may be either one time or recurring that we do not consider to be indicative of our core ongoing operating performance. We believe that Adjusted Net Income (Loss) (including on a per share basis) is particularly useful because it reflects the impact of our asset base and capital structure on our operating performance. We present Adjusted Net Income (Loss) (including on a per share basis) for a number of reasons, including: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use Adjusted Net Income (Loss) (including on a per share basis) in communications with our Board of Directors concerning our consolidated financial performance without the impact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expenses and the other items as we discussed below since we believe that it is a more consistent measure of our core operating results from period to period; and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reporting Adjusted Net Income (Loss) (including on a per share basis) is useful to readers in evaluating our core operating results because it eliminates the effects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expenses as well as the other items we discuss below, such as foreign currency gains and losses, which are out of our control and can vary significantly from period to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Adjusted Net Income (Loss) (including on a per share basis) is not a measure defined in accordance with U.S. GAAP and should not be construed as an alternative to net income (loss) or any other performance measure derived in accordance with U.S. GAAP, or as an alternative to cash flows from operating activities as a measure of liquidity. We encourage you to evaluate each adjustment and the reasons we consider them appropriate. Other companies in our industry may calculate Adjusted Net Income (Loss) (including on a per share basis) differently than we do, limiting its usefulness as a comparative measure. In addition, in evaluating Adjusted Net Income (Loss) (including on a per share basis), you should be aware that in the future we may incur expenses similar to the adjustments in this presentation. We define Adjusted Net Income (Loss) (including on a per share basis); for the periods indicated as net loss, adjusted to exclude (i) equity-based compensation expense, (ii) foreign currency loss, net, (iii) derivative valuation loss (gain), net, (iv) early termination and other charges, net and (v) income tax effect 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non-GAAP</w:t>
      </w:r>
    </w:p>
    <w:p>
      <w:pPr>
        <w:pStyle w:val="TextBody"/>
        <w:bidi w:val="0"/>
        <w:spacing w:before="240" w:after="0"/>
        <w:jc w:val="left"/>
        <w:rPr>
          <w:rFonts w:ascii="Times New Roman" w:hAnsi="Times New Roman"/>
          <w:sz w:val="20"/>
        </w:rPr>
      </w:pPr>
      <w:r>
        <w:rPr>
          <w:rFonts w:ascii="Times New Roman" w:hAnsi="Times New Roman"/>
          <w:sz w:val="20"/>
        </w:rPr>
        <w:t xml:space="preserve">adjustments.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 following table summarizes the adjustments to net loss that we make in order to calculate Adjusted Net Income (Loss) (including on a per share basis) for the periods indicated: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190"/>
        <w:gridCol w:w="120"/>
        <w:gridCol w:w="166"/>
        <w:gridCol w:w="1309"/>
        <w:gridCol w:w="155"/>
        <w:gridCol w:w="120"/>
        <w:gridCol w:w="166"/>
        <w:gridCol w:w="1309"/>
        <w:gridCol w:w="155"/>
        <w:gridCol w:w="120"/>
        <w:gridCol w:w="166"/>
        <w:gridCol w:w="1309"/>
        <w:gridCol w:w="155"/>
        <w:gridCol w:w="120"/>
        <w:gridCol w:w="166"/>
        <w:gridCol w:w="1309"/>
        <w:gridCol w:w="170"/>
      </w:tblGrid>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Three Months</w:t>
              <w:br/>
              <w:t>Ended</w:t>
              <w:br/>
              <w:t>September 30,</w:t>
              <w:b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Nine Months</w:t>
              <w:br/>
              <w:t>Ended</w:t>
              <w:br/>
              <w:t>September 30,</w:t>
              <w:b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Three Months</w:t>
              <w:br/>
              <w:t>Ended</w:t>
              <w:br/>
              <w:t>September 30,</w:t>
              <w:b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Nine Months</w:t>
              <w:br/>
              <w:t>Ended</w:t>
              <w:br/>
              <w:t>September 30,</w:t>
              <w:br/>
              <w:t>2022</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7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725" w:type="dxa"/>
            <w:gridSpan w:val="14"/>
            <w:tcBorders/>
            <w:vAlign w:val="center"/>
          </w:tcPr>
          <w:p>
            <w:pPr>
              <w:pStyle w:val="TableContents"/>
              <w:bidi w:val="0"/>
              <w:spacing w:before="0" w:after="0"/>
              <w:jc w:val="center"/>
              <w:rPr>
                <w:b/>
                <w:spacing w:val="0"/>
              </w:rPr>
            </w:pPr>
            <w:r>
              <w:rPr>
                <w:b/>
                <w:spacing w:val="0"/>
              </w:rPr>
              <w:t>(Dollars in millions, except per share data)</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(30.6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(11.0</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Adjustments: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Equity-based compensation expense(a)</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5.4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4.5</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 currency loss, net(b)</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12.8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20.5</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Derivative valuation loss (gain), net(c)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(0.2</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Early termination and other charges, net(d)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9.3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3.3</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Income tax effect 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non-GAAP</w:t>
            </w:r>
          </w:p>
          <w:p>
            <w:pPr>
              <w:pStyle w:val="TableContents"/>
              <w:bidi w:val="0"/>
              <w:spacing w:before="0" w:after="0"/>
              <w:jc w:val="left"/>
              <w:rPr>
                <w:rFonts w:ascii="Times New Roman" w:hAnsi="Times New Roman"/>
                <w:sz w:val="20"/>
              </w:rPr>
            </w:pPr>
            <w:r>
              <w:rPr>
                <w:rFonts w:ascii="Times New Roman" w:hAnsi="Times New Roman"/>
                <w:sz w:val="20"/>
              </w:rPr>
              <w:t>adjustments(e)</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(1.3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(3.5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2.3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7.5</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Adjusted Net Income (Loss)</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(14.4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24.6</w:t>
            </w:r>
          </w:p>
        </w:tc>
        <w:tc>
          <w:tcPr>
            <w:tcW w:w="170" w:type="dxa"/>
            <w:tcBorders/>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Reported loss per share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(0.13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(0.73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(0.38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(0.24</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Reported loss per share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(0.13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(0.73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(0.38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(0.24</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number of shares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40,145,290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41,747,255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44,865,266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45,119,214</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number of shares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40,145,290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41,747,255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44,865,266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45,119,214</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Adjusted Net Income (loss) per share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(0.35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0.55</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Adjusted Net Income (loss) per share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(0.04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(0.35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w:t>
            </w:r>
          </w:p>
        </w:tc>
        <w:tc>
          <w:tcPr>
            <w:tcW w:w="1309" w:type="dxa"/>
            <w:tcBorders/>
            <w:vAlign w:val="center"/>
          </w:tcPr>
          <w:p>
            <w:pPr>
              <w:pStyle w:val="TableContents"/>
              <w:bidi w:val="0"/>
              <w:spacing w:before="0" w:after="283"/>
              <w:jc w:val="right"/>
              <w:rPr/>
            </w:pPr>
            <w:r>
              <w:rPr/>
              <w:t>0.53</w:t>
            </w:r>
          </w:p>
        </w:tc>
        <w:tc>
          <w:tcPr>
            <w:tcW w:w="170" w:type="dxa"/>
            <w:tcBorders/>
            <w:vAlign w:val="center"/>
          </w:tcPr>
          <w:p>
            <w:pPr>
              <w:pStyle w:val="TableContents"/>
              <w:bidi w:val="0"/>
              <w:spacing w:before="0" w:after="283"/>
              <w:jc w:val="left"/>
              <w:rPr/>
            </w:pPr>
            <w:r>
              <w:rPr/>
              <w:t> </w:t>
            </w:r>
          </w:p>
        </w:tc>
      </w:tr>
      <w:tr>
        <w:trPr/>
        <w:tc>
          <w:tcPr>
            <w:tcW w:w="319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number of shares – basic</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40,145,290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41,747,255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44,865,266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9" w:type="dxa"/>
            <w:tcBorders/>
            <w:shd w:fill="CCEEFF" w:val="clear"/>
            <w:vAlign w:val="center"/>
          </w:tcPr>
          <w:p>
            <w:pPr>
              <w:pStyle w:val="TableContents"/>
              <w:bidi w:val="0"/>
              <w:spacing w:before="0" w:after="283"/>
              <w:jc w:val="right"/>
              <w:rPr/>
            </w:pPr>
            <w:r>
              <w:rPr/>
              <w:t>45,119,214</w:t>
            </w:r>
          </w:p>
        </w:tc>
        <w:tc>
          <w:tcPr>
            <w:tcW w:w="170" w:type="dxa"/>
            <w:tcBorders/>
            <w:shd w:fill="CCEEFF" w:val="clear"/>
            <w:vAlign w:val="center"/>
          </w:tcPr>
          <w:p>
            <w:pPr>
              <w:pStyle w:val="TableContents"/>
              <w:bidi w:val="0"/>
              <w:spacing w:before="0" w:after="283"/>
              <w:jc w:val="left"/>
              <w:rPr/>
            </w:pPr>
            <w:r>
              <w:rPr/>
              <w:t> </w:t>
            </w:r>
          </w:p>
        </w:tc>
      </w:tr>
      <w:tr>
        <w:trPr/>
        <w:tc>
          <w:tcPr>
            <w:tcW w:w="319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Weighted average number of shares – diluted</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40,145,290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41,747,255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45,747,255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309" w:type="dxa"/>
            <w:tcBorders/>
            <w:vAlign w:val="center"/>
          </w:tcPr>
          <w:p>
            <w:pPr>
              <w:pStyle w:val="TableContents"/>
              <w:bidi w:val="0"/>
              <w:spacing w:before="0" w:after="283"/>
              <w:jc w:val="right"/>
              <w:rPr/>
            </w:pPr>
            <w:r>
              <w:rPr/>
              <w:t>46,134,231</w:t>
            </w:r>
          </w:p>
        </w:tc>
        <w:tc>
          <w:tcPr>
            <w:tcW w:w="17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(a)</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eliminates the impact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equity-based compensation expenses. Although we expect to incur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expenses as supplemental information.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(b)</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This adjustment mainly eliminates the impact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non-cash</w:t>
            </w:r>
          </w:p>
          <w:p>
            <w:pPr>
              <w:pStyle w:val="TableContents"/>
              <w:bidi w:val="0"/>
              <w:spacing w:before="0" w:after="0"/>
              <w:jc w:val="left"/>
              <w:rPr>
                <w:rFonts w:ascii="Times New Roman" w:hAnsi="Times New Roman"/>
                <w:sz w:val="20"/>
              </w:rPr>
            </w:pPr>
            <w:r>
              <w:rPr>
                <w:rFonts w:ascii="Times New Roman" w:hAnsi="Times New Roman"/>
                <w:sz w:val="20"/>
              </w:rPr>
              <w:t xml:space="preserve">gains or losses, which we cannot control. Additionally, we believe the isolation of this adjustment provides investors with enhanced comparability to prior and future periods of our operating performance results.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(c)</w:t>
            </w:r>
          </w:p>
        </w:tc>
        <w:tc>
          <w:tcPr>
            <w:tcW w:w="99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This adjustment eliminates the impact of gain or loss recognized in income on derivatives, which represents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(d)</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nine months ended September 30, 2023, this adjustment eliminates the termination related charges of $8.4 million in connection with the 2023 Voluntary Resignation Program that we offered and paid to certain employees during the first half of 2023, and $0.8 million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z w:val="20"/>
              </w:rPr>
            </w:pPr>
            <w:r>
              <w:rPr>
                <w:rFonts w:ascii="Times New Roman" w:hAnsi="Times New Roman"/>
                <w:sz w:val="20"/>
              </w:rPr>
              <w:t xml:space="preserve">employee incentives. For the three and nine months ended September 30, 2022, this adjustment eliminates $2.8 million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one-time</w:t>
            </w:r>
          </w:p>
          <w:p>
            <w:pPr>
              <w:pStyle w:val="TableContents"/>
              <w:bidi w:val="0"/>
              <w:spacing w:before="0" w:after="0"/>
              <w:jc w:val="left"/>
              <w:rPr>
                <w:rFonts w:ascii="Times New Roman" w:hAnsi="Times New Roman"/>
                <w:sz w:val="20"/>
              </w:rPr>
            </w:pPr>
            <w:r>
              <w:rPr>
                <w:rFonts w:ascii="Times New Roman" w:hAnsi="Times New Roman"/>
                <w:sz w:val="20"/>
              </w:rPr>
              <w:t xml:space="preserve">employee incentives, in each period, and professional service fees and expenses of $0.2 million and $1.0 million, respectively, incurred in connection with certain strategic evaluations, both of which were offset in part by a $0.5 million gain on sale of certain legacy equipment of the closed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back-end</w:t>
            </w:r>
          </w:p>
          <w:p>
            <w:pPr>
              <w:pStyle w:val="TableContents"/>
              <w:bidi w:val="0"/>
              <w:spacing w:before="0" w:after="0"/>
              <w:jc w:val="left"/>
              <w:rPr>
                <w:rFonts w:ascii="Times New Roman" w:hAnsi="Times New Roman"/>
                <w:sz w:val="20"/>
              </w:rPr>
            </w:pPr>
            <w:r>
              <w:rPr>
                <w:rFonts w:ascii="Times New Roman" w:hAnsi="Times New Roman"/>
                <w:sz w:val="20"/>
              </w:rPr>
              <w:t xml:space="preserve">line in our fabrication facility in Gumi. As this adjustment meaningfully impacted our operating results and are not expected to represent an ongoing operating expense or income to us, we believe our operating performance results are more usefully compared if this adjustment is excluded.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(e)</w:t>
            </w:r>
          </w:p>
        </w:tc>
        <w:tc>
          <w:tcPr>
            <w:tcW w:w="99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three and nine months ended September 30, 2023 and 2022, income tax effect 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non-GAAP</w:t>
            </w:r>
          </w:p>
          <w:p>
            <w:pPr>
              <w:pStyle w:val="TableContents"/>
              <w:bidi w:val="0"/>
              <w:spacing w:before="0" w:after="0"/>
              <w:jc w:val="left"/>
              <w:rPr>
                <w:rFonts w:ascii="Times New Roman" w:hAnsi="Times New Roman"/>
                <w:sz w:val="20"/>
              </w:rPr>
            </w:pPr>
            <w:r>
              <w:rPr>
                <w:rFonts w:ascii="Times New Roman" w:hAnsi="Times New Roman"/>
                <w:sz w:val="20"/>
              </w:rPr>
              <w:t xml:space="preserve">adjustments were calculated by calculating the tax benefit of each jurisdiction with or without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non-GAAP</w:t>
            </w:r>
          </w:p>
          <w:p>
            <w:pPr>
              <w:pStyle w:val="TableContents"/>
              <w:bidi w:val="0"/>
              <w:spacing w:before="0" w:after="0"/>
              <w:jc w:val="left"/>
              <w:rPr>
                <w:rFonts w:ascii="Times New Roman" w:hAnsi="Times New Roman"/>
                <w:sz w:val="20"/>
              </w:rPr>
            </w:pPr>
            <w:r>
              <w:rPr>
                <w:rFonts w:ascii="Times New Roman" w:hAnsi="Times New Roman"/>
                <w:sz w:val="20"/>
              </w:rPr>
              <w:t xml:space="preserve">adjustments. For the three and nine months ended September 30, 2023, this adjustment eliminates the income tax effect 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non-GAAP</w:t>
            </w:r>
          </w:p>
          <w:p>
            <w:pPr>
              <w:pStyle w:val="TableContents"/>
              <w:bidi w:val="0"/>
              <w:spacing w:before="0" w:after="0"/>
              <w:jc w:val="left"/>
              <w:rPr>
                <w:rFonts w:ascii="Times New Roman" w:hAnsi="Times New Roman"/>
                <w:sz w:val="20"/>
              </w:rPr>
            </w:pPr>
            <w:r>
              <w:rPr>
                <w:rFonts w:ascii="Times New Roman" w:hAnsi="Times New Roman"/>
                <w:sz w:val="20"/>
              </w:rPr>
              <w:t xml:space="preserve">adjustments of negative $1.3 million and negative $3.5 million, respectively, which mainly related to our Korean subsidiary. For the three and nine months ended September 30, 2022, this adjustment eliminates the income tax effect 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non-GAAP</w:t>
            </w:r>
          </w:p>
          <w:p>
            <w:pPr>
              <w:pStyle w:val="TableContents"/>
              <w:bidi w:val="0"/>
              <w:spacing w:before="0" w:after="0"/>
              <w:jc w:val="left"/>
              <w:rPr>
                <w:rFonts w:ascii="Times New Roman" w:hAnsi="Times New Roman"/>
                <w:sz w:val="20"/>
              </w:rPr>
            </w:pPr>
            <w:r>
              <w:rPr>
                <w:rFonts w:ascii="Times New Roman" w:hAnsi="Times New Roman"/>
                <w:sz w:val="20"/>
              </w:rPr>
              <w:t xml:space="preserve">adjustments of $2.3 million and $7.5 million, respectively, which mainly related to our Korean subsidiary.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believe that all adjustments to net loss used to calculate Adjusted Net Income (Loss) was applied consistently to the periods presented.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Adjusted Net Income (Loss) has limitations as an analytical tool, and you should not consider it in isolation, or as a substitute for analysis of our results as reported under U.S. GAAP. Some of these limitations are: </w:t>
      </w:r>
    </w:p>
    <w:p>
      <w:pPr>
        <w:pStyle w:val="TextBody"/>
        <w:bidi w:val="0"/>
        <w:spacing w:before="0" w:after="0"/>
        <w:jc w:val="left"/>
        <w:rPr>
          <w:spacing w:val="0"/>
        </w:rPr>
      </w:pPr>
      <w:r>
        <w:rPr>
          <w:spacing w:val="0"/>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Adjusted Net Income (Loss) does not reflect changes in, or cash requirements for, our working capital needs;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Adjusted Net Income (Loss) does not consider the potentially dilutive impact of issuing equity-based compensation to our management team and employees; </w:t>
            </w:r>
          </w:p>
        </w:tc>
      </w:tr>
    </w:tbl>
    <w:p>
      <w:pPr>
        <w:pStyle w:val="TextBody"/>
        <w:bidi w:val="0"/>
        <w:spacing w:before="0" w:after="0"/>
        <w:jc w:val="left"/>
        <w:rPr>
          <w:spacing w:val="0"/>
        </w:rPr>
      </w:pPr>
      <w:r>
        <w:rPr>
          <w:spacing w:val="0"/>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Adjusted Net Income (Loss) does not reflect the costs of holding certain assets and liabilities in foreign currencies; and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other companies in our industry may calculate Adjusted Net Income (Loss) differently than we do, limiting its usefulness as a comparative measure.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Because of these limitations, Adjusted Net Income (Loss) should not be considered as a measure of profitability of our business. We compensate for these limitations by relying primarily on our U.S. GAAP results and using Adjusted Net Income (Loss) only as a supplement.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Factors Affecting Our Results of Operations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Net</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Sales.</w:t>
      </w:r>
    </w:p>
    <w:p>
      <w:pPr>
        <w:pStyle w:val="TextBody"/>
        <w:bidi w:val="0"/>
        <w:spacing w:before="120" w:after="0"/>
        <w:jc w:val="left"/>
        <w:rPr>
          <w:rFonts w:ascii="Times New Roman" w:hAnsi="Times New Roman"/>
          <w:sz w:val="20"/>
        </w:rPr>
      </w:pPr>
      <w:r>
        <w:rPr>
          <w:rFonts w:ascii="Times New Roman" w:hAnsi="Times New Roman"/>
          <w:sz w:val="20"/>
        </w:rPr>
        <w:t xml:space="preserve">We derive substantially all of our sales (net of sales returns and allowances) from our standard products business. We outsource manufacturing of mobile OLED products to external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12-inch</w:t>
      </w:r>
    </w:p>
    <w:p>
      <w:pPr>
        <w:pStyle w:val="TextBody"/>
        <w:bidi w:val="0"/>
        <w:spacing w:before="120" w:after="0"/>
        <w:jc w:val="left"/>
        <w:rPr>
          <w:rFonts w:ascii="Times New Roman" w:hAnsi="Times New Roman"/>
          <w:sz w:val="20"/>
        </w:rPr>
      </w:pPr>
      <w:r>
        <w:rPr>
          <w:rFonts w:ascii="Times New Roman" w:hAnsi="Times New Roman"/>
          <w:sz w:val="20"/>
        </w:rPr>
        <w:t xml:space="preserve">foundries. Our product inventory is primarily located in Korea and is available for drop shipment globally. Outside of Korea, we maintain limited product inventory, and our sales representatives generally relay orders to our fabrication facility in Korea for fulfillment. We have strategically located our sales offices near concentrations of major customers. Our sales offices are located in Korea, Japan, Taiwan and Greater China. Our network of authorized agents and distributors is in the United States, Europe and the Asia Pacific region.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recognize revenue when a customer obtains control of the product, which is generally upon product shipment, delivery at the customer’s location or upon customer acceptance, depending on the terms of the arrangement. For the nine months ended September 30, 2023 and 2022, we sold products to 157 and 169 customers, respectively, and our net sales to our ten largest customers (which does not include the Transitional Fab 3 Foundry Services) represented 70% of our net sales—standard products business, in each period.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are currently in the process of winding down the Transitional Fab 3 Foundry Services, which represented 15.7% and 13.8% of our total revenues for the three and nine months ended September 30, 2023, respectively.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Gross Profit.</w:t>
      </w:r>
    </w:p>
    <w:p>
      <w:pPr>
        <w:pStyle w:val="TextBody"/>
        <w:bidi w:val="0"/>
        <w:spacing w:before="240" w:after="0"/>
        <w:jc w:val="left"/>
        <w:rPr>
          <w:rFonts w:ascii="Times New Roman" w:hAnsi="Times New Roman"/>
          <w:sz w:val="20"/>
        </w:rPr>
      </w:pPr>
      <w:r>
        <w:rPr>
          <w:rFonts w:ascii="Times New Roman" w:hAnsi="Times New Roman"/>
          <w:sz w:val="20"/>
        </w:rPr>
        <w:t xml:space="preserve">Our overall gross profit generally fluctuates as a result of changes in overall sales volumes and in the average selling prices of our products and services. Other factors that influence our gross profit include changes in product mix, the introduction of new products and services and subsequent generations of existing products and services, shifts in the utilization of our manufacturing facility and the yields achieved by our manufacturing operations, changes in material, labor and other manufacturing costs including outsourced manufacturing expenses, and variation in depreciation expense.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Average</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Selling</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Prices.</w:t>
      </w:r>
    </w:p>
    <w:p>
      <w:pPr>
        <w:pStyle w:val="TextBody"/>
        <w:bidi w:val="0"/>
        <w:spacing w:before="240" w:after="0"/>
        <w:jc w:val="left"/>
        <w:rPr>
          <w:rFonts w:ascii="Times New Roman" w:hAnsi="Times New Roman"/>
          <w:sz w:val="20"/>
        </w:rPr>
      </w:pPr>
      <w:r>
        <w:rPr>
          <w:rFonts w:ascii="Times New Roman" w:hAnsi="Times New Roman"/>
          <w:sz w:val="20"/>
        </w:rPr>
        <w:t xml:space="preserve">Average selling prices for our products tend to be highest at the time of introduction of new products which utilize the latest 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Material Costs.</w:t>
      </w:r>
    </w:p>
    <w:p>
      <w:pPr>
        <w:pStyle w:val="TextBody"/>
        <w:bidi w:val="0"/>
        <w:spacing w:before="240" w:after="0"/>
        <w:jc w:val="left"/>
        <w:rPr>
          <w:rFonts w:ascii="Times New Roman" w:hAnsi="Times New Roman"/>
          <w:sz w:val="20"/>
        </w:rPr>
      </w:pPr>
      <w:r>
        <w:rPr>
          <w:rFonts w:ascii="Times New Roman" w:hAnsi="Times New Roman"/>
          <w:sz w:val="20"/>
        </w:rPr>
        <w:t xml:space="preserve">Our material costs consist of costs of raw materials, such as silicon wafers, chemicals, gases and tape and packaging supplies. We use processes that require specialized raw materials, such as silicon wafers, that are generally available from a limited number of suppliers. If demand increases or supplies decrease, the costs of our raw materials could increase significantly.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Labor</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Costs.</w:t>
      </w:r>
    </w:p>
    <w:p>
      <w:pPr>
        <w:pStyle w:val="TextBody"/>
        <w:bidi w:val="0"/>
        <w:spacing w:before="240" w:after="0"/>
        <w:jc w:val="left"/>
        <w:rPr>
          <w:rFonts w:ascii="Times New Roman" w:hAnsi="Times New Roman"/>
          <w:sz w:val="20"/>
        </w:rPr>
      </w:pPr>
      <w:r>
        <w:rPr>
          <w:rFonts w:ascii="Times New Roman" w:hAnsi="Times New Roman"/>
          <w:sz w:val="20"/>
        </w:rPr>
        <w:t xml:space="preserve">A significant portion of our employees are located in Korea. Under Korean labor laws, most employees and certain executive officers with one or more years of service are entitled to severance benefits upon the termination of their employment based on their length of service and rate of pay. As of September 30, 2023, approximately 97% of our employees were eligible for severance benefits.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Depreciation Expense.</w:t>
      </w:r>
    </w:p>
    <w:p>
      <w:pPr>
        <w:pStyle w:val="TextBody"/>
        <w:bidi w:val="0"/>
        <w:spacing w:before="240" w:after="0"/>
        <w:jc w:val="left"/>
        <w:rPr>
          <w:rFonts w:ascii="Times New Roman" w:hAnsi="Times New Roman"/>
          <w:sz w:val="20"/>
        </w:rPr>
      </w:pPr>
      <w:r>
        <w:rPr>
          <w:rFonts w:ascii="Times New Roman" w:hAnsi="Times New Roman"/>
          <w:sz w:val="20"/>
        </w:rPr>
        <w:t xml:space="preserve">We periodically evaluate the carrying values of long-lived assets, including property, plant and equipment and intangible assets, as well as the related depreciation periods. We depreciated our property, plant and equipment using the straight-line method over the estimated useful lives of our assets. Depreciation rates vary from </w:t>
      </w:r>
    </w:p>
    <w:p>
      <w:pPr>
        <w:pStyle w:val="TextBody"/>
        <w:bidi w:val="0"/>
        <w:spacing w:before="240" w:after="0"/>
        <w:jc w:val="left"/>
        <w:rPr>
          <w:rFonts w:ascii="Times New Roman" w:hAnsi="Times New Roman"/>
          <w:spacing w:val="0"/>
          <w:sz w:val="20"/>
        </w:rPr>
      </w:pPr>
      <w:r>
        <w:rPr>
          <w:rFonts w:ascii="Times New Roman" w:hAnsi="Times New Roman"/>
          <w:spacing w:val="0"/>
          <w:sz w:val="20"/>
        </w:rPr>
        <w:t>30-40</w:t>
      </w:r>
    </w:p>
    <w:p>
      <w:pPr>
        <w:pStyle w:val="TextBody"/>
        <w:bidi w:val="0"/>
        <w:spacing w:before="240" w:after="0"/>
        <w:jc w:val="left"/>
        <w:rPr>
          <w:rFonts w:ascii="Times New Roman" w:hAnsi="Times New Roman"/>
          <w:sz w:val="20"/>
        </w:rPr>
      </w:pPr>
      <w:r>
        <w:rPr>
          <w:rFonts w:ascii="Times New Roman" w:hAnsi="Times New Roman"/>
          <w:sz w:val="20"/>
        </w:rPr>
        <w:t>years on buildings to 3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Selling</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Expenses.</w:t>
      </w:r>
    </w:p>
    <w:p>
      <w:pPr>
        <w:pStyle w:val="TextBody"/>
        <w:bidi w:val="0"/>
        <w:spacing w:before="240" w:after="0"/>
        <w:jc w:val="left"/>
        <w:rPr>
          <w:rFonts w:ascii="Times New Roman" w:hAnsi="Times New Roman"/>
          <w:sz w:val="20"/>
        </w:rPr>
      </w:pPr>
      <w:r>
        <w:rPr>
          <w:rFonts w:ascii="Times New Roman" w:hAnsi="Times New Roman"/>
          <w:sz w:val="20"/>
        </w:rPr>
        <w:t xml:space="preserve">We sell our products worldwide through a direct sales force as well as a network of sales agents and representatives to OEMs, including 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General</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and</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Administrative</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Expenses.</w:t>
      </w:r>
    </w:p>
    <w:p>
      <w:pPr>
        <w:pStyle w:val="TextBody"/>
        <w:bidi w:val="0"/>
        <w:spacing w:before="240" w:after="0"/>
        <w:jc w:val="left"/>
        <w:rPr>
          <w:rFonts w:ascii="Times New Roman" w:hAnsi="Times New Roman"/>
          <w:sz w:val="20"/>
        </w:rPr>
      </w:pPr>
      <w:r>
        <w:rPr>
          <w:rFonts w:ascii="Times New Roman" w:hAnsi="Times New Roman"/>
          <w:sz w:val="20"/>
        </w:rPr>
        <w:t xml:space="preserve">General and administrative expenses consist of the costs of various corporate operations, including finance, legal, human resources and other administrative functions. These expenses primarily consist of payroll-related expenses, consulting and other professional fees and office facility-related expenses.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Research</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and</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Development.</w:t>
      </w:r>
    </w:p>
    <w:p>
      <w:pPr>
        <w:pStyle w:val="TextBody"/>
        <w:bidi w:val="0"/>
        <w:spacing w:before="240" w:after="0"/>
        <w:jc w:val="left"/>
        <w:rPr>
          <w:rFonts w:ascii="Times New Roman" w:hAnsi="Times New Roman"/>
          <w:sz w:val="20"/>
        </w:rPr>
      </w:pPr>
      <w:r>
        <w:rPr>
          <w:rFonts w:ascii="Times New Roman" w:hAnsi="Times New Roman"/>
          <w:sz w:val="20"/>
        </w:rPr>
        <w:t xml:space="preserve">The rapid technological change and product obsolescence that characterize our industry require us to make continuous 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non-recurring</w:t>
      </w:r>
    </w:p>
    <w:p>
      <w:pPr>
        <w:pStyle w:val="TextBody"/>
        <w:bidi w:val="0"/>
        <w:spacing w:before="240" w:after="0"/>
        <w:jc w:val="left"/>
        <w:rPr>
          <w:rFonts w:ascii="Times New Roman" w:hAnsi="Times New Roman"/>
          <w:sz w:val="20"/>
        </w:rPr>
      </w:pPr>
      <w:r>
        <w:rPr>
          <w:rFonts w:ascii="Times New Roman" w:hAnsi="Times New Roman"/>
          <w:sz w:val="20"/>
        </w:rPr>
        <w:t xml:space="preserve">engineering charges related to product design. Additionally, we develop base line process technology through experimentation and through the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design and use of characterization wafers that help achieve commercially feasible yields for new products. The majority of research and development expenses of our display business are material and design-related costs for OLED display driver IC product development involving </w:t>
      </w:r>
    </w:p>
    <w:p>
      <w:pPr>
        <w:pStyle w:val="TextBody"/>
        <w:bidi w:val="0"/>
        <w:spacing w:before="0" w:after="0"/>
        <w:jc w:val="left"/>
        <w:rPr>
          <w:rFonts w:ascii="Times New Roman" w:hAnsi="Times New Roman"/>
          <w:spacing w:val="0"/>
          <w:sz w:val="20"/>
        </w:rPr>
      </w:pPr>
      <w:r>
        <w:rPr>
          <w:rFonts w:ascii="Times New Roman" w:hAnsi="Times New Roman"/>
          <w:spacing w:val="0"/>
          <w:sz w:val="20"/>
        </w:rPr>
        <w:t>28-nanometer</w:t>
      </w:r>
    </w:p>
    <w:p>
      <w:pPr>
        <w:pStyle w:val="TextBody"/>
        <w:bidi w:val="0"/>
        <w:spacing w:before="0" w:after="0"/>
        <w:jc w:val="left"/>
        <w:rPr>
          <w:rFonts w:ascii="Times New Roman" w:hAnsi="Times New Roman"/>
          <w:sz w:val="20"/>
        </w:rPr>
      </w:pPr>
      <w:r>
        <w:rPr>
          <w:rFonts w:ascii="Times New Roman" w:hAnsi="Times New Roman"/>
          <w:sz w:val="20"/>
        </w:rPr>
        <w:t xml:space="preserve">or finer processes. The majority of research and development expenses of our power business are certain equipment, material and design-related costs for power discrete products and material and design-related costs for power IC products. Power IC uses standard BCD process technologies which can be sourced from multiple foundries.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Impact of Foreign Currency Exchange Rates on Reported Results of Operations.</w:t>
      </w:r>
    </w:p>
    <w:p>
      <w:pPr>
        <w:pStyle w:val="TextBody"/>
        <w:bidi w:val="0"/>
        <w:spacing w:before="240" w:after="0"/>
        <w:jc w:val="left"/>
        <w:rPr>
          <w:rFonts w:ascii="Times New Roman" w:hAnsi="Times New Roman"/>
          <w:sz w:val="20"/>
        </w:rPr>
      </w:pPr>
      <w:r>
        <w:rPr>
          <w:rFonts w:ascii="Times New Roman" w:hAnsi="Times New Roman"/>
          <w:sz w:val="20"/>
        </w:rPr>
        <w:t xml:space="preserve">Historically, a portion of our revenues and cost of sales and greater than the majority of our operating expenses have been denominated in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currencies, principally the Korean won, and we expect that this will remain true in the future. Because we report our results of operations in U.S. dollars converted from our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translation gain or loss is associated with the intercompany long-term loans to our Korean subsidiary, which is denominated in U.S. dollars. As of September 30, 2023, the outstanding intercompany loan balance including accrued interest between our Korean subsidiary and our Dutch subsidiary was $281.7 million.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From time to time, we may engage in exchange rate hedging activities in an effort to mitigate the impact of exchange rate fluctuations. Our Korean subsidiary enters into foreign currency zero cost collar contracts in order to mitigate a portion of the impact of U.S. dollar-Korean won exchange rate fluctuations on our operating results. Obligations under these foreign currency zero cost collar contracts must be cash collateralized if our exposure exceeds certain specified thresholds. These zero cost collar contracts may be terminated by a counterparty in a number of circumstances, including if our total cash and cash 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Foreign Currency Gain or Loss.</w:t>
      </w:r>
    </w:p>
    <w:p>
      <w:pPr>
        <w:pStyle w:val="TextBody"/>
        <w:bidi w:val="0"/>
        <w:spacing w:before="240" w:after="0"/>
        <w:jc w:val="left"/>
        <w:rPr>
          <w:rFonts w:ascii="Times New Roman" w:hAnsi="Times New Roman"/>
          <w:sz w:val="20"/>
        </w:rPr>
      </w:pPr>
      <w:r>
        <w:rPr>
          <w:rFonts w:ascii="Times New Roman" w:hAnsi="Times New Roman"/>
          <w:sz w:val="20"/>
        </w:rPr>
        <w:t xml:space="preserve">Foreign currency translation gains or losses on transactions by us or our subsidiaries in a currency other than our or our subsidiaries’ functional currency are included in foreign currency gain (loss), net in our statements of operations. A substantial portion of this net foreign currency gain or loss relates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translation gain or loss related to the principal balance of intercompany balances at our Korean subsidiary that are denominated in U.S. dollars. This gain or loss results from fluctuations in the exchange rate between the Korean won and U.S. dollar.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Income Taxes.</w:t>
      </w:r>
    </w:p>
    <w:p>
      <w:pPr>
        <w:pStyle w:val="TextBody"/>
        <w:bidi w:val="0"/>
        <w:spacing w:before="240" w:after="0"/>
        <w:jc w:val="left"/>
        <w:rPr>
          <w:rFonts w:ascii="Times New Roman" w:hAnsi="Times New Roman"/>
          <w:sz w:val="20"/>
        </w:rPr>
      </w:pPr>
      <w:r>
        <w:rPr>
          <w:rFonts w:ascii="Times New Roman" w:hAnsi="Times New Roman"/>
          <w:sz w:val="20"/>
        </w:rPr>
        <w:t xml:space="preserve">We record our income taxes in each of the tax jurisdictions in which we operate. This process involves using an asset and liability approach whereby deferred tax assets and liabilities are recorded for differences in the financial reporting bases and tax basis of our assets and liabilities. We exercise significant management judgment in determining our provision for income taxes, deferred tax assets and liabilities. We assess whether it is more likely than not that the deferred tax assets existing at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period-end</w:t>
      </w:r>
    </w:p>
    <w:p>
      <w:pPr>
        <w:pStyle w:val="TextBody"/>
        <w:bidi w:val="0"/>
        <w:spacing w:before="240" w:after="0"/>
        <w:jc w:val="left"/>
        <w:rPr>
          <w:rFonts w:ascii="Times New Roman" w:hAnsi="Times New Roman"/>
          <w:sz w:val="20"/>
        </w:rPr>
      </w:pPr>
      <w:r>
        <w:rPr>
          <w:rFonts w:ascii="Times New Roman" w:hAnsi="Times New Roman"/>
          <w:sz w:val="20"/>
        </w:rPr>
        <w:t xml:space="preserve">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income- 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non-income-based</w:t>
      </w:r>
    </w:p>
    <w:p>
      <w:pPr>
        <w:pStyle w:val="TextBody"/>
        <w:bidi w:val="0"/>
        <w:spacing w:before="240" w:after="0"/>
        <w:jc w:val="left"/>
        <w:rPr>
          <w:rFonts w:ascii="Times New Roman" w:hAnsi="Times New Roman"/>
          <w:sz w:val="20"/>
        </w:rPr>
      </w:pPr>
      <w:r>
        <w:rPr>
          <w:rFonts w:ascii="Times New Roman" w:hAnsi="Times New Roman"/>
          <w:sz w:val="20"/>
        </w:rPr>
        <w:t xml:space="preserve">tax examinations by tax authorities of the U.S., Korea and multiple other foreign jurisdictions for all open tax years. Significant estimates and judgments are required in determining our worldwide provision for income- 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non-income</w:t>
      </w:r>
    </w:p>
    <w:p>
      <w:pPr>
        <w:pStyle w:val="TextBody"/>
        <w:bidi w:val="0"/>
        <w:spacing w:before="240" w:after="0"/>
        <w:jc w:val="left"/>
        <w:rPr>
          <w:rFonts w:ascii="Times New Roman" w:hAnsi="Times New Roman"/>
          <w:sz w:val="20"/>
        </w:rPr>
      </w:pPr>
      <w:r>
        <w:rPr>
          <w:rFonts w:ascii="Times New Roman" w:hAnsi="Times New Roman"/>
          <w:sz w:val="20"/>
        </w:rPr>
        <w:t xml:space="preserve">based taxes. Some of these estimates are based on interpretations of existing tax laws or regulations. The ultimate amount of tax liability may be uncertain as a result.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Capital</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Expenditures.</w:t>
      </w:r>
    </w:p>
    <w:p>
      <w:pPr>
        <w:pStyle w:val="TextBody"/>
        <w:bidi w:val="0"/>
        <w:spacing w:before="240" w:after="0"/>
        <w:jc w:val="left"/>
        <w:rPr>
          <w:rFonts w:ascii="Times New Roman" w:hAnsi="Times New Roman"/>
          <w:sz w:val="20"/>
        </w:rPr>
      </w:pPr>
      <w:r>
        <w:rPr>
          <w:rFonts w:ascii="Times New Roman" w:hAnsi="Times New Roman"/>
          <w:sz w:val="20"/>
        </w:rPr>
        <w:t xml:space="preserve">We primarily invest in manufacturing equipment, software design tools and other tangible assets mainly for fabrication facility 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Inventories.</w:t>
      </w:r>
    </w:p>
    <w:p>
      <w:pPr>
        <w:pStyle w:val="TextBody"/>
        <w:bidi w:val="0"/>
        <w:spacing w:before="0" w:after="0"/>
        <w:jc w:val="left"/>
        <w:rPr>
          <w:rFonts w:ascii="Times New Roman" w:hAnsi="Times New Roman"/>
          <w:sz w:val="20"/>
        </w:rPr>
      </w:pPr>
      <w:r>
        <w:rPr>
          <w:rFonts w:ascii="Times New Roman" w:hAnsi="Times New Roman"/>
          <w:sz w:val="20"/>
        </w:rPr>
        <w:t xml:space="preserve">We monitor our inventory levels in light of product development changes and market expectations. We may be required to take additional 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Results of Operations – Comparison of Three Months Ended September 30, 2023 and 2022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sets forth consolidated results of operations for the three months ended September 30, 2023 and 2022: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032"/>
        <w:gridCol w:w="120"/>
        <w:gridCol w:w="207"/>
        <w:gridCol w:w="653"/>
        <w:gridCol w:w="162"/>
        <w:gridCol w:w="62"/>
        <w:gridCol w:w="154"/>
        <w:gridCol w:w="1441"/>
        <w:gridCol w:w="275"/>
        <w:gridCol w:w="60"/>
        <w:gridCol w:w="183"/>
        <w:gridCol w:w="677"/>
        <w:gridCol w:w="156"/>
        <w:gridCol w:w="60"/>
        <w:gridCol w:w="154"/>
        <w:gridCol w:w="1441"/>
        <w:gridCol w:w="275"/>
        <w:gridCol w:w="60"/>
        <w:gridCol w:w="183"/>
        <w:gridCol w:w="677"/>
        <w:gridCol w:w="173"/>
      </w:tblGrid>
      <w:tr>
        <w:trPr/>
        <w:tc>
          <w:tcPr>
            <w:tcW w:w="30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03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79" w:type="dxa"/>
            <w:gridSpan w:val="6"/>
            <w:tcBorders/>
            <w:vAlign w:val="center"/>
          </w:tcPr>
          <w:p>
            <w:pPr>
              <w:pStyle w:val="TableContents"/>
              <w:bidi w:val="0"/>
              <w:spacing w:before="0" w:after="0"/>
              <w:jc w:val="center"/>
              <w:rPr>
                <w:b/>
                <w:spacing w:val="0"/>
                <w:sz w:val="16"/>
              </w:rPr>
            </w:pPr>
            <w:r>
              <w:rPr>
                <w:b/>
                <w:spacing w:val="0"/>
                <w:sz w:val="16"/>
              </w:rPr>
              <w:t>Three Months Ended</w:t>
              <w:br/>
              <w:t>September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1" w:type="dxa"/>
            <w:gridSpan w:val="6"/>
            <w:tcBorders/>
            <w:vAlign w:val="center"/>
          </w:tcPr>
          <w:p>
            <w:pPr>
              <w:pStyle w:val="TableContents"/>
              <w:bidi w:val="0"/>
              <w:spacing w:before="0" w:after="0"/>
              <w:jc w:val="center"/>
              <w:rPr>
                <w:b/>
                <w:spacing w:val="0"/>
                <w:sz w:val="16"/>
              </w:rPr>
            </w:pPr>
            <w:r>
              <w:rPr>
                <w:b/>
                <w:spacing w:val="0"/>
                <w:sz w:val="16"/>
              </w:rPr>
              <w:t>Three Months Ended</w:t>
              <w:br/>
              <w:t>September 30, 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303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1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0"/>
              <w:jc w:val="center"/>
              <w:rPr>
                <w:b/>
                <w:spacing w:val="0"/>
              </w:rPr>
            </w:pPr>
            <w:r>
              <w:rPr>
                <w:b/>
                <w:spacing w:val="0"/>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0"/>
              <w:jc w:val="center"/>
              <w:rPr>
                <w:b/>
                <w:spacing w:val="0"/>
              </w:rPr>
            </w:pPr>
            <w:r>
              <w:rPr>
                <w:b/>
                <w:spacing w:val="0"/>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Change</w:t>
              <w:br/>
              <w:t>Amount</w:t>
            </w:r>
          </w:p>
        </w:tc>
        <w:tc>
          <w:tcPr>
            <w:tcW w:w="173" w:type="dxa"/>
            <w:tcBorders/>
            <w:vAlign w:val="center"/>
          </w:tcPr>
          <w:p>
            <w:pPr>
              <w:pStyle w:val="TableContents"/>
              <w:bidi w:val="0"/>
              <w:spacing w:before="0" w:after="283"/>
              <w:jc w:val="left"/>
              <w:rPr/>
            </w:pPr>
            <w:r>
              <w:rPr/>
              <w:t> </w:t>
            </w:r>
          </w:p>
        </w:tc>
      </w:tr>
      <w:tr>
        <w:trPr/>
        <w:tc>
          <w:tcPr>
            <w:tcW w:w="303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303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80" w:type="dxa"/>
            <w:gridSpan w:val="18"/>
            <w:tcBorders/>
            <w:vAlign w:val="center"/>
          </w:tcPr>
          <w:p>
            <w:pPr>
              <w:pStyle w:val="TableContents"/>
              <w:bidi w:val="0"/>
              <w:spacing w:before="0" w:after="0"/>
              <w:jc w:val="center"/>
              <w:rPr>
                <w:b/>
                <w:spacing w:val="0"/>
              </w:rPr>
            </w:pPr>
            <w:r>
              <w:rPr>
                <w:b/>
                <w:spacing w:val="0"/>
              </w:rPr>
              <w:t>(Dollars in millions)</w:t>
            </w:r>
          </w:p>
        </w:tc>
        <w:tc>
          <w:tcPr>
            <w:tcW w:w="173" w:type="dxa"/>
            <w:tcBorders/>
            <w:vAlign w:val="center"/>
          </w:tcPr>
          <w:p>
            <w:pPr>
              <w:pStyle w:val="TableContents"/>
              <w:bidi w:val="0"/>
              <w:spacing w:before="0" w:after="283"/>
              <w:jc w:val="left"/>
              <w:rPr/>
            </w:pPr>
            <w:r>
              <w:rPr/>
              <w:t> </w:t>
            </w:r>
          </w:p>
        </w:tc>
      </w:tr>
      <w:tr>
        <w:trPr/>
        <w:tc>
          <w:tcPr>
            <w:tcW w:w="3032"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653" w:type="dxa"/>
            <w:tcBorders/>
            <w:shd w:fill="CCEEFF" w:val="clear"/>
            <w:vAlign w:val="center"/>
          </w:tcPr>
          <w:p>
            <w:pPr>
              <w:pStyle w:val="TableContents"/>
              <w:bidi w:val="0"/>
              <w:spacing w:before="0" w:after="283"/>
              <w:jc w:val="left"/>
              <w:rPr>
                <w:sz w:val="4"/>
                <w:szCs w:val="4"/>
              </w:rPr>
            </w:pPr>
            <w:r>
              <w:rPr>
                <w:sz w:val="4"/>
                <w:szCs w:val="4"/>
              </w:rPr>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3032"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sales – standard products business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653" w:type="dxa"/>
            <w:tcBorders/>
            <w:vAlign w:val="center"/>
          </w:tcPr>
          <w:p>
            <w:pPr>
              <w:pStyle w:val="TableContents"/>
              <w:bidi w:val="0"/>
              <w:spacing w:before="0" w:after="283"/>
              <w:jc w:val="right"/>
              <w:rPr/>
            </w:pPr>
            <w:r>
              <w:rPr/>
              <w:t>51.6</w:t>
            </w:r>
          </w:p>
        </w:tc>
        <w:tc>
          <w:tcPr>
            <w:tcW w:w="1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84.3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677" w:type="dxa"/>
            <w:tcBorders/>
            <w:vAlign w:val="center"/>
          </w:tcPr>
          <w:p>
            <w:pPr>
              <w:pStyle w:val="TableContents"/>
              <w:bidi w:val="0"/>
              <w:spacing w:before="0" w:after="283"/>
              <w:jc w:val="right"/>
              <w:rPr/>
            </w:pPr>
            <w:r>
              <w:rPr/>
              <w:t>62.8</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88.2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677" w:type="dxa"/>
            <w:tcBorders/>
            <w:vAlign w:val="center"/>
          </w:tcPr>
          <w:p>
            <w:pPr>
              <w:pStyle w:val="TableContents"/>
              <w:bidi w:val="0"/>
              <w:spacing w:before="0" w:after="283"/>
              <w:jc w:val="right"/>
              <w:rPr/>
            </w:pPr>
            <w:r>
              <w:rPr/>
              <w:t>(11.2</w:t>
            </w:r>
          </w:p>
        </w:tc>
        <w:tc>
          <w:tcPr>
            <w:tcW w:w="173" w:type="dxa"/>
            <w:tcBorders/>
            <w:vAlign w:val="center"/>
          </w:tcPr>
          <w:p>
            <w:pPr>
              <w:pStyle w:val="TableContents"/>
              <w:bidi w:val="0"/>
              <w:spacing w:before="0" w:after="283"/>
              <w:jc w:val="left"/>
              <w:rPr/>
            </w:pPr>
            <w:r>
              <w:rPr/>
              <w:t>) </w:t>
            </w:r>
          </w:p>
        </w:tc>
      </w:tr>
      <w:tr>
        <w:trPr/>
        <w:tc>
          <w:tcPr>
            <w:tcW w:w="3032"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9.6</w:t>
            </w:r>
          </w:p>
        </w:tc>
        <w:tc>
          <w:tcPr>
            <w:tcW w:w="1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15.7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8.4</w:t>
            </w:r>
          </w:p>
        </w:tc>
        <w:tc>
          <w:tcPr>
            <w:tcW w:w="1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1.2</w:t>
            </w:r>
          </w:p>
        </w:tc>
        <w:tc>
          <w:tcPr>
            <w:tcW w:w="173" w:type="dxa"/>
            <w:tcBorders/>
            <w:shd w:fill="CCEEFF" w:val="clear"/>
            <w:vAlign w:val="center"/>
          </w:tcPr>
          <w:p>
            <w:pPr>
              <w:pStyle w:val="TableContents"/>
              <w:bidi w:val="0"/>
              <w:spacing w:before="0" w:after="283"/>
              <w:jc w:val="left"/>
              <w:rPr/>
            </w:pPr>
            <w:r>
              <w:rPr/>
              <w:t> </w:t>
            </w:r>
          </w:p>
        </w:tc>
      </w:tr>
      <w:tr>
        <w:trPr/>
        <w:tc>
          <w:tcPr>
            <w:tcW w:w="30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3032"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revenues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61.2</w:t>
            </w:r>
          </w:p>
        </w:tc>
        <w:tc>
          <w:tcPr>
            <w:tcW w:w="1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71.2</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(10.0</w:t>
            </w:r>
          </w:p>
        </w:tc>
        <w:tc>
          <w:tcPr>
            <w:tcW w:w="173" w:type="dxa"/>
            <w:tcBorders/>
            <w:vAlign w:val="center"/>
          </w:tcPr>
          <w:p>
            <w:pPr>
              <w:pStyle w:val="TableContents"/>
              <w:bidi w:val="0"/>
              <w:spacing w:before="0" w:after="283"/>
              <w:jc w:val="left"/>
              <w:rPr/>
            </w:pPr>
            <w:r>
              <w:rPr/>
              <w:t>) </w:t>
            </w:r>
          </w:p>
        </w:tc>
      </w:tr>
      <w:tr>
        <w:trPr/>
        <w:tc>
          <w:tcPr>
            <w:tcW w:w="3032"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of sales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653" w:type="dxa"/>
            <w:tcBorders/>
            <w:shd w:fill="CCEEFF" w:val="clear"/>
            <w:vAlign w:val="center"/>
          </w:tcPr>
          <w:p>
            <w:pPr>
              <w:pStyle w:val="TableContents"/>
              <w:bidi w:val="0"/>
              <w:spacing w:before="0" w:after="283"/>
              <w:jc w:val="left"/>
              <w:rPr>
                <w:sz w:val="4"/>
                <w:szCs w:val="4"/>
              </w:rPr>
            </w:pPr>
            <w:r>
              <w:rPr>
                <w:sz w:val="4"/>
                <w:szCs w:val="4"/>
              </w:rPr>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5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3032"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of sales – standard products business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36.8</w:t>
            </w:r>
          </w:p>
        </w:tc>
        <w:tc>
          <w:tcPr>
            <w:tcW w:w="1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60.1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45.5</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63.9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(8.7</w:t>
            </w:r>
          </w:p>
        </w:tc>
        <w:tc>
          <w:tcPr>
            <w:tcW w:w="173" w:type="dxa"/>
            <w:tcBorders/>
            <w:vAlign w:val="center"/>
          </w:tcPr>
          <w:p>
            <w:pPr>
              <w:pStyle w:val="TableContents"/>
              <w:bidi w:val="0"/>
              <w:spacing w:before="0" w:after="283"/>
              <w:jc w:val="left"/>
              <w:rPr/>
            </w:pPr>
            <w:r>
              <w:rPr/>
              <w:t>) </w:t>
            </w:r>
          </w:p>
        </w:tc>
      </w:tr>
      <w:tr>
        <w:trPr/>
        <w:tc>
          <w:tcPr>
            <w:tcW w:w="3032"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of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9.9</w:t>
            </w:r>
          </w:p>
        </w:tc>
        <w:tc>
          <w:tcPr>
            <w:tcW w:w="1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16.2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8.5</w:t>
            </w:r>
          </w:p>
        </w:tc>
        <w:tc>
          <w:tcPr>
            <w:tcW w:w="1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11.9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1.5</w:t>
            </w:r>
          </w:p>
        </w:tc>
        <w:tc>
          <w:tcPr>
            <w:tcW w:w="173" w:type="dxa"/>
            <w:tcBorders/>
            <w:shd w:fill="CCEEFF" w:val="clear"/>
            <w:vAlign w:val="center"/>
          </w:tcPr>
          <w:p>
            <w:pPr>
              <w:pStyle w:val="TableContents"/>
              <w:bidi w:val="0"/>
              <w:spacing w:before="0" w:after="283"/>
              <w:jc w:val="left"/>
              <w:rPr/>
            </w:pPr>
            <w:r>
              <w:rPr/>
              <w:t> </w:t>
            </w:r>
          </w:p>
        </w:tc>
      </w:tr>
      <w:tr>
        <w:trPr/>
        <w:tc>
          <w:tcPr>
            <w:tcW w:w="30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3032"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cost of sales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46.8</w:t>
            </w:r>
          </w:p>
        </w:tc>
        <w:tc>
          <w:tcPr>
            <w:tcW w:w="1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76.4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54.0</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75.8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(7.2</w:t>
            </w:r>
          </w:p>
        </w:tc>
        <w:tc>
          <w:tcPr>
            <w:tcW w:w="173" w:type="dxa"/>
            <w:tcBorders/>
            <w:vAlign w:val="center"/>
          </w:tcPr>
          <w:p>
            <w:pPr>
              <w:pStyle w:val="TableContents"/>
              <w:bidi w:val="0"/>
              <w:spacing w:before="0" w:after="283"/>
              <w:jc w:val="left"/>
              <w:rPr/>
            </w:pPr>
            <w:r>
              <w:rPr/>
              <w:t>) </w:t>
            </w:r>
          </w:p>
        </w:tc>
      </w:tr>
      <w:tr>
        <w:trPr/>
        <w:tc>
          <w:tcPr>
            <w:tcW w:w="30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3032"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Gross profit</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14.5</w:t>
            </w:r>
          </w:p>
        </w:tc>
        <w:tc>
          <w:tcPr>
            <w:tcW w:w="1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23.6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17.2</w:t>
            </w:r>
          </w:p>
        </w:tc>
        <w:tc>
          <w:tcPr>
            <w:tcW w:w="1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24.2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(2.7</w:t>
            </w:r>
          </w:p>
        </w:tc>
        <w:tc>
          <w:tcPr>
            <w:tcW w:w="173" w:type="dxa"/>
            <w:tcBorders/>
            <w:shd w:fill="CCEEFF" w:val="clear"/>
            <w:vAlign w:val="center"/>
          </w:tcPr>
          <w:p>
            <w:pPr>
              <w:pStyle w:val="TableContents"/>
              <w:bidi w:val="0"/>
              <w:spacing w:before="0" w:after="283"/>
              <w:jc w:val="left"/>
              <w:rPr/>
            </w:pPr>
            <w:r>
              <w:rPr/>
              <w:t>) </w:t>
            </w:r>
          </w:p>
        </w:tc>
      </w:tr>
      <w:tr>
        <w:trPr/>
        <w:tc>
          <w:tcPr>
            <w:tcW w:w="3032"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Selling, general and administrative expenses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12.1</w:t>
            </w:r>
          </w:p>
        </w:tc>
        <w:tc>
          <w:tcPr>
            <w:tcW w:w="1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19.7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11.4</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16.0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0.7</w:t>
            </w:r>
          </w:p>
        </w:tc>
        <w:tc>
          <w:tcPr>
            <w:tcW w:w="173" w:type="dxa"/>
            <w:tcBorders/>
            <w:vAlign w:val="center"/>
          </w:tcPr>
          <w:p>
            <w:pPr>
              <w:pStyle w:val="TableContents"/>
              <w:bidi w:val="0"/>
              <w:spacing w:before="0" w:after="283"/>
              <w:jc w:val="left"/>
              <w:rPr/>
            </w:pPr>
            <w:r>
              <w:rPr/>
              <w:t> </w:t>
            </w:r>
          </w:p>
        </w:tc>
      </w:tr>
      <w:tr>
        <w:trPr/>
        <w:tc>
          <w:tcPr>
            <w:tcW w:w="3032"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11.6</w:t>
            </w:r>
          </w:p>
        </w:tc>
        <w:tc>
          <w:tcPr>
            <w:tcW w:w="1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19.0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13.3</w:t>
            </w:r>
          </w:p>
        </w:tc>
        <w:tc>
          <w:tcPr>
            <w:tcW w:w="1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18.7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(1.7</w:t>
            </w:r>
          </w:p>
        </w:tc>
        <w:tc>
          <w:tcPr>
            <w:tcW w:w="173" w:type="dxa"/>
            <w:tcBorders/>
            <w:shd w:fill="CCEEFF" w:val="clear"/>
            <w:vAlign w:val="center"/>
          </w:tcPr>
          <w:p>
            <w:pPr>
              <w:pStyle w:val="TableContents"/>
              <w:bidi w:val="0"/>
              <w:spacing w:before="0" w:after="283"/>
              <w:jc w:val="left"/>
              <w:rPr/>
            </w:pPr>
            <w:r>
              <w:rPr/>
              <w:t>) </w:t>
            </w:r>
          </w:p>
        </w:tc>
      </w:tr>
      <w:tr>
        <w:trPr/>
        <w:tc>
          <w:tcPr>
            <w:tcW w:w="3032"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charges, net</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  </w:t>
            </w:r>
          </w:p>
        </w:tc>
        <w:tc>
          <w:tcPr>
            <w:tcW w:w="1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2.5</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(2.5</w:t>
            </w:r>
          </w:p>
        </w:tc>
        <w:tc>
          <w:tcPr>
            <w:tcW w:w="173" w:type="dxa"/>
            <w:tcBorders/>
            <w:vAlign w:val="center"/>
          </w:tcPr>
          <w:p>
            <w:pPr>
              <w:pStyle w:val="TableContents"/>
              <w:bidi w:val="0"/>
              <w:spacing w:before="0" w:after="283"/>
              <w:jc w:val="left"/>
              <w:rPr/>
            </w:pPr>
            <w:r>
              <w:rPr/>
              <w:t>) </w:t>
            </w:r>
          </w:p>
        </w:tc>
      </w:tr>
      <w:tr>
        <w:trPr/>
        <w:tc>
          <w:tcPr>
            <w:tcW w:w="30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3032"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loss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(9.2</w:t>
            </w:r>
          </w:p>
        </w:tc>
        <w:tc>
          <w:tcPr>
            <w:tcW w:w="1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(15.1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(10.0</w:t>
            </w:r>
          </w:p>
        </w:tc>
        <w:tc>
          <w:tcPr>
            <w:tcW w:w="1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(14.1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0.8</w:t>
            </w:r>
          </w:p>
        </w:tc>
        <w:tc>
          <w:tcPr>
            <w:tcW w:w="173" w:type="dxa"/>
            <w:tcBorders/>
            <w:shd w:fill="CCEEFF" w:val="clear"/>
            <w:vAlign w:val="center"/>
          </w:tcPr>
          <w:p>
            <w:pPr>
              <w:pStyle w:val="TableContents"/>
              <w:bidi w:val="0"/>
              <w:spacing w:before="0" w:after="283"/>
              <w:jc w:val="left"/>
              <w:rPr/>
            </w:pPr>
            <w:r>
              <w:rPr/>
              <w:t> </w:t>
            </w:r>
          </w:p>
        </w:tc>
      </w:tr>
      <w:tr>
        <w:trPr/>
        <w:tc>
          <w:tcPr>
            <w:tcW w:w="3032"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2.4</w:t>
            </w:r>
          </w:p>
        </w:tc>
        <w:tc>
          <w:tcPr>
            <w:tcW w:w="1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3.9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1.8</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0.6</w:t>
            </w:r>
          </w:p>
        </w:tc>
        <w:tc>
          <w:tcPr>
            <w:tcW w:w="173" w:type="dxa"/>
            <w:tcBorders/>
            <w:vAlign w:val="center"/>
          </w:tcPr>
          <w:p>
            <w:pPr>
              <w:pStyle w:val="TableContents"/>
              <w:bidi w:val="0"/>
              <w:spacing w:before="0" w:after="283"/>
              <w:jc w:val="left"/>
              <w:rPr/>
            </w:pPr>
            <w:r>
              <w:rPr/>
              <w:t> </w:t>
            </w:r>
          </w:p>
        </w:tc>
      </w:tr>
      <w:tr>
        <w:trPr/>
        <w:tc>
          <w:tcPr>
            <w:tcW w:w="3032"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expense</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(0.2</w:t>
            </w:r>
          </w:p>
        </w:tc>
        <w:tc>
          <w:tcPr>
            <w:tcW w:w="1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(0.3</w:t>
            </w:r>
          </w:p>
        </w:tc>
        <w:tc>
          <w:tcPr>
            <w:tcW w:w="1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(0.4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0.1</w:t>
            </w:r>
          </w:p>
        </w:tc>
        <w:tc>
          <w:tcPr>
            <w:tcW w:w="173" w:type="dxa"/>
            <w:tcBorders/>
            <w:shd w:fill="CCEEFF" w:val="clear"/>
            <w:vAlign w:val="center"/>
          </w:tcPr>
          <w:p>
            <w:pPr>
              <w:pStyle w:val="TableContents"/>
              <w:bidi w:val="0"/>
              <w:spacing w:before="0" w:after="283"/>
              <w:jc w:val="left"/>
              <w:rPr/>
            </w:pPr>
            <w:r>
              <w:rPr/>
              <w:t> </w:t>
            </w:r>
          </w:p>
        </w:tc>
      </w:tr>
      <w:tr>
        <w:trPr/>
        <w:tc>
          <w:tcPr>
            <w:tcW w:w="3032"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 currency loss, net</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(2.6</w:t>
            </w:r>
          </w:p>
        </w:tc>
        <w:tc>
          <w:tcPr>
            <w:tcW w:w="1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(12.8</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(18.0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10.2</w:t>
            </w:r>
          </w:p>
        </w:tc>
        <w:tc>
          <w:tcPr>
            <w:tcW w:w="173" w:type="dxa"/>
            <w:tcBorders/>
            <w:vAlign w:val="center"/>
          </w:tcPr>
          <w:p>
            <w:pPr>
              <w:pStyle w:val="TableContents"/>
              <w:bidi w:val="0"/>
              <w:spacing w:before="0" w:after="283"/>
              <w:jc w:val="left"/>
              <w:rPr/>
            </w:pPr>
            <w:r>
              <w:rPr/>
              <w:t> </w:t>
            </w:r>
          </w:p>
        </w:tc>
      </w:tr>
      <w:tr>
        <w:trPr/>
        <w:tc>
          <w:tcPr>
            <w:tcW w:w="3032"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Others, net</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0.1</w:t>
            </w:r>
          </w:p>
        </w:tc>
        <w:tc>
          <w:tcPr>
            <w:tcW w:w="1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0.2</w:t>
            </w:r>
          </w:p>
        </w:tc>
        <w:tc>
          <w:tcPr>
            <w:tcW w:w="1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(0.1</w:t>
            </w:r>
          </w:p>
        </w:tc>
        <w:tc>
          <w:tcPr>
            <w:tcW w:w="173" w:type="dxa"/>
            <w:tcBorders/>
            <w:shd w:fill="CCEEFF" w:val="clear"/>
            <w:vAlign w:val="center"/>
          </w:tcPr>
          <w:p>
            <w:pPr>
              <w:pStyle w:val="TableContents"/>
              <w:bidi w:val="0"/>
              <w:spacing w:before="0" w:after="283"/>
              <w:jc w:val="left"/>
              <w:rPr/>
            </w:pPr>
            <w:r>
              <w:rPr/>
              <w:t>) </w:t>
            </w:r>
          </w:p>
        </w:tc>
      </w:tr>
      <w:tr>
        <w:trPr/>
        <w:tc>
          <w:tcPr>
            <w:tcW w:w="30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30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(0.3</w:t>
            </w:r>
          </w:p>
        </w:tc>
        <w:tc>
          <w:tcPr>
            <w:tcW w:w="1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(11.1</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(15.6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10.8</w:t>
            </w:r>
          </w:p>
        </w:tc>
        <w:tc>
          <w:tcPr>
            <w:tcW w:w="173" w:type="dxa"/>
            <w:tcBorders/>
            <w:vAlign w:val="center"/>
          </w:tcPr>
          <w:p>
            <w:pPr>
              <w:pStyle w:val="TableContents"/>
              <w:bidi w:val="0"/>
              <w:spacing w:before="0" w:after="283"/>
              <w:jc w:val="left"/>
              <w:rPr/>
            </w:pPr>
            <w:r>
              <w:rPr/>
              <w:t> </w:t>
            </w:r>
          </w:p>
        </w:tc>
      </w:tr>
      <w:tr>
        <w:trPr/>
        <w:tc>
          <w:tcPr>
            <w:tcW w:w="30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3032"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before income tax expense</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(9.5</w:t>
            </w:r>
          </w:p>
        </w:tc>
        <w:tc>
          <w:tcPr>
            <w:tcW w:w="1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(15.6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(21.1</w:t>
            </w:r>
          </w:p>
        </w:tc>
        <w:tc>
          <w:tcPr>
            <w:tcW w:w="1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(29.7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11.6</w:t>
            </w:r>
          </w:p>
        </w:tc>
        <w:tc>
          <w:tcPr>
            <w:tcW w:w="173" w:type="dxa"/>
            <w:tcBorders/>
            <w:shd w:fill="CCEEFF" w:val="clear"/>
            <w:vAlign w:val="center"/>
          </w:tcPr>
          <w:p>
            <w:pPr>
              <w:pStyle w:val="TableContents"/>
              <w:bidi w:val="0"/>
              <w:spacing w:before="0" w:after="283"/>
              <w:jc w:val="left"/>
              <w:rPr/>
            </w:pPr>
            <w:r>
              <w:rPr/>
              <w:t> </w:t>
            </w:r>
          </w:p>
        </w:tc>
      </w:tr>
      <w:tr>
        <w:trPr/>
        <w:tc>
          <w:tcPr>
            <w:tcW w:w="3032"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 benefit</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(4.4</w:t>
            </w:r>
          </w:p>
        </w:tc>
        <w:tc>
          <w:tcPr>
            <w:tcW w:w="1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(7.1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(3.9</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(5.5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(0.4</w:t>
            </w:r>
          </w:p>
        </w:tc>
        <w:tc>
          <w:tcPr>
            <w:tcW w:w="173" w:type="dxa"/>
            <w:tcBorders/>
            <w:vAlign w:val="center"/>
          </w:tcPr>
          <w:p>
            <w:pPr>
              <w:pStyle w:val="TableContents"/>
              <w:bidi w:val="0"/>
              <w:spacing w:before="0" w:after="283"/>
              <w:jc w:val="left"/>
              <w:rPr/>
            </w:pPr>
            <w:r>
              <w:rPr/>
              <w:t>) </w:t>
            </w:r>
          </w:p>
        </w:tc>
      </w:tr>
      <w:tr>
        <w:trPr/>
        <w:tc>
          <w:tcPr>
            <w:tcW w:w="30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3032"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(5.2</w:t>
            </w:r>
          </w:p>
        </w:tc>
        <w:tc>
          <w:tcPr>
            <w:tcW w:w="1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(8.4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(17.2</w:t>
            </w:r>
          </w:p>
        </w:tc>
        <w:tc>
          <w:tcPr>
            <w:tcW w:w="1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(24.2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12.0</w:t>
            </w:r>
          </w:p>
        </w:tc>
        <w:tc>
          <w:tcPr>
            <w:tcW w:w="173" w:type="dxa"/>
            <w:tcBorders/>
            <w:shd w:fill="CCEEFF" w:val="clear"/>
            <w:vAlign w:val="center"/>
          </w:tcPr>
          <w:p>
            <w:pPr>
              <w:pStyle w:val="TableContents"/>
              <w:bidi w:val="0"/>
              <w:spacing w:before="0" w:after="283"/>
              <w:jc w:val="left"/>
              <w:rPr/>
            </w:pPr>
            <w:r>
              <w:rPr/>
              <w:t> </w:t>
            </w:r>
          </w:p>
        </w:tc>
      </w:tr>
      <w:tr>
        <w:trPr/>
        <w:tc>
          <w:tcPr>
            <w:tcW w:w="30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3"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088"/>
        <w:gridCol w:w="120"/>
        <w:gridCol w:w="207"/>
        <w:gridCol w:w="653"/>
        <w:gridCol w:w="64"/>
        <w:gridCol w:w="128"/>
        <w:gridCol w:w="154"/>
        <w:gridCol w:w="1441"/>
        <w:gridCol w:w="275"/>
        <w:gridCol w:w="60"/>
        <w:gridCol w:w="207"/>
        <w:gridCol w:w="653"/>
        <w:gridCol w:w="64"/>
        <w:gridCol w:w="128"/>
        <w:gridCol w:w="154"/>
        <w:gridCol w:w="1441"/>
        <w:gridCol w:w="275"/>
        <w:gridCol w:w="60"/>
        <w:gridCol w:w="183"/>
        <w:gridCol w:w="677"/>
        <w:gridCol w:w="173"/>
      </w:tblGrid>
      <w:tr>
        <w:trPr/>
        <w:tc>
          <w:tcPr>
            <w:tcW w:w="30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08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7" w:type="dxa"/>
            <w:gridSpan w:val="6"/>
            <w:tcBorders/>
            <w:vAlign w:val="center"/>
          </w:tcPr>
          <w:p>
            <w:pPr>
              <w:pStyle w:val="TableContents"/>
              <w:bidi w:val="0"/>
              <w:spacing w:before="0" w:after="0"/>
              <w:jc w:val="center"/>
              <w:rPr>
                <w:b/>
                <w:spacing w:val="0"/>
                <w:sz w:val="16"/>
              </w:rPr>
            </w:pPr>
            <w:r>
              <w:rPr>
                <w:b/>
                <w:spacing w:val="0"/>
                <w:sz w:val="16"/>
              </w:rPr>
              <w:t>Three Months Ended</w:t>
              <w:br/>
              <w:t>September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7" w:type="dxa"/>
            <w:gridSpan w:val="6"/>
            <w:tcBorders/>
            <w:vAlign w:val="center"/>
          </w:tcPr>
          <w:p>
            <w:pPr>
              <w:pStyle w:val="TableContents"/>
              <w:bidi w:val="0"/>
              <w:spacing w:before="0" w:after="0"/>
              <w:jc w:val="center"/>
              <w:rPr>
                <w:b/>
                <w:spacing w:val="0"/>
                <w:sz w:val="16"/>
              </w:rPr>
            </w:pPr>
            <w:r>
              <w:rPr>
                <w:b/>
                <w:spacing w:val="0"/>
                <w:sz w:val="16"/>
              </w:rPr>
              <w:t>Three Months Ended</w:t>
              <w:br/>
              <w:t>September 30, 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308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0"/>
              <w:jc w:val="center"/>
              <w:rPr>
                <w:b/>
                <w:spacing w:val="0"/>
              </w:rPr>
            </w:pPr>
            <w:r>
              <w:rPr>
                <w:b/>
                <w:spacing w:val="0"/>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0"/>
              <w:jc w:val="center"/>
              <w:rPr>
                <w:b/>
                <w:spacing w:val="0"/>
              </w:rPr>
            </w:pPr>
            <w:r>
              <w:rPr>
                <w:b/>
                <w:spacing w:val="0"/>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Change</w:t>
              <w:br/>
              <w:t>Amount</w:t>
            </w:r>
          </w:p>
        </w:tc>
        <w:tc>
          <w:tcPr>
            <w:tcW w:w="173" w:type="dxa"/>
            <w:tcBorders/>
            <w:vAlign w:val="center"/>
          </w:tcPr>
          <w:p>
            <w:pPr>
              <w:pStyle w:val="TableContents"/>
              <w:bidi w:val="0"/>
              <w:spacing w:before="0" w:after="283"/>
              <w:jc w:val="left"/>
              <w:rPr/>
            </w:pPr>
            <w:r>
              <w:rPr/>
              <w:t> </w:t>
            </w:r>
          </w:p>
        </w:tc>
      </w:tr>
      <w:tr>
        <w:trPr/>
        <w:tc>
          <w:tcPr>
            <w:tcW w:w="308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sz w:val="4"/>
                <w:szCs w:val="4"/>
              </w:rPr>
            </w:pPr>
            <w:r>
              <w:rPr>
                <w:sz w:val="4"/>
                <w:szCs w:val="4"/>
              </w:rPr>
            </w:r>
          </w:p>
        </w:tc>
        <w:tc>
          <w:tcPr>
            <w:tcW w:w="15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r>
      <w:tr>
        <w:trPr/>
        <w:tc>
          <w:tcPr>
            <w:tcW w:w="3088"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24" w:type="dxa"/>
            <w:gridSpan w:val="18"/>
            <w:tcBorders/>
            <w:vAlign w:val="center"/>
          </w:tcPr>
          <w:p>
            <w:pPr>
              <w:pStyle w:val="TableContents"/>
              <w:bidi w:val="0"/>
              <w:spacing w:before="0" w:after="0"/>
              <w:jc w:val="center"/>
              <w:rPr>
                <w:b/>
                <w:spacing w:val="0"/>
              </w:rPr>
            </w:pPr>
            <w:r>
              <w:rPr>
                <w:b/>
                <w:spacing w:val="0"/>
              </w:rPr>
              <w:t>(Dollars in millions)</w:t>
            </w:r>
          </w:p>
        </w:tc>
        <w:tc>
          <w:tcPr>
            <w:tcW w:w="173" w:type="dxa"/>
            <w:tcBorders/>
            <w:vAlign w:val="center"/>
          </w:tcPr>
          <w:p>
            <w:pPr>
              <w:pStyle w:val="TableContents"/>
              <w:bidi w:val="0"/>
              <w:spacing w:before="0" w:after="283"/>
              <w:jc w:val="left"/>
              <w:rPr/>
            </w:pPr>
            <w:r>
              <w:rPr/>
              <w:t> </w:t>
            </w:r>
          </w:p>
        </w:tc>
      </w:tr>
      <w:tr>
        <w:trPr/>
        <w:tc>
          <w:tcPr>
            <w:tcW w:w="3088"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Revenues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653"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128"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653" w:type="dxa"/>
            <w:tcBorders/>
            <w:shd w:fill="CCEEFF" w:val="clear"/>
            <w:vAlign w:val="center"/>
          </w:tcPr>
          <w:p>
            <w:pPr>
              <w:pStyle w:val="TableContents"/>
              <w:bidi w:val="0"/>
              <w:spacing w:before="0" w:after="283"/>
              <w:jc w:val="left"/>
              <w:rPr>
                <w:sz w:val="4"/>
                <w:szCs w:val="4"/>
              </w:rPr>
            </w:pPr>
            <w:r>
              <w:rPr>
                <w:sz w:val="4"/>
                <w:szCs w:val="4"/>
              </w:rPr>
            </w:r>
          </w:p>
        </w:tc>
        <w:tc>
          <w:tcPr>
            <w:tcW w:w="64" w:type="dxa"/>
            <w:tcBorders/>
            <w:shd w:fill="CCEEFF" w:val="clear"/>
            <w:vAlign w:val="center"/>
          </w:tcPr>
          <w:p>
            <w:pPr>
              <w:pStyle w:val="TableContents"/>
              <w:bidi w:val="0"/>
              <w:spacing w:before="0" w:after="283"/>
              <w:jc w:val="left"/>
              <w:rPr>
                <w:sz w:val="4"/>
                <w:szCs w:val="4"/>
              </w:rPr>
            </w:pPr>
            <w:r>
              <w:rPr>
                <w:sz w:val="4"/>
                <w:szCs w:val="4"/>
              </w:rPr>
            </w:r>
          </w:p>
        </w:tc>
        <w:tc>
          <w:tcPr>
            <w:tcW w:w="128"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73" w:type="dxa"/>
            <w:tcBorders/>
            <w:shd w:fill="CCEEFF" w:val="clear"/>
            <w:vAlign w:val="center"/>
          </w:tcPr>
          <w:p>
            <w:pPr>
              <w:pStyle w:val="TableContents"/>
              <w:bidi w:val="0"/>
              <w:spacing w:before="0" w:after="283"/>
              <w:jc w:val="left"/>
              <w:rPr>
                <w:sz w:val="4"/>
                <w:szCs w:val="4"/>
              </w:rPr>
            </w:pPr>
            <w:r>
              <w:rPr>
                <w:sz w:val="4"/>
                <w:szCs w:val="4"/>
              </w:rPr>
            </w:r>
          </w:p>
        </w:tc>
      </w:tr>
      <w:tr>
        <w:trPr/>
        <w:tc>
          <w:tcPr>
            <w:tcW w:w="308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sales – standard products business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08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Display Solutions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6.4</w:t>
            </w:r>
          </w:p>
        </w:tc>
        <w:tc>
          <w:tcPr>
            <w:tcW w:w="64"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6.4</w:t>
            </w:r>
          </w:p>
        </w:tc>
        <w:tc>
          <w:tcPr>
            <w:tcW w:w="64"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0.0</w:t>
            </w:r>
          </w:p>
        </w:tc>
        <w:tc>
          <w:tcPr>
            <w:tcW w:w="173" w:type="dxa"/>
            <w:tcBorders/>
            <w:shd w:fill="CCEEFF" w:val="clear"/>
            <w:vAlign w:val="center"/>
          </w:tcPr>
          <w:p>
            <w:pPr>
              <w:pStyle w:val="TableContents"/>
              <w:bidi w:val="0"/>
              <w:spacing w:before="0" w:after="283"/>
              <w:jc w:val="left"/>
              <w:rPr/>
            </w:pPr>
            <w:r>
              <w:rPr/>
              <w:t> </w:t>
            </w:r>
          </w:p>
        </w:tc>
      </w:tr>
      <w:tr>
        <w:trPr/>
        <w:tc>
          <w:tcPr>
            <w:tcW w:w="308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Power Solutions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45.2</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73.8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56.4</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79.2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(11.2</w:t>
            </w:r>
          </w:p>
        </w:tc>
        <w:tc>
          <w:tcPr>
            <w:tcW w:w="173" w:type="dxa"/>
            <w:tcBorders/>
            <w:vAlign w:val="center"/>
          </w:tcPr>
          <w:p>
            <w:pPr>
              <w:pStyle w:val="TableContents"/>
              <w:bidi w:val="0"/>
              <w:spacing w:before="0" w:after="283"/>
              <w:jc w:val="left"/>
              <w:rPr/>
            </w:pPr>
            <w:r>
              <w:rPr/>
              <w:t>) </w:t>
            </w:r>
          </w:p>
        </w:tc>
      </w:tr>
      <w:tr>
        <w:trPr/>
        <w:tc>
          <w:tcPr>
            <w:tcW w:w="30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308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standard products business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51.6</w:t>
            </w:r>
          </w:p>
        </w:tc>
        <w:tc>
          <w:tcPr>
            <w:tcW w:w="64"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84.3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62.8</w:t>
            </w:r>
          </w:p>
        </w:tc>
        <w:tc>
          <w:tcPr>
            <w:tcW w:w="64"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88.2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(11.2</w:t>
            </w:r>
          </w:p>
        </w:tc>
        <w:tc>
          <w:tcPr>
            <w:tcW w:w="173" w:type="dxa"/>
            <w:tcBorders/>
            <w:shd w:fill="CCEEFF" w:val="clear"/>
            <w:vAlign w:val="center"/>
          </w:tcPr>
          <w:p>
            <w:pPr>
              <w:pStyle w:val="TableContents"/>
              <w:bidi w:val="0"/>
              <w:spacing w:before="0" w:after="283"/>
              <w:jc w:val="left"/>
              <w:rPr/>
            </w:pPr>
            <w:r>
              <w:rPr/>
              <w:t>) </w:t>
            </w:r>
          </w:p>
        </w:tc>
      </w:tr>
      <w:tr>
        <w:trPr/>
        <w:tc>
          <w:tcPr>
            <w:tcW w:w="3088"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sales – transitional Fab 3 foundry services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9.6</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15.7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8.4</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11.8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1.2</w:t>
            </w:r>
          </w:p>
        </w:tc>
        <w:tc>
          <w:tcPr>
            <w:tcW w:w="173" w:type="dxa"/>
            <w:tcBorders/>
            <w:vAlign w:val="center"/>
          </w:tcPr>
          <w:p>
            <w:pPr>
              <w:pStyle w:val="TableContents"/>
              <w:bidi w:val="0"/>
              <w:spacing w:before="0" w:after="283"/>
              <w:jc w:val="left"/>
              <w:rPr/>
            </w:pPr>
            <w:r>
              <w:rPr/>
              <w:t> </w:t>
            </w:r>
          </w:p>
        </w:tc>
      </w:tr>
      <w:tr>
        <w:trPr/>
        <w:tc>
          <w:tcPr>
            <w:tcW w:w="30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3" w:type="dxa"/>
            <w:tcBorders/>
            <w:vAlign w:val="center"/>
          </w:tcPr>
          <w:p>
            <w:pPr>
              <w:pStyle w:val="TableContents"/>
              <w:bidi w:val="0"/>
              <w:spacing w:before="0" w:after="283"/>
              <w:jc w:val="left"/>
              <w:rPr/>
            </w:pPr>
            <w:r>
              <w:rPr/>
              <w:t> </w:t>
            </w:r>
          </w:p>
        </w:tc>
      </w:tr>
      <w:tr>
        <w:trPr/>
        <w:tc>
          <w:tcPr>
            <w:tcW w:w="3088"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revenues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61.2</w:t>
            </w:r>
          </w:p>
        </w:tc>
        <w:tc>
          <w:tcPr>
            <w:tcW w:w="64"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71.2</w:t>
            </w:r>
          </w:p>
        </w:tc>
        <w:tc>
          <w:tcPr>
            <w:tcW w:w="64"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(10.0</w:t>
            </w:r>
          </w:p>
        </w:tc>
        <w:tc>
          <w:tcPr>
            <w:tcW w:w="173" w:type="dxa"/>
            <w:tcBorders/>
            <w:shd w:fill="CCEEFF" w:val="clear"/>
            <w:vAlign w:val="center"/>
          </w:tcPr>
          <w:p>
            <w:pPr>
              <w:pStyle w:val="TableContents"/>
              <w:bidi w:val="0"/>
              <w:spacing w:before="0" w:after="283"/>
              <w:jc w:val="left"/>
              <w:rPr/>
            </w:pPr>
            <w:r>
              <w:rPr/>
              <w:t>) </w:t>
            </w:r>
          </w:p>
        </w:tc>
      </w:tr>
      <w:tr>
        <w:trPr/>
        <w:tc>
          <w:tcPr>
            <w:tcW w:w="30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4"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3"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303"/>
        <w:gridCol w:w="120"/>
        <w:gridCol w:w="207"/>
        <w:gridCol w:w="653"/>
        <w:gridCol w:w="181"/>
        <w:gridCol w:w="70"/>
        <w:gridCol w:w="169"/>
        <w:gridCol w:w="1261"/>
        <w:gridCol w:w="275"/>
        <w:gridCol w:w="60"/>
        <w:gridCol w:w="207"/>
        <w:gridCol w:w="653"/>
        <w:gridCol w:w="181"/>
        <w:gridCol w:w="70"/>
        <w:gridCol w:w="169"/>
        <w:gridCol w:w="1261"/>
        <w:gridCol w:w="275"/>
        <w:gridCol w:w="60"/>
        <w:gridCol w:w="225"/>
        <w:gridCol w:w="635"/>
        <w:gridCol w:w="170"/>
      </w:tblGrid>
      <w:tr>
        <w:trPr/>
        <w:tc>
          <w:tcPr>
            <w:tcW w:w="33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0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41" w:type="dxa"/>
            <w:gridSpan w:val="6"/>
            <w:tcBorders/>
            <w:vAlign w:val="center"/>
          </w:tcPr>
          <w:p>
            <w:pPr>
              <w:pStyle w:val="TableContents"/>
              <w:bidi w:val="0"/>
              <w:spacing w:before="0" w:after="0"/>
              <w:jc w:val="center"/>
              <w:rPr>
                <w:b/>
                <w:spacing w:val="0"/>
                <w:sz w:val="16"/>
              </w:rPr>
            </w:pPr>
            <w:r>
              <w:rPr>
                <w:b/>
                <w:spacing w:val="0"/>
                <w:sz w:val="16"/>
              </w:rPr>
              <w:t>Three Months Ended</w:t>
              <w:br/>
              <w:t>September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1" w:type="dxa"/>
            <w:gridSpan w:val="6"/>
            <w:tcBorders/>
            <w:vAlign w:val="center"/>
          </w:tcPr>
          <w:p>
            <w:pPr>
              <w:pStyle w:val="TableContents"/>
              <w:bidi w:val="0"/>
              <w:spacing w:before="0" w:after="0"/>
              <w:jc w:val="center"/>
              <w:rPr>
                <w:b/>
                <w:spacing w:val="0"/>
                <w:sz w:val="16"/>
              </w:rPr>
            </w:pPr>
            <w:r>
              <w:rPr>
                <w:b/>
                <w:spacing w:val="0"/>
                <w:sz w:val="16"/>
              </w:rPr>
              <w:t>Three Months Ended</w:t>
              <w:br/>
              <w:t>September 30, 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30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0"/>
              <w:jc w:val="center"/>
              <w:rPr>
                <w:b/>
                <w:spacing w:val="0"/>
              </w:rPr>
            </w:pPr>
            <w:r>
              <w:rPr>
                <w:b/>
                <w:spacing w:val="0"/>
              </w:rPr>
              <w:t>% of</w:t>
              <w:br/>
              <w:t>    Net Sales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0"/>
              <w:jc w:val="center"/>
              <w:rPr>
                <w:b/>
                <w:spacing w:val="0"/>
              </w:rPr>
            </w:pPr>
            <w:r>
              <w:rPr>
                <w:b/>
                <w:spacing w:val="0"/>
              </w:rPr>
              <w:t>% of</w:t>
              <w:br/>
              <w:t>    Net Sales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Change</w:t>
              <w:br/>
              <w:t>Amount</w:t>
            </w:r>
          </w:p>
        </w:tc>
        <w:tc>
          <w:tcPr>
            <w:tcW w:w="170" w:type="dxa"/>
            <w:tcBorders/>
            <w:vAlign w:val="center"/>
          </w:tcPr>
          <w:p>
            <w:pPr>
              <w:pStyle w:val="TableContents"/>
              <w:bidi w:val="0"/>
              <w:spacing w:before="0" w:after="283"/>
              <w:jc w:val="left"/>
              <w:rPr/>
            </w:pPr>
            <w:r>
              <w:rPr/>
              <w:t> </w:t>
            </w:r>
          </w:p>
        </w:tc>
      </w:tr>
      <w:tr>
        <w:trPr/>
        <w:tc>
          <w:tcPr>
            <w:tcW w:w="330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30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12" w:type="dxa"/>
            <w:gridSpan w:val="18"/>
            <w:tcBorders/>
            <w:vAlign w:val="center"/>
          </w:tcPr>
          <w:p>
            <w:pPr>
              <w:pStyle w:val="TableContents"/>
              <w:bidi w:val="0"/>
              <w:spacing w:before="0" w:after="0"/>
              <w:jc w:val="center"/>
              <w:rPr>
                <w:b/>
                <w:spacing w:val="0"/>
              </w:rPr>
            </w:pPr>
            <w:r>
              <w:rPr>
                <w:b/>
                <w:spacing w:val="0"/>
              </w:rPr>
              <w:t>(Dollars in millions)</w:t>
            </w:r>
          </w:p>
        </w:tc>
        <w:tc>
          <w:tcPr>
            <w:tcW w:w="170" w:type="dxa"/>
            <w:tcBorders/>
            <w:vAlign w:val="center"/>
          </w:tcPr>
          <w:p>
            <w:pPr>
              <w:pStyle w:val="TableContents"/>
              <w:bidi w:val="0"/>
              <w:spacing w:before="0" w:after="283"/>
              <w:jc w:val="left"/>
              <w:rPr/>
            </w:pPr>
            <w:r>
              <w:rPr/>
              <w:t> </w:t>
            </w:r>
          </w:p>
        </w:tc>
      </w:tr>
      <w:tr>
        <w:trPr/>
        <w:tc>
          <w:tcPr>
            <w:tcW w:w="3303"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Gross Profit</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65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sz w:val="4"/>
                <w:szCs w:val="4"/>
              </w:rPr>
            </w:pPr>
            <w:r>
              <w:rPr>
                <w:sz w:val="4"/>
                <w:szCs w:val="4"/>
              </w:rPr>
            </w:r>
          </w:p>
        </w:tc>
        <w:tc>
          <w:tcPr>
            <w:tcW w:w="653" w:type="dxa"/>
            <w:tcBorders/>
            <w:shd w:fill="CCEEFF" w:val="clear"/>
            <w:vAlign w:val="center"/>
          </w:tcPr>
          <w:p>
            <w:pPr>
              <w:pStyle w:val="TableContents"/>
              <w:bidi w:val="0"/>
              <w:spacing w:before="0" w:after="283"/>
              <w:jc w:val="left"/>
              <w:rPr>
                <w:sz w:val="4"/>
                <w:szCs w:val="4"/>
              </w:rPr>
            </w:pPr>
            <w:r>
              <w:rPr>
                <w:sz w:val="4"/>
                <w:szCs w:val="4"/>
              </w:rPr>
            </w:r>
          </w:p>
        </w:tc>
        <w:tc>
          <w:tcPr>
            <w:tcW w:w="181" w:type="dxa"/>
            <w:tcBorders/>
            <w:shd w:fill="CCEEFF" w:val="clear"/>
            <w:vAlign w:val="center"/>
          </w:tcPr>
          <w:p>
            <w:pPr>
              <w:pStyle w:val="TableContents"/>
              <w:bidi w:val="0"/>
              <w:spacing w:before="0" w:after="283"/>
              <w:jc w:val="left"/>
              <w:rPr>
                <w:sz w:val="4"/>
                <w:szCs w:val="4"/>
              </w:rPr>
            </w:pPr>
            <w:r>
              <w:rPr>
                <w:sz w:val="4"/>
                <w:szCs w:val="4"/>
              </w:rPr>
            </w:r>
          </w:p>
        </w:tc>
        <w:tc>
          <w:tcPr>
            <w:tcW w:w="7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sz w:val="4"/>
                <w:szCs w:val="4"/>
              </w:rPr>
            </w:pPr>
            <w:r>
              <w:rPr>
                <w:sz w:val="4"/>
                <w:szCs w:val="4"/>
              </w:rPr>
            </w:r>
          </w:p>
        </w:tc>
        <w:tc>
          <w:tcPr>
            <w:tcW w:w="63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30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Gross profit – standard products business</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653" w:type="dxa"/>
            <w:tcBorders/>
            <w:vAlign w:val="center"/>
          </w:tcPr>
          <w:p>
            <w:pPr>
              <w:pStyle w:val="TableContents"/>
              <w:bidi w:val="0"/>
              <w:spacing w:before="0" w:after="283"/>
              <w:jc w:val="right"/>
              <w:rPr/>
            </w:pPr>
            <w:r>
              <w:rPr/>
              <w:t>14.8</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28.7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653" w:type="dxa"/>
            <w:tcBorders/>
            <w:vAlign w:val="center"/>
          </w:tcPr>
          <w:p>
            <w:pPr>
              <w:pStyle w:val="TableContents"/>
              <w:bidi w:val="0"/>
              <w:spacing w:before="0" w:after="283"/>
              <w:jc w:val="right"/>
              <w:rPr/>
            </w:pPr>
            <w:r>
              <w:rPr/>
              <w:t>17.3</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27.5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(2.5</w:t>
            </w:r>
          </w:p>
        </w:tc>
        <w:tc>
          <w:tcPr>
            <w:tcW w:w="170" w:type="dxa"/>
            <w:tcBorders/>
            <w:vAlign w:val="center"/>
          </w:tcPr>
          <w:p>
            <w:pPr>
              <w:pStyle w:val="TableContents"/>
              <w:bidi w:val="0"/>
              <w:spacing w:before="0" w:after="283"/>
              <w:jc w:val="left"/>
              <w:rPr/>
            </w:pPr>
            <w:r>
              <w:rPr/>
              <w:t>) </w:t>
            </w:r>
          </w:p>
        </w:tc>
      </w:tr>
      <w:tr>
        <w:trPr/>
        <w:tc>
          <w:tcPr>
            <w:tcW w:w="3303"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Gross profit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(0.3</w:t>
            </w:r>
          </w:p>
        </w:tc>
        <w:tc>
          <w:tcPr>
            <w:tcW w:w="18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(3.2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(0.0</w:t>
            </w:r>
          </w:p>
        </w:tc>
        <w:tc>
          <w:tcPr>
            <w:tcW w:w="181"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(0.6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(0.3</w:t>
            </w:r>
          </w:p>
        </w:tc>
        <w:tc>
          <w:tcPr>
            <w:tcW w:w="170" w:type="dxa"/>
            <w:tcBorders/>
            <w:shd w:fill="CCEEFF" w:val="clear"/>
            <w:vAlign w:val="center"/>
          </w:tcPr>
          <w:p>
            <w:pPr>
              <w:pStyle w:val="TableContents"/>
              <w:bidi w:val="0"/>
              <w:spacing w:before="0" w:after="283"/>
              <w:jc w:val="left"/>
              <w:rPr/>
            </w:pPr>
            <w:r>
              <w:rPr/>
              <w:t>) </w:t>
            </w:r>
          </w:p>
        </w:tc>
      </w:tr>
      <w:tr>
        <w:trPr/>
        <w:tc>
          <w:tcPr>
            <w:tcW w:w="33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3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303"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gross profit</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653" w:type="dxa"/>
            <w:tcBorders/>
            <w:vAlign w:val="center"/>
          </w:tcPr>
          <w:p>
            <w:pPr>
              <w:pStyle w:val="TableContents"/>
              <w:bidi w:val="0"/>
              <w:spacing w:before="0" w:after="283"/>
              <w:jc w:val="right"/>
              <w:rPr/>
            </w:pPr>
            <w:r>
              <w:rPr/>
              <w:t>14.5</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23.6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w:t>
            </w:r>
          </w:p>
        </w:tc>
        <w:tc>
          <w:tcPr>
            <w:tcW w:w="653" w:type="dxa"/>
            <w:tcBorders/>
            <w:vAlign w:val="center"/>
          </w:tcPr>
          <w:p>
            <w:pPr>
              <w:pStyle w:val="TableContents"/>
              <w:bidi w:val="0"/>
              <w:spacing w:before="0" w:after="283"/>
              <w:jc w:val="right"/>
              <w:rPr/>
            </w:pPr>
            <w:r>
              <w:rPr/>
              <w:t>17.2</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24.2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w:t>
            </w:r>
          </w:p>
        </w:tc>
        <w:tc>
          <w:tcPr>
            <w:tcW w:w="635" w:type="dxa"/>
            <w:tcBorders/>
            <w:vAlign w:val="center"/>
          </w:tcPr>
          <w:p>
            <w:pPr>
              <w:pStyle w:val="TableContents"/>
              <w:bidi w:val="0"/>
              <w:spacing w:before="0" w:after="283"/>
              <w:jc w:val="right"/>
              <w:rPr/>
            </w:pPr>
            <w:r>
              <w:rPr/>
              <w:t>(2.7</w:t>
            </w:r>
          </w:p>
        </w:tc>
        <w:tc>
          <w:tcPr>
            <w:tcW w:w="170" w:type="dxa"/>
            <w:tcBorders/>
            <w:vAlign w:val="center"/>
          </w:tcPr>
          <w:p>
            <w:pPr>
              <w:pStyle w:val="TableContents"/>
              <w:bidi w:val="0"/>
              <w:spacing w:before="0" w:after="283"/>
              <w:jc w:val="left"/>
              <w:rPr/>
            </w:pPr>
            <w:r>
              <w:rPr/>
              <w:t>) </w:t>
            </w:r>
          </w:p>
        </w:tc>
      </w:tr>
      <w:tr>
        <w:trPr/>
        <w:tc>
          <w:tcPr>
            <w:tcW w:w="330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8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6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35"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Total revenues were $61.2 million for the three months ended September 30, 2023, a $10.0 million, or 14.0%, decrease compared to $71.2 million for the three months ended September 30, 2022. This decrease was primarily due to a decrease in revenue related to our standard products business as described below.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The standard products business.</w:t>
      </w:r>
    </w:p>
    <w:p>
      <w:pPr>
        <w:pStyle w:val="TextBody"/>
        <w:bidi w:val="0"/>
        <w:spacing w:before="240" w:after="0"/>
        <w:jc w:val="left"/>
        <w:rPr/>
      </w:pPr>
      <w:r>
        <w:rPr/>
        <w:t> </w:t>
      </w:r>
      <w:r>
        <w:rPr>
          <w:rFonts w:ascii="Times New Roman" w:hAnsi="Times New Roman"/>
          <w:sz w:val="20"/>
        </w:rPr>
        <w:t xml:space="preserve">Net sales from our standard products business were $51.6 million for the three months ended September 30, 2023, an $11.2 million, or 17.8%, decrease compared to $62.8 million for the three months ended September 30, 2022. </w:t>
      </w:r>
    </w:p>
    <w:p>
      <w:pPr>
        <w:pStyle w:val="TextBody"/>
        <w:bidi w:val="0"/>
        <w:spacing w:before="240" w:after="0"/>
        <w:jc w:val="left"/>
        <w:rPr>
          <w:rFonts w:ascii="Times New Roman" w:hAnsi="Times New Roman"/>
          <w:sz w:val="20"/>
        </w:rPr>
      </w:pPr>
      <w:r>
        <w:rPr>
          <w:rFonts w:ascii="Times New Roman" w:hAnsi="Times New Roman"/>
          <w:sz w:val="20"/>
        </w:rPr>
        <w:t xml:space="preserve">Net sales from our Display Solutions business line for the three months ended September 30, 2023 was $6.4 million, which remained flat compared to the three months ended September 30, 2022. A slight increase in revenue from our mobile OLED display driver ICs was offset by a decrease in revenue from our OLED TV driver ICs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auto-LCD</w:t>
      </w:r>
    </w:p>
    <w:p>
      <w:pPr>
        <w:pStyle w:val="TextBody"/>
        <w:bidi w:val="0"/>
        <w:spacing w:before="240" w:after="0"/>
        <w:jc w:val="left"/>
        <w:rPr>
          <w:rFonts w:ascii="Times New Roman" w:hAnsi="Times New Roman"/>
          <w:sz w:val="20"/>
        </w:rPr>
      </w:pPr>
      <w:r>
        <w:rPr>
          <w:rFonts w:ascii="Times New Roman" w:hAnsi="Times New Roman"/>
          <w:sz w:val="20"/>
        </w:rPr>
        <w:t xml:space="preserve">DDIC business. </w:t>
      </w:r>
    </w:p>
    <w:p>
      <w:pPr>
        <w:pStyle w:val="TextBody"/>
        <w:bidi w:val="0"/>
        <w:spacing w:before="240" w:after="0"/>
        <w:jc w:val="left"/>
        <w:rPr>
          <w:rFonts w:ascii="Times New Roman" w:hAnsi="Times New Roman"/>
          <w:sz w:val="20"/>
        </w:rPr>
      </w:pPr>
      <w:r>
        <w:rPr>
          <w:rFonts w:ascii="Times New Roman" w:hAnsi="Times New Roman"/>
          <w:sz w:val="20"/>
        </w:rPr>
        <w:t xml:space="preserve">Net sales from our Power Solutions business line decreased from $56.4 million for the three months ended September 30, 2022 to $45.2 million for the three months ended September 30, 2023. The decrease was attributable to lower demand for power products such as MOSFETs, including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high-end</w:t>
      </w:r>
    </w:p>
    <w:p>
      <w:pPr>
        <w:pStyle w:val="TextBody"/>
        <w:bidi w:val="0"/>
        <w:spacing w:before="240" w:after="0"/>
        <w:jc w:val="left"/>
        <w:rPr>
          <w:rFonts w:ascii="Times New Roman" w:hAnsi="Times New Roman"/>
          <w:sz w:val="20"/>
        </w:rPr>
      </w:pPr>
      <w:r>
        <w:rPr>
          <w:rFonts w:ascii="Times New Roman" w:hAnsi="Times New Roman"/>
          <w:sz w:val="20"/>
        </w:rPr>
        <w:t xml:space="preserve">MOSFETs, primarily for TVs, smartphones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e-bikes,</w:t>
      </w:r>
    </w:p>
    <w:p>
      <w:pPr>
        <w:pStyle w:val="TextBody"/>
        <w:bidi w:val="0"/>
        <w:spacing w:before="240" w:after="0"/>
        <w:jc w:val="left"/>
        <w:rPr>
          <w:rFonts w:ascii="Times New Roman" w:hAnsi="Times New Roman"/>
          <w:sz w:val="20"/>
        </w:rPr>
      </w:pPr>
      <w:r>
        <w:rPr>
          <w:rFonts w:ascii="Times New Roman" w:hAnsi="Times New Roman"/>
          <w:sz w:val="20"/>
        </w:rPr>
        <w:t xml:space="preserve">mainly due to the industry-wide slowdown. Weak demand for IGBTs for solar inverters also had an unfavorable impact on net sales.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The transitional Fab 3 foundry services.</w:t>
      </w:r>
    </w:p>
    <w:p>
      <w:pPr>
        <w:pStyle w:val="TextBody"/>
        <w:bidi w:val="0"/>
        <w:spacing w:before="240" w:after="0"/>
        <w:jc w:val="left"/>
        <w:rPr>
          <w:rFonts w:ascii="Times New Roman" w:hAnsi="Times New Roman"/>
          <w:sz w:val="20"/>
        </w:rPr>
      </w:pPr>
      <w:r>
        <w:rPr>
          <w:rFonts w:ascii="Times New Roman" w:hAnsi="Times New Roman"/>
          <w:sz w:val="20"/>
        </w:rPr>
        <w:t xml:space="preserve">Net sales from the transitional Fab 3 foundry services were $9.6 million and $8.4 million for the three months ended September 30, 2023 and 2022, respectively.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Gross Profit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Total gross profit was $14.5 million for the three months ended September 30, 2023 compared to $17.2 million for the three months ended September 30, 2022, a $2.7 million, or 15.9%, decrease. Gross profit as a percentage of net sales for the three months ended September 30, 2023 decreased to 23.6% compared to 24.2% for the three months ended September 30, 2022. The decrease in gross profit and the increase in gross profit as a percentage of net sales were due primarily to our standard products business as further described below.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The standard products business.</w:t>
      </w:r>
    </w:p>
    <w:p>
      <w:pPr>
        <w:pStyle w:val="TextBody"/>
        <w:bidi w:val="0"/>
        <w:spacing w:before="240" w:after="0"/>
        <w:jc w:val="left"/>
        <w:rPr/>
      </w:pPr>
      <w:r>
        <w:rPr/>
        <w:t> </w:t>
      </w:r>
      <w:r>
        <w:rPr>
          <w:rFonts w:ascii="Times New Roman" w:hAnsi="Times New Roman"/>
          <w:sz w:val="20"/>
        </w:rPr>
        <w:t xml:space="preserve">Gross profit from our standard products business was $14.8 million for the three months ended September 30, 2023, which represented a $2.5 million, or 14.4%, decrease from a gross profit of $17.3 million for the three months ended September 30, 2022. The decrease in gross profit was primarily attributable to a decrease in net sales from our standard product business as explained above. Gross profit as a percentage of net sales for the three months ended September 30, 2023 increased to 28.7% from 27.5% for the three months ended September 30, 2022. The year-over-year increase in gross profit as a percentage of net sales was primarily attributable to the $3.3 million scrap charge recorded in the third quarter of 2022, which stemmed from lower demand for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12-inch</w:t>
      </w:r>
    </w:p>
    <w:p>
      <w:pPr>
        <w:pStyle w:val="TextBody"/>
        <w:bidi w:val="0"/>
        <w:spacing w:before="240" w:after="0"/>
        <w:jc w:val="left"/>
        <w:rPr>
          <w:rFonts w:ascii="Times New Roman" w:hAnsi="Times New Roman"/>
          <w:sz w:val="20"/>
        </w:rPr>
      </w:pPr>
      <w:r>
        <w:rPr>
          <w:rFonts w:ascii="Times New Roman" w:hAnsi="Times New Roman"/>
          <w:sz w:val="20"/>
        </w:rPr>
        <w:t xml:space="preserve">display products as a result of lower demand for China smartphones. Excluding this scrap charge, gross profit as a percentage of net sales decreased year-over-year due mainly to an unfavorable product mix, and higher manufacturing input costs such as electricity and wages.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Sales – Standard Products Business by Geographic Region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report net sales – 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three months ended September 30, 2023 and 2022: </w:t>
      </w:r>
    </w:p>
    <w:p>
      <w:pPr>
        <w:pStyle w:val="TextBody"/>
        <w:bidi w:val="0"/>
        <w:spacing w:before="0" w:after="0"/>
        <w:jc w:val="left"/>
        <w:rPr>
          <w:spacing w:val="0"/>
        </w:rPr>
      </w:pPr>
      <w:r>
        <w:rPr>
          <w:spacing w:val="0"/>
        </w:rPr>
        <w:t> </w:t>
      </w:r>
    </w:p>
    <w:tbl>
      <w:tblPr>
        <w:tblW w:w="8706" w:type="dxa"/>
        <w:jc w:val="left"/>
        <w:tblInd w:w="0" w:type="dxa"/>
        <w:tblLayout w:type="fixed"/>
        <w:tblCellMar>
          <w:top w:w="0" w:type="dxa"/>
          <w:left w:w="0" w:type="dxa"/>
          <w:bottom w:w="0" w:type="dxa"/>
          <w:right w:w="0" w:type="dxa"/>
        </w:tblCellMar>
      </w:tblPr>
      <w:tblGrid>
        <w:gridCol w:w="2510"/>
        <w:gridCol w:w="120"/>
        <w:gridCol w:w="207"/>
        <w:gridCol w:w="653"/>
        <w:gridCol w:w="66"/>
        <w:gridCol w:w="132"/>
        <w:gridCol w:w="109"/>
        <w:gridCol w:w="1021"/>
        <w:gridCol w:w="275"/>
        <w:gridCol w:w="60"/>
        <w:gridCol w:w="207"/>
        <w:gridCol w:w="653"/>
        <w:gridCol w:w="66"/>
        <w:gridCol w:w="132"/>
        <w:gridCol w:w="109"/>
        <w:gridCol w:w="1021"/>
        <w:gridCol w:w="275"/>
        <w:gridCol w:w="60"/>
        <w:gridCol w:w="183"/>
        <w:gridCol w:w="677"/>
        <w:gridCol w:w="170"/>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88" w:type="dxa"/>
            <w:gridSpan w:val="6"/>
            <w:tcBorders/>
            <w:vAlign w:val="center"/>
          </w:tcPr>
          <w:p>
            <w:pPr>
              <w:pStyle w:val="TableContents"/>
              <w:bidi w:val="0"/>
              <w:spacing w:before="0" w:after="0"/>
              <w:jc w:val="center"/>
              <w:rPr>
                <w:b/>
                <w:spacing w:val="0"/>
                <w:sz w:val="16"/>
              </w:rPr>
            </w:pPr>
            <w:r>
              <w:rPr>
                <w:b/>
                <w:spacing w:val="0"/>
                <w:sz w:val="16"/>
              </w:rPr>
              <w:t>Three Months Ended</w:t>
              <w:br/>
              <w:t>September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8" w:type="dxa"/>
            <w:gridSpan w:val="6"/>
            <w:tcBorders/>
            <w:vAlign w:val="center"/>
          </w:tcPr>
          <w:p>
            <w:pPr>
              <w:pStyle w:val="TableContents"/>
              <w:bidi w:val="0"/>
              <w:spacing w:before="0" w:after="0"/>
              <w:jc w:val="center"/>
              <w:rPr>
                <w:b/>
                <w:spacing w:val="0"/>
                <w:sz w:val="16"/>
              </w:rPr>
            </w:pPr>
            <w:r>
              <w:rPr>
                <w:b/>
                <w:spacing w:val="0"/>
                <w:sz w:val="16"/>
              </w:rPr>
              <w:t>Three Months Ended</w:t>
              <w:br/>
              <w:t>September 30, 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center"/>
              <w:rPr>
                <w:b/>
                <w:spacing w:val="0"/>
              </w:rPr>
            </w:pPr>
            <w:r>
              <w:rPr>
                <w:b/>
                <w:spacing w:val="0"/>
              </w:rPr>
              <w:t>% of</w:t>
              <w:br/>
              <w:t>Net Sales –</w:t>
              <w:br/>
              <w:t>standard</w:t>
              <w:br/>
              <w:t>products</w:t>
              <w:b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center"/>
              <w:rPr>
                <w:b/>
                <w:spacing w:val="0"/>
              </w:rPr>
            </w:pPr>
            <w:r>
              <w:rPr>
                <w:b/>
                <w:spacing w:val="0"/>
              </w:rPr>
              <w:t>% of</w:t>
              <w:br/>
              <w:t>Net Sales –</w:t>
              <w:br/>
              <w:t>standard</w:t>
              <w:br/>
              <w:t>products</w:t>
              <w:b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Change</w:t>
              <w:br/>
              <w:t>Amount</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6" w:type="dxa"/>
            <w:gridSpan w:val="18"/>
            <w:tcBorders/>
            <w:vAlign w:val="center"/>
          </w:tcPr>
          <w:p>
            <w:pPr>
              <w:pStyle w:val="TableContents"/>
              <w:bidi w:val="0"/>
              <w:spacing w:before="0" w:after="0"/>
              <w:jc w:val="center"/>
              <w:rPr>
                <w:b/>
                <w:spacing w:val="0"/>
              </w:rPr>
            </w:pPr>
            <w:r>
              <w:rPr>
                <w:b/>
                <w:spacing w:val="0"/>
              </w:rPr>
              <w:t>(Dollars in millions)</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Korea</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19.2</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37.3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23.9</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38.0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(4.6</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Asia Pacific (other than Korea)</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29.9</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57.8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34.6</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55.1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(4.8</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United States</w:t>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1.2</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right"/>
              <w:rPr/>
            </w:pPr>
            <w:r>
              <w:rPr/>
              <w:t>2.7</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4.3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(1.5</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Europe</w:t>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1.3</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653" w:type="dxa"/>
            <w:tcBorders/>
            <w:vAlign w:val="center"/>
          </w:tcPr>
          <w:p>
            <w:pPr>
              <w:pStyle w:val="TableContents"/>
              <w:bidi w:val="0"/>
              <w:spacing w:before="0" w:after="283"/>
              <w:jc w:val="right"/>
              <w:rPr/>
            </w:pPr>
            <w:r>
              <w:rPr/>
              <w:t>1.6</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(0.3</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5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51.6</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53" w:type="dxa"/>
            <w:tcBorders/>
            <w:shd w:fill="CCEEFF" w:val="clear"/>
            <w:vAlign w:val="center"/>
          </w:tcPr>
          <w:p>
            <w:pPr>
              <w:pStyle w:val="TableContents"/>
              <w:bidi w:val="0"/>
              <w:spacing w:before="0" w:after="283"/>
              <w:jc w:val="right"/>
              <w:rPr/>
            </w:pPr>
            <w:r>
              <w:rPr/>
              <w:t>62.8</w:t>
            </w:r>
          </w:p>
        </w:tc>
        <w:tc>
          <w:tcPr>
            <w:tcW w:w="66"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(11.2</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2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5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6"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2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sales – standard products business in Korea decreased from $23.9 million for the three months ended September 30, 2022 to $19.2 million for the three months ended September 30, 2023, or by $4.6 million, or 19.3%, primarily due to lower demand for power products such as MOSFETs, including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high-end</w:t>
      </w:r>
    </w:p>
    <w:p>
      <w:pPr>
        <w:pStyle w:val="TextBody"/>
        <w:bidi w:val="0"/>
        <w:spacing w:before="240" w:after="0"/>
        <w:jc w:val="left"/>
        <w:rPr>
          <w:rFonts w:ascii="Times New Roman" w:hAnsi="Times New Roman"/>
          <w:sz w:val="20"/>
        </w:rPr>
      </w:pPr>
      <w:r>
        <w:rPr>
          <w:rFonts w:ascii="Times New Roman" w:hAnsi="Times New Roman"/>
          <w:sz w:val="20"/>
        </w:rPr>
        <w:t xml:space="preserve">MOSFETs, primarily for TVs and smartphone applications. Weak demand for our OLED TV display driver ICs also had an unfavorable impact on net sales. </w:t>
      </w:r>
    </w:p>
    <w:p>
      <w:pPr>
        <w:pStyle w:val="TextBody"/>
        <w:bidi w:val="0"/>
        <w:spacing w:before="240" w:after="0"/>
        <w:jc w:val="left"/>
        <w:rPr>
          <w:rFonts w:ascii="Times New Roman" w:hAnsi="Times New Roman"/>
          <w:sz w:val="20"/>
        </w:rPr>
      </w:pPr>
      <w:r>
        <w:rPr>
          <w:rFonts w:ascii="Times New Roman" w:hAnsi="Times New Roman"/>
          <w:sz w:val="20"/>
        </w:rPr>
        <w:t xml:space="preserve">Net sales – standard products business in Asia Pacific (other than Korea) decreased from $34.6 million in the three months ended September 30, 2022 to $29.9 million for the three months ended September 30, 2023, or by $4.8 million, or 13.7%, primarily due to lower demand for our power products such as MOSFETs, mainly for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e-bikes,</w:t>
      </w:r>
    </w:p>
    <w:p>
      <w:pPr>
        <w:pStyle w:val="TextBody"/>
        <w:bidi w:val="0"/>
        <w:spacing w:before="240" w:after="0"/>
        <w:jc w:val="left"/>
        <w:rPr>
          <w:rFonts w:ascii="Times New Roman" w:hAnsi="Times New Roman"/>
          <w:sz w:val="20"/>
        </w:rPr>
      </w:pPr>
      <w:r>
        <w:rPr>
          <w:rFonts w:ascii="Times New Roman" w:hAnsi="Times New Roman"/>
          <w:sz w:val="20"/>
        </w:rPr>
        <w:t xml:space="preserve">and IGBTs, primarily for solar inverters. This was partially offset by a revenue increase from our mobile OLED display driver ICs.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Operating Expenses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Selling,</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General</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and</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Administrative</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Expenses.</w:t>
      </w:r>
    </w:p>
    <w:p>
      <w:pPr>
        <w:pStyle w:val="TextBody"/>
        <w:bidi w:val="0"/>
        <w:spacing w:before="120" w:after="0"/>
        <w:jc w:val="left"/>
        <w:rPr/>
      </w:pPr>
      <w:r>
        <w:rPr/>
        <w:t> </w:t>
      </w:r>
      <w:r>
        <w:rPr>
          <w:rFonts w:ascii="Times New Roman" w:hAnsi="Times New Roman"/>
          <w:sz w:val="20"/>
        </w:rPr>
        <w:t xml:space="preserve">Selling, general and administrative expenses were $12.1 million, or 19.7% of total revenues, for the three months ended September 30, 2023, compared to $11.4 million, or 16.0% of total revenues, for the three months ended September 30, 2022. The increase of $0.7 million, or 5.9%, was primarily attributable to an increase in employee compensation, which was mostly due to an adjustment that we recorded in the third quarter of 2022 to decrease estimated equity-based compensation reflecting the then-estimated financial performance for the full year of 2022. This increase was offset in part by a decrease in certain sales and marketing expenses.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Research</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and</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Development</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Expenses.</w:t>
      </w:r>
    </w:p>
    <w:p>
      <w:pPr>
        <w:pStyle w:val="TextBody"/>
        <w:bidi w:val="0"/>
        <w:spacing w:before="240" w:after="0"/>
        <w:jc w:val="left"/>
        <w:rPr/>
      </w:pPr>
      <w:r>
        <w:rPr/>
        <w:t> </w:t>
      </w:r>
      <w:r>
        <w:rPr>
          <w:rFonts w:ascii="Times New Roman" w:hAnsi="Times New Roman"/>
          <w:sz w:val="20"/>
        </w:rPr>
        <w:t xml:space="preserve">Research and development expenses were $11.6 million, or 19.0% of total revenues, for the three months ended September 30, 2023, compared to $13.3 million, or 18.7% of total revenues, for the three months ended September 30, 2022. The decrease of $1.7 million, or 12.7%, was primarily attributable to a decrease in material costs for our </w:t>
      </w:r>
    </w:p>
    <w:p>
      <w:pPr>
        <w:pStyle w:val="TextBody"/>
        <w:bidi w:val="0"/>
        <w:spacing w:before="240" w:after="0"/>
        <w:jc w:val="left"/>
        <w:rPr>
          <w:rFonts w:ascii="Times New Roman" w:hAnsi="Times New Roman"/>
          <w:spacing w:val="0"/>
          <w:sz w:val="20"/>
        </w:rPr>
      </w:pPr>
      <w:r>
        <w:rPr>
          <w:rFonts w:ascii="Times New Roman" w:hAnsi="Times New Roman"/>
          <w:spacing w:val="0"/>
          <w:sz w:val="20"/>
        </w:rPr>
        <w:t>28-nanometer</w:t>
      </w:r>
    </w:p>
    <w:p>
      <w:pPr>
        <w:pStyle w:val="TextBody"/>
        <w:bidi w:val="0"/>
        <w:spacing w:before="240" w:after="0"/>
        <w:jc w:val="left"/>
        <w:rPr>
          <w:rFonts w:ascii="Times New Roman" w:hAnsi="Times New Roman"/>
          <w:sz w:val="20"/>
        </w:rPr>
      </w:pPr>
      <w:r>
        <w:rPr>
          <w:rFonts w:ascii="Times New Roman" w:hAnsi="Times New Roman"/>
          <w:sz w:val="20"/>
        </w:rPr>
        <w:t xml:space="preserve">OLED display driver ICs due to a timing shift for certain development activities, and a decrease in employee compensation, including certain incentives.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Other Charges, Net.</w:t>
      </w:r>
    </w:p>
    <w:p>
      <w:pPr>
        <w:pStyle w:val="TextBody"/>
        <w:bidi w:val="0"/>
        <w:spacing w:before="240" w:after="0"/>
        <w:jc w:val="left"/>
        <w:rPr>
          <w:rFonts w:ascii="Times New Roman" w:hAnsi="Times New Roman"/>
          <w:sz w:val="20"/>
        </w:rPr>
      </w:pPr>
      <w:r>
        <w:rPr>
          <w:rFonts w:ascii="Times New Roman" w:hAnsi="Times New Roman"/>
          <w:sz w:val="20"/>
        </w:rPr>
        <w:t xml:space="preserve">For the three months ended September 30, 2022, we recorded $2.8 million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240" w:after="0"/>
        <w:jc w:val="left"/>
        <w:rPr>
          <w:rFonts w:ascii="Times New Roman" w:hAnsi="Times New Roman"/>
          <w:sz w:val="20"/>
        </w:rPr>
      </w:pPr>
      <w:r>
        <w:rPr>
          <w:rFonts w:ascii="Times New Roman" w:hAnsi="Times New Roman"/>
          <w:sz w:val="20"/>
        </w:rPr>
        <w:t xml:space="preserve">employee incentives and $0.2 million of professional service fees and expenses incurred in connection with certain strategic evaluations, which was offset in part by a $0.5 million gain on sale of certain legacy equipment from the closed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back-end</w:t>
      </w:r>
    </w:p>
    <w:p>
      <w:pPr>
        <w:pStyle w:val="TextBody"/>
        <w:bidi w:val="0"/>
        <w:spacing w:before="240" w:after="0"/>
        <w:jc w:val="left"/>
        <w:rPr>
          <w:rFonts w:ascii="Times New Roman" w:hAnsi="Times New Roman"/>
          <w:sz w:val="20"/>
        </w:rPr>
      </w:pPr>
      <w:r>
        <w:rPr>
          <w:rFonts w:ascii="Times New Roman" w:hAnsi="Times New Roman"/>
          <w:sz w:val="20"/>
        </w:rPr>
        <w:t xml:space="preserve">line in our fabrication facility in Gumi.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Operating Loss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a result of the foregoing, operating loss of $9.2 million was recorded for the three months ended September 30, 2023 compared to operating loss of $10.0 million for the three months ended September 30, 2022. As discussed above, the decrease in operating loss of $0.8 million resulted primarily from a $2.5 million decrease in other charges, net and a $1.7 million decrease in research and development expenses, which was offset in part by a $2.7 million decrease in gross profit and a $0.7 million increase in selling, general and administrative expenses.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Income (Expense)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Interest</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Income.</w:t>
      </w:r>
    </w:p>
    <w:p>
      <w:pPr>
        <w:pStyle w:val="TextBody"/>
        <w:bidi w:val="0"/>
        <w:spacing w:before="120" w:after="0"/>
        <w:jc w:val="left"/>
        <w:rPr/>
      </w:pPr>
      <w:r>
        <w:rPr/>
        <w:t> </w:t>
      </w:r>
      <w:r>
        <w:rPr>
          <w:rFonts w:ascii="Times New Roman" w:hAnsi="Times New Roman"/>
          <w:sz w:val="20"/>
        </w:rPr>
        <w:t xml:space="preserve">Interest income was $2.4 million and $1.8 million for the three months ended September 30, 2023 and September 30, 2022, respectively. The increase of $0.6 million, or 33.5%, was primarily attributable to an increase in interest income on cash and cash equivalents held by our Korean subsidiary, which benefited from increased market interest rates.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Interest</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Expense.</w:t>
      </w:r>
    </w:p>
    <w:p>
      <w:pPr>
        <w:pStyle w:val="TextBody"/>
        <w:bidi w:val="0"/>
        <w:spacing w:before="240" w:after="0"/>
        <w:jc w:val="left"/>
        <w:rPr/>
      </w:pPr>
      <w:r>
        <w:rPr/>
        <w:t> </w:t>
      </w:r>
      <w:r>
        <w:rPr>
          <w:rFonts w:ascii="Times New Roman" w:hAnsi="Times New Roman"/>
          <w:sz w:val="20"/>
        </w:rPr>
        <w:t xml:space="preserve">Interest expense was $0.2 million and $0.3 million for the three months ended September 30, 2023 and September 30, 2022, respectively.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Foreign</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Currency Loss,</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Net.</w:t>
      </w:r>
    </w:p>
    <w:p>
      <w:pPr>
        <w:pStyle w:val="TextBody"/>
        <w:bidi w:val="0"/>
        <w:spacing w:before="240" w:after="0"/>
        <w:jc w:val="left"/>
        <w:rPr/>
      </w:pPr>
      <w:r>
        <w:rPr/>
        <w:t> </w:t>
      </w:r>
      <w:r>
        <w:rPr>
          <w:rFonts w:ascii="Times New Roman" w:hAnsi="Times New Roman"/>
          <w:sz w:val="20"/>
        </w:rPr>
        <w:t xml:space="preserve">Net foreign currency loss for the three months ended September 30, 2023 was $2.6 million compared to net foreign currency loss of $12.8 million for the three months ended September 30, 2022. The net foreign currency loss for the three months ended September 30, 2023 and September 30, 2022 was due to the depreciation in value of the Korean won relative to the U.S. dollar during each respective period. </w:t>
      </w:r>
    </w:p>
    <w:p>
      <w:pPr>
        <w:pStyle w:val="TextBody"/>
        <w:bidi w:val="0"/>
        <w:spacing w:before="240" w:after="0"/>
        <w:jc w:val="left"/>
        <w:rPr>
          <w:rFonts w:ascii="Times New Roman" w:hAnsi="Times New Roman"/>
          <w:sz w:val="20"/>
        </w:rPr>
      </w:pPr>
      <w:r>
        <w:rPr>
          <w:rFonts w:ascii="Times New Roman" w:hAnsi="Times New Roman"/>
          <w:sz w:val="20"/>
        </w:rPr>
        <w:t xml:space="preserve">A substantial portion of our net foreign currency gain or loss is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translation gain or loss associated with intercompany long-term loans to our Korean subsidiary, which are denominated in U.S. dollars, and are affected by changes in the exchange rate between the Korean won and the U.S. dollar. As of September 30, 2023 and September 30, 2022, the outstanding intercompany loan balances, including accrued interest between our Korean subsidiary and our Dutch subsidiary, were $281.7 million and $356.7 million, respectively. Foreign currency translation gain or loss from intercompany balances were included in determining our consolidated net income (loss) since the intercompany balances were not considered long-term investments in nature because management intended to settle these intercompany balances at their respective maturity dates.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 Benefit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Income tax benefit was $4.4 million for the three months ended September 30, 2023, which was primarily attributable to the estimated taxable loss in our Korean subsidiary for the respective period. </w:t>
      </w:r>
    </w:p>
    <w:p>
      <w:pPr>
        <w:pStyle w:val="TextBody"/>
        <w:bidi w:val="0"/>
        <w:spacing w:before="240" w:after="0"/>
        <w:jc w:val="left"/>
        <w:rPr>
          <w:rFonts w:ascii="Times New Roman" w:hAnsi="Times New Roman"/>
          <w:sz w:val="20"/>
        </w:rPr>
      </w:pPr>
      <w:r>
        <w:rPr>
          <w:rFonts w:ascii="Times New Roman" w:hAnsi="Times New Roman"/>
          <w:sz w:val="20"/>
        </w:rPr>
        <w:t xml:space="preserve">Income tax benefit was $3.9 million for the three months ended September 30, 2022, which was primarily attributable to the decrease in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240" w:after="0"/>
        <w:jc w:val="left"/>
        <w:rPr>
          <w:rFonts w:ascii="Times New Roman" w:hAnsi="Times New Roman"/>
          <w:sz w:val="20"/>
        </w:rPr>
      </w:pPr>
      <w:r>
        <w:rPr>
          <w:rFonts w:ascii="Times New Roman" w:hAnsi="Times New Roman"/>
          <w:sz w:val="20"/>
        </w:rPr>
        <w:t xml:space="preserve">income due to foreign currency translation losses associated with intercompany long-term loans in our Korean subsidiary for the respective period.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Loss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a result of the foregoing, a net loss of $5.2 million was recorded for the three months ended September 30, 2023, compared to a net loss of $17.2 million for the three months ended September 30, 2022. As discussed above, the $12.0 million decrease in net loss was primarily attributable to a $10.2 million improvement in net foreign currency loss, a $0.8 million decrease in operating loss, a $0.6 million increase in interest income and a $0.4 million increase in income tax benefit.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Results of Operations – Comparison of Nine Months Ended September 30, 2023 and 2022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following table sets forth consolidated results of operations for the nine months ended September 30, 2023 and 2022: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3045"/>
        <w:gridCol w:w="120"/>
        <w:gridCol w:w="172"/>
        <w:gridCol w:w="688"/>
        <w:gridCol w:w="155"/>
        <w:gridCol w:w="60"/>
        <w:gridCol w:w="154"/>
        <w:gridCol w:w="1441"/>
        <w:gridCol w:w="275"/>
        <w:gridCol w:w="60"/>
        <w:gridCol w:w="172"/>
        <w:gridCol w:w="688"/>
        <w:gridCol w:w="155"/>
        <w:gridCol w:w="60"/>
        <w:gridCol w:w="154"/>
        <w:gridCol w:w="1441"/>
        <w:gridCol w:w="275"/>
        <w:gridCol w:w="60"/>
        <w:gridCol w:w="183"/>
        <w:gridCol w:w="677"/>
        <w:gridCol w:w="170"/>
      </w:tblGrid>
      <w:tr>
        <w:trPr/>
        <w:tc>
          <w:tcPr>
            <w:tcW w:w="3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70" w:type="dxa"/>
            <w:gridSpan w:val="6"/>
            <w:tcBorders/>
            <w:vAlign w:val="center"/>
          </w:tcPr>
          <w:p>
            <w:pPr>
              <w:pStyle w:val="TableContents"/>
              <w:bidi w:val="0"/>
              <w:spacing w:before="0" w:after="0"/>
              <w:jc w:val="center"/>
              <w:rPr>
                <w:b/>
                <w:spacing w:val="0"/>
                <w:sz w:val="16"/>
              </w:rPr>
            </w:pPr>
            <w:r>
              <w:rPr>
                <w:b/>
                <w:spacing w:val="0"/>
                <w:sz w:val="16"/>
              </w:rPr>
              <w:t>Nine Months Ended</w:t>
              <w:br/>
              <w:t>September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0" w:type="dxa"/>
            <w:gridSpan w:val="6"/>
            <w:tcBorders/>
            <w:vAlign w:val="center"/>
          </w:tcPr>
          <w:p>
            <w:pPr>
              <w:pStyle w:val="TableContents"/>
              <w:bidi w:val="0"/>
              <w:spacing w:before="0" w:after="0"/>
              <w:jc w:val="center"/>
              <w:rPr>
                <w:b/>
                <w:spacing w:val="0"/>
                <w:sz w:val="16"/>
              </w:rPr>
            </w:pPr>
            <w:r>
              <w:rPr>
                <w:b/>
                <w:spacing w:val="0"/>
                <w:sz w:val="16"/>
              </w:rPr>
              <w:t>Nine Months Ended</w:t>
              <w:br/>
              <w:t>September 30, 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0"/>
              <w:jc w:val="center"/>
              <w:rPr>
                <w:b/>
                <w:spacing w:val="0"/>
              </w:rPr>
            </w:pPr>
            <w:r>
              <w:rPr>
                <w:b/>
                <w:spacing w:val="0"/>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0"/>
              <w:jc w:val="center"/>
              <w:rPr>
                <w:b/>
                <w:spacing w:val="0"/>
              </w:rPr>
            </w:pPr>
            <w:r>
              <w:rPr>
                <w:b/>
                <w:spacing w:val="0"/>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Change</w:t>
              <w:br/>
              <w:t>Amount</w:t>
            </w:r>
          </w:p>
        </w:tc>
        <w:tc>
          <w:tcPr>
            <w:tcW w:w="170" w:type="dxa"/>
            <w:tcBorders/>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70" w:type="dxa"/>
            <w:gridSpan w:val="18"/>
            <w:tcBorders/>
            <w:vAlign w:val="center"/>
          </w:tcPr>
          <w:p>
            <w:pPr>
              <w:pStyle w:val="TableContents"/>
              <w:bidi w:val="0"/>
              <w:spacing w:before="0" w:after="0"/>
              <w:jc w:val="center"/>
              <w:rPr>
                <w:b/>
                <w:spacing w:val="0"/>
              </w:rPr>
            </w:pPr>
            <w:r>
              <w:rPr>
                <w:b/>
                <w:spacing w:val="0"/>
              </w:rPr>
              <w:t>(Dollars in millions)</w:t>
            </w:r>
          </w:p>
        </w:tc>
        <w:tc>
          <w:tcPr>
            <w:tcW w:w="170" w:type="dxa"/>
            <w:tcBorders/>
            <w:vAlign w:val="center"/>
          </w:tcPr>
          <w:p>
            <w:pPr>
              <w:pStyle w:val="TableContents"/>
              <w:bidi w:val="0"/>
              <w:spacing w:before="0" w:after="283"/>
              <w:jc w:val="left"/>
              <w:rPr/>
            </w:pPr>
            <w:r>
              <w:rPr/>
              <w:t> </w:t>
            </w:r>
          </w:p>
        </w:tc>
      </w:tr>
      <w:tr>
        <w:trPr/>
        <w:tc>
          <w:tcPr>
            <w:tcW w:w="30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0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sales – standard products business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154.5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86.2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248.1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89.7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677" w:type="dxa"/>
            <w:tcBorders/>
            <w:vAlign w:val="center"/>
          </w:tcPr>
          <w:p>
            <w:pPr>
              <w:pStyle w:val="TableContents"/>
              <w:bidi w:val="0"/>
              <w:spacing w:before="0" w:after="283"/>
              <w:jc w:val="right"/>
              <w:rPr/>
            </w:pPr>
            <w:r>
              <w:rPr/>
              <w:t>(93.6</w:t>
            </w:r>
          </w:p>
        </w:tc>
        <w:tc>
          <w:tcPr>
            <w:tcW w:w="170" w:type="dxa"/>
            <w:tcBorders/>
            <w:vAlign w:val="center"/>
          </w:tcPr>
          <w:p>
            <w:pPr>
              <w:pStyle w:val="TableContents"/>
              <w:bidi w:val="0"/>
              <w:spacing w:before="0" w:after="283"/>
              <w:jc w:val="left"/>
              <w:rPr/>
            </w:pPr>
            <w:r>
              <w:rPr/>
              <w:t>) </w:t>
            </w:r>
          </w:p>
        </w:tc>
      </w:tr>
      <w:tr>
        <w:trPr/>
        <w:tc>
          <w:tcPr>
            <w:tcW w:w="30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24.7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13.8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28.6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(3.9</w:t>
            </w:r>
          </w:p>
        </w:tc>
        <w:tc>
          <w:tcPr>
            <w:tcW w:w="170" w:type="dxa"/>
            <w:tcBorders/>
            <w:shd w:fill="CCEEFF" w:val="clear"/>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revenues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179.2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276.7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(97.4</w:t>
            </w:r>
          </w:p>
        </w:tc>
        <w:tc>
          <w:tcPr>
            <w:tcW w:w="170" w:type="dxa"/>
            <w:tcBorders/>
            <w:vAlign w:val="center"/>
          </w:tcPr>
          <w:p>
            <w:pPr>
              <w:pStyle w:val="TableContents"/>
              <w:bidi w:val="0"/>
              <w:spacing w:before="0" w:after="283"/>
              <w:jc w:val="left"/>
              <w:rPr/>
            </w:pPr>
            <w:r>
              <w:rPr/>
              <w:t>) </w:t>
            </w:r>
          </w:p>
        </w:tc>
      </w:tr>
      <w:tr>
        <w:trPr/>
        <w:tc>
          <w:tcPr>
            <w:tcW w:w="30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of sales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0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of sales – standard products business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112.0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62.5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165.2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59.7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(53.2</w:t>
            </w:r>
          </w:p>
        </w:tc>
        <w:tc>
          <w:tcPr>
            <w:tcW w:w="170" w:type="dxa"/>
            <w:tcBorders/>
            <w:vAlign w:val="center"/>
          </w:tcPr>
          <w:p>
            <w:pPr>
              <w:pStyle w:val="TableContents"/>
              <w:bidi w:val="0"/>
              <w:spacing w:before="0" w:after="283"/>
              <w:jc w:val="left"/>
              <w:rPr/>
            </w:pPr>
            <w:r>
              <w:rPr/>
              <w:t>) </w:t>
            </w:r>
          </w:p>
        </w:tc>
      </w:tr>
      <w:tr>
        <w:trPr/>
        <w:tc>
          <w:tcPr>
            <w:tcW w:w="30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of sales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27.1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15.1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26.3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9.5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0.8</w:t>
            </w:r>
          </w:p>
        </w:tc>
        <w:tc>
          <w:tcPr>
            <w:tcW w:w="170" w:type="dxa"/>
            <w:tcBorders/>
            <w:shd w:fill="CCEEFF" w:val="clear"/>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cost of sales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139.1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77.6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191.5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69.2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(52.4</w:t>
            </w:r>
          </w:p>
        </w:tc>
        <w:tc>
          <w:tcPr>
            <w:tcW w:w="170" w:type="dxa"/>
            <w:tcBorders/>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Gross profit</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40.1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22.4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85.2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30.8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(45.1</w:t>
            </w:r>
          </w:p>
        </w:tc>
        <w:tc>
          <w:tcPr>
            <w:tcW w:w="170" w:type="dxa"/>
            <w:tcBorders/>
            <w:shd w:fill="CCEEFF" w:val="clear"/>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Selling, general and administrative expenses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36.4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20.3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38.3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13.8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(1.9</w:t>
            </w:r>
          </w:p>
        </w:tc>
        <w:tc>
          <w:tcPr>
            <w:tcW w:w="170" w:type="dxa"/>
            <w:tcBorders/>
            <w:vAlign w:val="center"/>
          </w:tcPr>
          <w:p>
            <w:pPr>
              <w:pStyle w:val="TableContents"/>
              <w:bidi w:val="0"/>
              <w:spacing w:before="0" w:after="283"/>
              <w:jc w:val="left"/>
              <w:rPr/>
            </w:pPr>
            <w:r>
              <w:rPr/>
              <w:t>) </w:t>
            </w:r>
          </w:p>
        </w:tc>
      </w:tr>
      <w:tr>
        <w:trPr/>
        <w:tc>
          <w:tcPr>
            <w:tcW w:w="30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Research and development expenses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20.2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14.0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(2.5</w:t>
            </w:r>
          </w:p>
        </w:tc>
        <w:tc>
          <w:tcPr>
            <w:tcW w:w="170" w:type="dxa"/>
            <w:tcBorders/>
            <w:shd w:fill="CCEEFF" w:val="clear"/>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Early termination and other charges, net</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5.2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1.2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6.0</w:t>
            </w:r>
          </w:p>
        </w:tc>
        <w:tc>
          <w:tcPr>
            <w:tcW w:w="170" w:type="dxa"/>
            <w:tcBorders/>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Operating income (loss)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(41.7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(23.3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(46.6</w:t>
            </w:r>
          </w:p>
        </w:tc>
        <w:tc>
          <w:tcPr>
            <w:tcW w:w="170" w:type="dxa"/>
            <w:tcBorders/>
            <w:shd w:fill="CCEEFF" w:val="clear"/>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income</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4.4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1.3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4.4</w:t>
            </w:r>
          </w:p>
        </w:tc>
        <w:tc>
          <w:tcPr>
            <w:tcW w:w="170" w:type="dxa"/>
            <w:tcBorders/>
            <w:vAlign w:val="center"/>
          </w:tcPr>
          <w:p>
            <w:pPr>
              <w:pStyle w:val="TableContents"/>
              <w:bidi w:val="0"/>
              <w:spacing w:before="0" w:after="283"/>
              <w:jc w:val="left"/>
              <w:rPr/>
            </w:pPr>
            <w:r>
              <w:rPr/>
              <w:t> </w:t>
            </w:r>
          </w:p>
        </w:tc>
      </w:tr>
      <w:tr>
        <w:trPr/>
        <w:tc>
          <w:tcPr>
            <w:tcW w:w="30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expense</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(0.4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0.2</w:t>
            </w:r>
          </w:p>
        </w:tc>
        <w:tc>
          <w:tcPr>
            <w:tcW w:w="170" w:type="dxa"/>
            <w:tcBorders/>
            <w:shd w:fill="CCEEFF" w:val="clear"/>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Foreign currency loss, net</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(2.7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(20.5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(7.4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15.7</w:t>
            </w:r>
          </w:p>
        </w:tc>
        <w:tc>
          <w:tcPr>
            <w:tcW w:w="170" w:type="dxa"/>
            <w:tcBorders/>
            <w:vAlign w:val="center"/>
          </w:tcPr>
          <w:p>
            <w:pPr>
              <w:pStyle w:val="TableContents"/>
              <w:bidi w:val="0"/>
              <w:spacing w:before="0" w:after="283"/>
              <w:jc w:val="left"/>
              <w:rPr/>
            </w:pPr>
            <w:r>
              <w:rPr/>
              <w:t> </w:t>
            </w:r>
          </w:p>
        </w:tc>
      </w:tr>
      <w:tr>
        <w:trPr/>
        <w:tc>
          <w:tcPr>
            <w:tcW w:w="30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Others, net</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(0.5</w:t>
            </w:r>
          </w:p>
        </w:tc>
        <w:tc>
          <w:tcPr>
            <w:tcW w:w="170" w:type="dxa"/>
            <w:tcBorders/>
            <w:shd w:fill="CCEEFF" w:val="clear"/>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(6.2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19.8</w:t>
            </w:r>
          </w:p>
        </w:tc>
        <w:tc>
          <w:tcPr>
            <w:tcW w:w="170" w:type="dxa"/>
            <w:tcBorders/>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Loss before income tax expense</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(21.8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4.5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(26.8</w:t>
            </w:r>
          </w:p>
        </w:tc>
        <w:tc>
          <w:tcPr>
            <w:tcW w:w="170" w:type="dxa"/>
            <w:tcBorders/>
            <w:shd w:fill="CCEEFF" w:val="clear"/>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 benefit</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(7.2</w:t>
            </w:r>
          </w:p>
        </w:tc>
        <w:tc>
          <w:tcPr>
            <w:tcW w:w="170" w:type="dxa"/>
            <w:tcBorders/>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loss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(17.1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(4.0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(19.6</w:t>
            </w:r>
          </w:p>
        </w:tc>
        <w:tc>
          <w:tcPr>
            <w:tcW w:w="170" w:type="dxa"/>
            <w:tcBorders/>
            <w:shd w:fill="CCEEFF" w:val="clear"/>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sz w:val="4"/>
                <w:szCs w:val="4"/>
              </w:rPr>
            </w:pPr>
            <w:r>
              <w:rPr>
                <w:sz w:val="4"/>
                <w:szCs w:val="4"/>
              </w:rPr>
            </w:r>
          </w:p>
        </w:tc>
        <w:tc>
          <w:tcPr>
            <w:tcW w:w="3065" w:type="dxa"/>
            <w:gridSpan w:val="8"/>
            <w:tcBorders/>
            <w:vAlign w:val="center"/>
          </w:tcPr>
          <w:p>
            <w:pPr>
              <w:pStyle w:val="TableContents"/>
              <w:bidi w:val="0"/>
              <w:spacing w:before="0" w:after="283"/>
              <w:jc w:val="left"/>
              <w:rPr>
                <w:sz w:val="4"/>
                <w:szCs w:val="4"/>
              </w:rPr>
            </w:pPr>
            <w:r>
              <w:rPr>
                <w:sz w:val="4"/>
                <w:szCs w:val="4"/>
              </w:rPr>
            </w:r>
          </w:p>
        </w:tc>
        <w:tc>
          <w:tcPr>
            <w:tcW w:w="3005" w:type="dxa"/>
            <w:gridSpan w:val="8"/>
            <w:tcBorders/>
            <w:vAlign w:val="center"/>
          </w:tcPr>
          <w:p>
            <w:pPr>
              <w:pStyle w:val="TableContents"/>
              <w:bidi w:val="0"/>
              <w:spacing w:before="0" w:after="283"/>
              <w:jc w:val="left"/>
              <w:rPr>
                <w:sz w:val="4"/>
                <w:szCs w:val="4"/>
              </w:rPr>
            </w:pPr>
            <w:r>
              <w:rPr>
                <w:sz w:val="4"/>
                <w:szCs w:val="4"/>
              </w:rPr>
            </w:r>
          </w:p>
        </w:tc>
        <w:tc>
          <w:tcPr>
            <w:tcW w:w="1090" w:type="dxa"/>
            <w:gridSpan w:val="4"/>
            <w:tcBorders/>
            <w:vAlign w:val="center"/>
          </w:tcPr>
          <w:p>
            <w:pPr>
              <w:pStyle w:val="TableContents"/>
              <w:bidi w:val="0"/>
              <w:spacing w:before="0" w:after="283"/>
              <w:jc w:val="left"/>
              <w:rPr>
                <w:sz w:val="4"/>
                <w:szCs w:val="4"/>
              </w:rPr>
            </w:pPr>
            <w:r>
              <w:rPr>
                <w:sz w:val="4"/>
                <w:szCs w:val="4"/>
              </w:rPr>
            </w:r>
          </w:p>
        </w:tc>
      </w:tr>
      <w:tr>
        <w:trPr/>
        <w:tc>
          <w:tcPr>
            <w:tcW w:w="3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70" w:type="dxa"/>
            <w:gridSpan w:val="6"/>
            <w:tcBorders/>
            <w:vAlign w:val="center"/>
          </w:tcPr>
          <w:p>
            <w:pPr>
              <w:pStyle w:val="TableContents"/>
              <w:bidi w:val="0"/>
              <w:spacing w:before="0" w:after="0"/>
              <w:jc w:val="center"/>
              <w:rPr>
                <w:b/>
                <w:spacing w:val="0"/>
                <w:sz w:val="16"/>
              </w:rPr>
            </w:pPr>
            <w:r>
              <w:rPr>
                <w:b/>
                <w:spacing w:val="0"/>
                <w:sz w:val="16"/>
              </w:rPr>
              <w:t>Nine Months Ended</w:t>
              <w:br/>
              <w:t>September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0" w:type="dxa"/>
            <w:gridSpan w:val="6"/>
            <w:tcBorders/>
            <w:vAlign w:val="center"/>
          </w:tcPr>
          <w:p>
            <w:pPr>
              <w:pStyle w:val="TableContents"/>
              <w:bidi w:val="0"/>
              <w:spacing w:before="0" w:after="0"/>
              <w:jc w:val="center"/>
              <w:rPr>
                <w:b/>
                <w:spacing w:val="0"/>
                <w:sz w:val="16"/>
              </w:rPr>
            </w:pPr>
            <w:r>
              <w:rPr>
                <w:b/>
                <w:spacing w:val="0"/>
                <w:sz w:val="16"/>
              </w:rPr>
              <w:t>Nine Months Ended</w:t>
              <w:br/>
              <w:t>September 30, 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0"/>
              <w:jc w:val="center"/>
              <w:rPr>
                <w:b/>
                <w:spacing w:val="0"/>
              </w:rPr>
            </w:pPr>
            <w:r>
              <w:rPr>
                <w:b/>
                <w:spacing w:val="0"/>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0"/>
              <w:jc w:val="center"/>
              <w:rPr>
                <w:b/>
                <w:spacing w:val="0"/>
              </w:rPr>
            </w:pPr>
            <w:r>
              <w:rPr>
                <w:b/>
                <w:spacing w:val="0"/>
              </w:rPr>
              <w:t>% of</w:t>
              <w:br/>
              <w:t>Total Revenues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Change</w:t>
              <w:br/>
              <w:t>Amount</w:t>
            </w:r>
          </w:p>
        </w:tc>
        <w:tc>
          <w:tcPr>
            <w:tcW w:w="170" w:type="dxa"/>
            <w:tcBorders/>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70" w:type="dxa"/>
            <w:gridSpan w:val="18"/>
            <w:tcBorders/>
            <w:vAlign w:val="center"/>
          </w:tcPr>
          <w:p>
            <w:pPr>
              <w:pStyle w:val="TableContents"/>
              <w:bidi w:val="0"/>
              <w:spacing w:before="0" w:after="0"/>
              <w:jc w:val="center"/>
              <w:rPr>
                <w:b/>
                <w:spacing w:val="0"/>
              </w:rPr>
            </w:pPr>
            <w:r>
              <w:rPr>
                <w:b/>
                <w:spacing w:val="0"/>
              </w:rPr>
              <w:t>(Dollars in millions)</w:t>
            </w:r>
          </w:p>
        </w:tc>
        <w:tc>
          <w:tcPr>
            <w:tcW w:w="170" w:type="dxa"/>
            <w:tcBorders/>
            <w:vAlign w:val="center"/>
          </w:tcPr>
          <w:p>
            <w:pPr>
              <w:pStyle w:val="TableContents"/>
              <w:bidi w:val="0"/>
              <w:spacing w:before="0" w:after="283"/>
              <w:jc w:val="left"/>
              <w:rPr/>
            </w:pPr>
            <w:r>
              <w:rPr/>
              <w:t> </w:t>
            </w:r>
          </w:p>
        </w:tc>
      </w:tr>
      <w:tr>
        <w:trPr/>
        <w:tc>
          <w:tcPr>
            <w:tcW w:w="30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Revenues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0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sales – standard products business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Display Solutions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63.9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23.1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(37.0</w:t>
            </w:r>
          </w:p>
        </w:tc>
        <w:tc>
          <w:tcPr>
            <w:tcW w:w="170" w:type="dxa"/>
            <w:tcBorders/>
            <w:shd w:fill="CCEEFF" w:val="clear"/>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Power Solutions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127.6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71.2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184.2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66.6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(56.6</w:t>
            </w:r>
          </w:p>
        </w:tc>
        <w:tc>
          <w:tcPr>
            <w:tcW w:w="170" w:type="dxa"/>
            <w:tcBorders/>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standard products business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154.5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86.2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248.1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89.7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(93.6</w:t>
            </w:r>
          </w:p>
        </w:tc>
        <w:tc>
          <w:tcPr>
            <w:tcW w:w="170" w:type="dxa"/>
            <w:tcBorders/>
            <w:shd w:fill="CCEEFF" w:val="clear"/>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Net sales – transitional Fab 3 foundry services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24.7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13.8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28.6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10.3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(3.9</w:t>
            </w:r>
          </w:p>
        </w:tc>
        <w:tc>
          <w:tcPr>
            <w:tcW w:w="170" w:type="dxa"/>
            <w:tcBorders/>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44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revenues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179.2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276.7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(97.4</w:t>
            </w:r>
          </w:p>
        </w:tc>
        <w:tc>
          <w:tcPr>
            <w:tcW w:w="170" w:type="dxa"/>
            <w:tcBorders/>
            <w:shd w:fill="CCEEFF" w:val="clear"/>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sz w:val="4"/>
                <w:szCs w:val="4"/>
              </w:rPr>
            </w:pPr>
            <w:r>
              <w:rPr>
                <w:sz w:val="4"/>
                <w:szCs w:val="4"/>
              </w:rPr>
            </w:r>
          </w:p>
        </w:tc>
        <w:tc>
          <w:tcPr>
            <w:tcW w:w="3065" w:type="dxa"/>
            <w:gridSpan w:val="8"/>
            <w:tcBorders/>
            <w:vAlign w:val="center"/>
          </w:tcPr>
          <w:p>
            <w:pPr>
              <w:pStyle w:val="TableContents"/>
              <w:bidi w:val="0"/>
              <w:spacing w:before="0" w:after="283"/>
              <w:jc w:val="left"/>
              <w:rPr>
                <w:sz w:val="4"/>
                <w:szCs w:val="4"/>
              </w:rPr>
            </w:pPr>
            <w:r>
              <w:rPr>
                <w:sz w:val="4"/>
                <w:szCs w:val="4"/>
              </w:rPr>
            </w:r>
          </w:p>
        </w:tc>
        <w:tc>
          <w:tcPr>
            <w:tcW w:w="3005" w:type="dxa"/>
            <w:gridSpan w:val="8"/>
            <w:tcBorders/>
            <w:vAlign w:val="center"/>
          </w:tcPr>
          <w:p>
            <w:pPr>
              <w:pStyle w:val="TableContents"/>
              <w:bidi w:val="0"/>
              <w:spacing w:before="0" w:after="283"/>
              <w:jc w:val="left"/>
              <w:rPr>
                <w:sz w:val="4"/>
                <w:szCs w:val="4"/>
              </w:rPr>
            </w:pPr>
            <w:r>
              <w:rPr>
                <w:sz w:val="4"/>
                <w:szCs w:val="4"/>
              </w:rPr>
            </w:r>
          </w:p>
        </w:tc>
        <w:tc>
          <w:tcPr>
            <w:tcW w:w="1090" w:type="dxa"/>
            <w:gridSpan w:val="4"/>
            <w:tcBorders/>
            <w:vAlign w:val="center"/>
          </w:tcPr>
          <w:p>
            <w:pPr>
              <w:pStyle w:val="TableContents"/>
              <w:bidi w:val="0"/>
              <w:spacing w:before="0" w:after="283"/>
              <w:jc w:val="left"/>
              <w:rPr>
                <w:sz w:val="4"/>
                <w:szCs w:val="4"/>
              </w:rPr>
            </w:pPr>
            <w:r>
              <w:rPr>
                <w:sz w:val="4"/>
                <w:szCs w:val="4"/>
              </w:rPr>
            </w:r>
          </w:p>
        </w:tc>
      </w:tr>
      <w:tr>
        <w:trPr/>
        <w:tc>
          <w:tcPr>
            <w:tcW w:w="3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70" w:type="dxa"/>
            <w:gridSpan w:val="6"/>
            <w:tcBorders/>
            <w:vAlign w:val="center"/>
          </w:tcPr>
          <w:p>
            <w:pPr>
              <w:pStyle w:val="TableContents"/>
              <w:bidi w:val="0"/>
              <w:spacing w:before="0" w:after="0"/>
              <w:jc w:val="center"/>
              <w:rPr>
                <w:b/>
                <w:spacing w:val="0"/>
                <w:sz w:val="16"/>
              </w:rPr>
            </w:pPr>
            <w:r>
              <w:rPr>
                <w:b/>
                <w:spacing w:val="0"/>
                <w:sz w:val="16"/>
              </w:rPr>
              <w:t>Nine Months Ended</w:t>
              <w:br/>
              <w:t>September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0" w:type="dxa"/>
            <w:gridSpan w:val="6"/>
            <w:tcBorders/>
            <w:vAlign w:val="center"/>
          </w:tcPr>
          <w:p>
            <w:pPr>
              <w:pStyle w:val="TableContents"/>
              <w:bidi w:val="0"/>
              <w:spacing w:before="0" w:after="0"/>
              <w:jc w:val="center"/>
              <w:rPr>
                <w:b/>
                <w:spacing w:val="0"/>
                <w:sz w:val="16"/>
              </w:rPr>
            </w:pPr>
            <w:r>
              <w:rPr>
                <w:b/>
                <w:spacing w:val="0"/>
                <w:sz w:val="16"/>
              </w:rPr>
              <w:t>Nine Months Ended</w:t>
              <w:br/>
              <w:t>September 30, 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0"/>
              <w:jc w:val="center"/>
              <w:rPr>
                <w:b/>
                <w:spacing w:val="0"/>
              </w:rPr>
            </w:pPr>
            <w:r>
              <w:rPr>
                <w:b/>
                <w:spacing w:val="0"/>
              </w:rPr>
              <w:t>% of</w:t>
              <w:br/>
              <w:t>Net Sales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0"/>
              <w:jc w:val="center"/>
              <w:rPr>
                <w:b/>
                <w:spacing w:val="0"/>
              </w:rPr>
            </w:pPr>
            <w:r>
              <w:rPr>
                <w:b/>
                <w:spacing w:val="0"/>
              </w:rPr>
              <w:t>% of</w:t>
              <w:br/>
              <w:t>Net Sales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Change</w:t>
              <w:br/>
              <w:t>Amount</w:t>
            </w:r>
          </w:p>
        </w:tc>
        <w:tc>
          <w:tcPr>
            <w:tcW w:w="170" w:type="dxa"/>
            <w:tcBorders/>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5"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870" w:type="dxa"/>
            <w:gridSpan w:val="18"/>
            <w:tcBorders/>
            <w:vAlign w:val="center"/>
          </w:tcPr>
          <w:p>
            <w:pPr>
              <w:pStyle w:val="TableContents"/>
              <w:bidi w:val="0"/>
              <w:spacing w:before="0" w:after="0"/>
              <w:jc w:val="center"/>
              <w:rPr>
                <w:b/>
                <w:spacing w:val="0"/>
              </w:rPr>
            </w:pPr>
            <w:r>
              <w:rPr>
                <w:b/>
                <w:spacing w:val="0"/>
              </w:rPr>
              <w:t>(Dollars in millions)</w:t>
            </w:r>
          </w:p>
        </w:tc>
        <w:tc>
          <w:tcPr>
            <w:tcW w:w="170" w:type="dxa"/>
            <w:tcBorders/>
            <w:vAlign w:val="center"/>
          </w:tcPr>
          <w:p>
            <w:pPr>
              <w:pStyle w:val="TableContents"/>
              <w:bidi w:val="0"/>
              <w:spacing w:before="0" w:after="283"/>
              <w:jc w:val="left"/>
              <w:rPr/>
            </w:pPr>
            <w:r>
              <w:rPr/>
              <w:t> </w:t>
            </w:r>
          </w:p>
        </w:tc>
      </w:tr>
      <w:tr>
        <w:trPr/>
        <w:tc>
          <w:tcPr>
            <w:tcW w:w="3045"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Gross Profit</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sz w:val="4"/>
                <w:szCs w:val="4"/>
              </w:rPr>
            </w:pPr>
            <w:r>
              <w:rPr>
                <w:sz w:val="4"/>
                <w:szCs w:val="4"/>
              </w:rPr>
            </w:r>
          </w:p>
        </w:tc>
        <w:tc>
          <w:tcPr>
            <w:tcW w:w="688"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sz w:val="4"/>
                <w:szCs w:val="4"/>
              </w:rPr>
            </w:pPr>
            <w:r>
              <w:rPr>
                <w:sz w:val="4"/>
                <w:szCs w:val="4"/>
              </w:rPr>
            </w:r>
          </w:p>
        </w:tc>
        <w:tc>
          <w:tcPr>
            <w:tcW w:w="144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sz w:val="4"/>
                <w:szCs w:val="4"/>
              </w:rPr>
            </w:pPr>
            <w:r>
              <w:rPr>
                <w:sz w:val="4"/>
                <w:szCs w:val="4"/>
              </w:rPr>
            </w:r>
          </w:p>
        </w:tc>
        <w:tc>
          <w:tcPr>
            <w:tcW w:w="677"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30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Gross profit – standard products business</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42.5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27.5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82.9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33.4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677" w:type="dxa"/>
            <w:tcBorders/>
            <w:vAlign w:val="center"/>
          </w:tcPr>
          <w:p>
            <w:pPr>
              <w:pStyle w:val="TableContents"/>
              <w:bidi w:val="0"/>
              <w:spacing w:before="0" w:after="283"/>
              <w:jc w:val="right"/>
              <w:rPr/>
            </w:pPr>
            <w:r>
              <w:rPr/>
              <w:t>(40.4</w:t>
            </w:r>
          </w:p>
        </w:tc>
        <w:tc>
          <w:tcPr>
            <w:tcW w:w="170" w:type="dxa"/>
            <w:tcBorders/>
            <w:vAlign w:val="center"/>
          </w:tcPr>
          <w:p>
            <w:pPr>
              <w:pStyle w:val="TableContents"/>
              <w:bidi w:val="0"/>
              <w:spacing w:before="0" w:after="283"/>
              <w:jc w:val="left"/>
              <w:rPr/>
            </w:pPr>
            <w:r>
              <w:rPr/>
              <w:t>) </w:t>
            </w:r>
          </w:p>
        </w:tc>
      </w:tr>
      <w:tr>
        <w:trPr/>
        <w:tc>
          <w:tcPr>
            <w:tcW w:w="30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Gross profit – transitional Fab 3 foundry services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(9.7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441" w:type="dxa"/>
            <w:tcBorders/>
            <w:shd w:fill="CCEEFF" w:val="clear"/>
            <w:vAlign w:val="center"/>
          </w:tcPr>
          <w:p>
            <w:pPr>
              <w:pStyle w:val="TableContents"/>
              <w:bidi w:val="0"/>
              <w:spacing w:before="0" w:after="283"/>
              <w:jc w:val="right"/>
              <w:rPr/>
            </w:pPr>
            <w:r>
              <w:rPr/>
              <w:t>8.0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(4.7</w:t>
            </w:r>
          </w:p>
        </w:tc>
        <w:tc>
          <w:tcPr>
            <w:tcW w:w="170" w:type="dxa"/>
            <w:tcBorders/>
            <w:shd w:fill="CCEEFF" w:val="clear"/>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gross profit</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40.1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22.4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85.2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right"/>
              <w:rPr/>
            </w:pPr>
            <w:r>
              <w:rPr/>
              <w:t>30.8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677" w:type="dxa"/>
            <w:tcBorders/>
            <w:vAlign w:val="center"/>
          </w:tcPr>
          <w:p>
            <w:pPr>
              <w:pStyle w:val="TableContents"/>
              <w:bidi w:val="0"/>
              <w:spacing w:before="0" w:after="283"/>
              <w:jc w:val="right"/>
              <w:rPr/>
            </w:pPr>
            <w:r>
              <w:rPr/>
              <w:t>(45.1</w:t>
            </w:r>
          </w:p>
        </w:tc>
        <w:tc>
          <w:tcPr>
            <w:tcW w:w="170" w:type="dxa"/>
            <w:tcBorders/>
            <w:vAlign w:val="center"/>
          </w:tcPr>
          <w:p>
            <w:pPr>
              <w:pStyle w:val="TableContents"/>
              <w:bidi w:val="0"/>
              <w:spacing w:before="0" w:after="283"/>
              <w:jc w:val="left"/>
              <w:rPr/>
            </w:pPr>
            <w:r>
              <w:rPr/>
              <w:t>) </w:t>
            </w:r>
          </w:p>
        </w:tc>
      </w:tr>
      <w:tr>
        <w:trPr/>
        <w:tc>
          <w:tcPr>
            <w:tcW w:w="3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44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Total revenues were $179.2 million for the nine months ended September 30, 2023, a $97.4 million, or 35.2%, decrease compared to $276.7 million for the nine months ended September 30, 2022. This decrease was primarily due to a decrease in revenue related to our standard products business as described below.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The standard products business.</w:t>
      </w:r>
    </w:p>
    <w:p>
      <w:pPr>
        <w:pStyle w:val="TextBody"/>
        <w:bidi w:val="0"/>
        <w:spacing w:before="240" w:after="0"/>
        <w:jc w:val="left"/>
        <w:rPr/>
      </w:pPr>
      <w:r>
        <w:rPr/>
        <w:t> </w:t>
      </w:r>
      <w:r>
        <w:rPr>
          <w:rFonts w:ascii="Times New Roman" w:hAnsi="Times New Roman"/>
          <w:sz w:val="20"/>
        </w:rPr>
        <w:t xml:space="preserve">Net sales from our standard products business were $154.5 million for the nine months ended September 30, 2023, a $93.6 million, or 37.7%, decrease compared to $248.1 million for the nine months ended September 30, 2022.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Net sales from our Display Solutions business line decreased from $63.9 million for the nine months ended September 30, 2022 to $26.9 million for the nine months ended September 30, 2023. The decrease in net sales from our Display Solutions business line was primarily attributable to a decrease in revenue from our mobile OLED display driver ICs stemming from lower customer demand as a result of weak global macroeconomic conditions, lingering weakness in Chinese smartphone orders and continued impact of a lack of new design-wins caused by a supply shortage in 2022 (in particular for 28nm 12 inch OLED wafers) at external 12 inch foundries. Weak demand for our OLED TV display driver ICs also had an unfavorable impact on net sales. </w:t>
      </w:r>
    </w:p>
    <w:p>
      <w:pPr>
        <w:pStyle w:val="TextBody"/>
        <w:bidi w:val="0"/>
        <w:spacing w:before="240" w:after="0"/>
        <w:jc w:val="left"/>
        <w:rPr>
          <w:rFonts w:ascii="Times New Roman" w:hAnsi="Times New Roman"/>
          <w:sz w:val="20"/>
        </w:rPr>
      </w:pPr>
      <w:r>
        <w:rPr>
          <w:rFonts w:ascii="Times New Roman" w:hAnsi="Times New Roman"/>
          <w:sz w:val="20"/>
        </w:rPr>
        <w:t xml:space="preserve">Net sales from our Power Solutions business line decreased from $184.2 million for the nine months ended September 30, 2022 to $127.6 million compared to the nine months ended September 30, 2023. The decrease in net sales from our Power Solutions business line was attributable to lower demand for power products such as MOSFETs, including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high-end</w:t>
      </w:r>
    </w:p>
    <w:p>
      <w:pPr>
        <w:pStyle w:val="TextBody"/>
        <w:bidi w:val="0"/>
        <w:spacing w:before="240" w:after="0"/>
        <w:jc w:val="left"/>
        <w:rPr>
          <w:rFonts w:ascii="Times New Roman" w:hAnsi="Times New Roman"/>
          <w:sz w:val="20"/>
        </w:rPr>
      </w:pPr>
      <w:r>
        <w:rPr>
          <w:rFonts w:ascii="Times New Roman" w:hAnsi="Times New Roman"/>
          <w:sz w:val="20"/>
        </w:rPr>
        <w:t xml:space="preserve">MOSFETs, primarily for TVs, smartphones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e-bikes,</w:t>
      </w:r>
    </w:p>
    <w:p>
      <w:pPr>
        <w:pStyle w:val="TextBody"/>
        <w:bidi w:val="0"/>
        <w:spacing w:before="240" w:after="0"/>
        <w:jc w:val="left"/>
        <w:rPr>
          <w:rFonts w:ascii="Times New Roman" w:hAnsi="Times New Roman"/>
          <w:sz w:val="20"/>
        </w:rPr>
      </w:pPr>
      <w:r>
        <w:rPr>
          <w:rFonts w:ascii="Times New Roman" w:hAnsi="Times New Roman"/>
          <w:sz w:val="20"/>
        </w:rPr>
        <w:t xml:space="preserve">mainly due to an industry-wide slowdown. Weak demand for IGBTs for solar inverters also had an unfavorable impact on net sales.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The transitional Fab 3 foundry services.</w:t>
      </w:r>
    </w:p>
    <w:p>
      <w:pPr>
        <w:pStyle w:val="TextBody"/>
        <w:bidi w:val="0"/>
        <w:spacing w:before="240" w:after="0"/>
        <w:jc w:val="left"/>
        <w:rPr>
          <w:rFonts w:ascii="Times New Roman" w:hAnsi="Times New Roman"/>
          <w:sz w:val="20"/>
        </w:rPr>
      </w:pPr>
      <w:r>
        <w:rPr>
          <w:rFonts w:ascii="Times New Roman" w:hAnsi="Times New Roman"/>
          <w:sz w:val="20"/>
        </w:rPr>
        <w:t xml:space="preserve">Net sales from the transitional Fab 3 foundry services were $24.7 million and $28.6 million for the nine months ended September 30, 2023 and 2022, respectively.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Gross Profit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Total gross profit was $40.1 million for the nine months ended September 30, 2023 compared to $85.2 million for the nine months ended September 30, 2022, a $45.1 million, or 52.9%, decrease. Gross profit as a percentage of net sales for the nine months ended September 30, 2023 decreased to 22.4%, compared to 30.8% for the nine months ended September 30, 2022. The decrease in gross profit and gross profit as a percentage of net sales was primarily due to our standard products business as further described below.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The standard products business.</w:t>
      </w:r>
    </w:p>
    <w:p>
      <w:pPr>
        <w:pStyle w:val="TextBody"/>
        <w:bidi w:val="0"/>
        <w:spacing w:before="240" w:after="0"/>
        <w:jc w:val="left"/>
        <w:rPr/>
      </w:pPr>
      <w:r>
        <w:rPr/>
        <w:t> </w:t>
      </w:r>
      <w:r>
        <w:rPr>
          <w:rFonts w:ascii="Times New Roman" w:hAnsi="Times New Roman"/>
          <w:sz w:val="20"/>
        </w:rPr>
        <w:t xml:space="preserve">Gross profit from our standard products business was $42.5 million for the nine months ended September 30, 2023, which represented a $40.4 million, or 48.7%, decrease from a gross profit of $82.9 million for the nine months ended September 30, 2022. The decrease in gross profit was primarily attributable to a significant decrease in net sales from our standard product business as explained above. Gross profit as a percentage of net sales for the nine months ended September 30, 2023 decreased to 27.5% compared to 33.4% for the nine months ended September 30, 2022. The year-over-year decrease in gross profit as a percentage of net sales was primarily attributable to an unfavorable product mix as well as higher manufacturing input costs, such as electricity and wages, and a significant drop in the utilization rate of our internal fabrication facility in Gumi. This decrease was offset in part by the $3.3 million of scrap charge recorded in the third quarter of 2022, which stemmed from lower demand for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12-inch</w:t>
      </w:r>
    </w:p>
    <w:p>
      <w:pPr>
        <w:pStyle w:val="TextBody"/>
        <w:bidi w:val="0"/>
        <w:spacing w:before="240" w:after="0"/>
        <w:jc w:val="left"/>
        <w:rPr>
          <w:rFonts w:ascii="Times New Roman" w:hAnsi="Times New Roman"/>
          <w:sz w:val="20"/>
        </w:rPr>
      </w:pPr>
      <w:r>
        <w:rPr>
          <w:rFonts w:ascii="Times New Roman" w:hAnsi="Times New Roman"/>
          <w:sz w:val="20"/>
        </w:rPr>
        <w:t xml:space="preserve">display products as a result of lower demand for China smartphones.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Sales – Standard Products Business by Geographic Region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report net sales – standard products business by geographic region based on the location to which the products are billed. The following table sets forth our net sales—standard products business by geographic region and the percentage of total net sales—standard products business represented by each geographic region for the nine months ended September 30, 2023 and 2022: </w:t>
      </w:r>
    </w:p>
    <w:p>
      <w:pPr>
        <w:pStyle w:val="TextBody"/>
        <w:bidi w:val="0"/>
        <w:spacing w:before="0" w:after="0"/>
        <w:jc w:val="left"/>
        <w:rPr>
          <w:spacing w:val="0"/>
        </w:rPr>
      </w:pPr>
      <w:r>
        <w:rPr>
          <w:spacing w:val="0"/>
        </w:rPr>
        <w:t> </w:t>
      </w:r>
    </w:p>
    <w:tbl>
      <w:tblPr>
        <w:tblW w:w="8670" w:type="dxa"/>
        <w:jc w:val="left"/>
        <w:tblInd w:w="0" w:type="dxa"/>
        <w:tblLayout w:type="fixed"/>
        <w:tblCellMar>
          <w:top w:w="0" w:type="dxa"/>
          <w:left w:w="0" w:type="dxa"/>
          <w:bottom w:w="0" w:type="dxa"/>
          <w:right w:w="0" w:type="dxa"/>
        </w:tblCellMar>
      </w:tblPr>
      <w:tblGrid>
        <w:gridCol w:w="2510"/>
        <w:gridCol w:w="120"/>
        <w:gridCol w:w="172"/>
        <w:gridCol w:w="688"/>
        <w:gridCol w:w="60"/>
        <w:gridCol w:w="120"/>
        <w:gridCol w:w="109"/>
        <w:gridCol w:w="1021"/>
        <w:gridCol w:w="275"/>
        <w:gridCol w:w="60"/>
        <w:gridCol w:w="172"/>
        <w:gridCol w:w="688"/>
        <w:gridCol w:w="60"/>
        <w:gridCol w:w="120"/>
        <w:gridCol w:w="109"/>
        <w:gridCol w:w="1021"/>
        <w:gridCol w:w="275"/>
        <w:gridCol w:w="60"/>
        <w:gridCol w:w="183"/>
        <w:gridCol w:w="677"/>
        <w:gridCol w:w="170"/>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70" w:type="dxa"/>
            <w:gridSpan w:val="6"/>
            <w:tcBorders/>
            <w:vAlign w:val="center"/>
          </w:tcPr>
          <w:p>
            <w:pPr>
              <w:pStyle w:val="TableContents"/>
              <w:bidi w:val="0"/>
              <w:spacing w:before="0" w:after="0"/>
              <w:jc w:val="center"/>
              <w:rPr>
                <w:b/>
                <w:spacing w:val="0"/>
                <w:sz w:val="16"/>
              </w:rPr>
            </w:pPr>
            <w:r>
              <w:rPr>
                <w:b/>
                <w:spacing w:val="0"/>
                <w:sz w:val="16"/>
              </w:rPr>
              <w:t>Nine Months Ended</w:t>
              <w:br/>
              <w:t>September 30, 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0" w:type="dxa"/>
            <w:gridSpan w:val="6"/>
            <w:tcBorders/>
            <w:vAlign w:val="center"/>
          </w:tcPr>
          <w:p>
            <w:pPr>
              <w:pStyle w:val="TableContents"/>
              <w:bidi w:val="0"/>
              <w:spacing w:before="0" w:after="0"/>
              <w:jc w:val="center"/>
              <w:rPr>
                <w:b/>
                <w:spacing w:val="0"/>
                <w:sz w:val="16"/>
              </w:rPr>
            </w:pPr>
            <w:r>
              <w:rPr>
                <w:b/>
                <w:spacing w:val="0"/>
                <w:sz w:val="16"/>
              </w:rPr>
              <w:t>Nine Months Ended</w:t>
              <w:br/>
              <w:t>September 30, 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center"/>
              <w:rPr>
                <w:b/>
                <w:spacing w:val="0"/>
              </w:rPr>
            </w:pPr>
            <w:r>
              <w:rPr>
                <w:b/>
                <w:spacing w:val="0"/>
              </w:rPr>
              <w:t>% of</w:t>
              <w:br/>
              <w:t>Net Sales –</w:t>
              <w:br/>
              <w:t>standard</w:t>
              <w:br/>
              <w:t>products</w:t>
              <w:b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center"/>
              <w:rPr>
                <w:b/>
                <w:spacing w:val="0"/>
              </w:rPr>
            </w:pPr>
            <w:r>
              <w:rPr>
                <w:b/>
                <w:spacing w:val="0"/>
              </w:rPr>
              <w:t>% of</w:t>
              <w:br/>
              <w:t>Net Sales –</w:t>
              <w:br/>
              <w:t>standard</w:t>
              <w:br/>
              <w:t>products</w:t>
              <w:br/>
              <w:t>business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Change</w:t>
              <w:br/>
              <w:t>Amount</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870" w:type="dxa"/>
            <w:gridSpan w:val="18"/>
            <w:tcBorders/>
            <w:vAlign w:val="center"/>
          </w:tcPr>
          <w:p>
            <w:pPr>
              <w:pStyle w:val="TableContents"/>
              <w:bidi w:val="0"/>
              <w:spacing w:before="0" w:after="0"/>
              <w:jc w:val="center"/>
              <w:rPr>
                <w:b/>
                <w:spacing w:val="0"/>
              </w:rPr>
            </w:pPr>
            <w:r>
              <w:rPr>
                <w:b/>
                <w:spacing w:val="0"/>
              </w:rPr>
              <w:t>(Dollars in millions)</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Korea</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50.1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32.5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86.1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34.7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(35.9</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Asia Pacific (other than Korea)</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96.8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62.6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148.9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60.0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(52.2</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United States</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77" w:type="dxa"/>
            <w:tcBorders/>
            <w:shd w:fill="CCEEFF" w:val="clear"/>
            <w:vAlign w:val="center"/>
          </w:tcPr>
          <w:p>
            <w:pPr>
              <w:pStyle w:val="TableContents"/>
              <w:bidi w:val="0"/>
              <w:spacing w:before="0" w:after="283"/>
              <w:jc w:val="right"/>
              <w:rPr/>
            </w:pPr>
            <w:r>
              <w:rPr/>
              <w:t>(5.6</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Europe</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021" w:type="dxa"/>
            <w:tcBorders/>
            <w:vAlign w:val="center"/>
          </w:tcPr>
          <w:p>
            <w:pPr>
              <w:pStyle w:val="TableContents"/>
              <w:bidi w:val="0"/>
              <w:spacing w:before="0" w:after="283"/>
              <w:jc w:val="right"/>
              <w:rPr/>
            </w:pPr>
            <w:r>
              <w:rPr/>
              <w:t>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right"/>
              <w:rPr/>
            </w:pPr>
            <w:r>
              <w:rPr/>
              <w:t>0.1</w:t>
            </w:r>
          </w:p>
        </w:tc>
        <w:tc>
          <w:tcPr>
            <w:tcW w:w="17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8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2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7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154.5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248.1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77" w:type="dxa"/>
            <w:tcBorders/>
            <w:shd w:fill="CCEEFF" w:val="clear"/>
            <w:vAlign w:val="center"/>
          </w:tcPr>
          <w:p>
            <w:pPr>
              <w:pStyle w:val="TableContents"/>
              <w:bidi w:val="0"/>
              <w:spacing w:before="0" w:after="283"/>
              <w:jc w:val="right"/>
              <w:rPr/>
            </w:pPr>
            <w:r>
              <w:rPr/>
              <w:t>(93.6</w:t>
            </w:r>
          </w:p>
        </w:tc>
        <w:tc>
          <w:tcPr>
            <w:tcW w:w="170"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2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8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02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7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Net sales – standard products business in Korea decreased from $86.1 million for the nine months ended September 30, 2022 to $50.1 million for the nine months ended September 30, 2023, or by $35.9 million, or 41.7%. This decrease was primarily due to lower demand for power products such as MOSFETs, including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high-end</w:t>
      </w:r>
    </w:p>
    <w:p>
      <w:pPr>
        <w:pStyle w:val="TextBody"/>
        <w:bidi w:val="0"/>
        <w:spacing w:before="240" w:after="0"/>
        <w:jc w:val="left"/>
        <w:rPr>
          <w:rFonts w:ascii="Times New Roman" w:hAnsi="Times New Roman"/>
          <w:sz w:val="20"/>
        </w:rPr>
      </w:pPr>
      <w:r>
        <w:rPr>
          <w:rFonts w:ascii="Times New Roman" w:hAnsi="Times New Roman"/>
          <w:sz w:val="20"/>
        </w:rPr>
        <w:t xml:space="preserve">MOSFETs, primarily for TVs and smartphone applications. Weak demand for our mobile OLED display driver ICs and OLED TV display driver ICs also had an unfavorable impact on net sales. </w:t>
      </w:r>
    </w:p>
    <w:p>
      <w:pPr>
        <w:pStyle w:val="TextBody"/>
        <w:bidi w:val="0"/>
        <w:spacing w:before="240" w:after="0"/>
        <w:jc w:val="left"/>
        <w:rPr>
          <w:rFonts w:ascii="Times New Roman" w:hAnsi="Times New Roman"/>
          <w:sz w:val="20"/>
        </w:rPr>
      </w:pPr>
      <w:r>
        <w:rPr>
          <w:rFonts w:ascii="Times New Roman" w:hAnsi="Times New Roman"/>
          <w:sz w:val="20"/>
        </w:rPr>
        <w:t xml:space="preserve">Net sales – standard products business in Asia Pacific (other than Korea) decreased from $148.9 million in the nine months ended September 30, 2022 to $96.8 million for the nine months ended September 30, 2023, or by $52.2 million, or 35.0%, primarily due to a decrease in revenue from our mobile OLED display driver ICs stemming from lower customer demand as a result of weak global macroeconomic conditions, lingering weakness in Chinese smartphone orders and continued impact of a lack of new design-wins caused by a supply shortage in 2022 (in particular for 28nm 12 inch OLED wafers) at external 12 inch foundries. The decreased demand for our power products such as MOSFETs, mainly for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e-bikes,</w:t>
      </w:r>
    </w:p>
    <w:p>
      <w:pPr>
        <w:pStyle w:val="TextBody"/>
        <w:bidi w:val="0"/>
        <w:spacing w:before="240" w:after="0"/>
        <w:jc w:val="left"/>
        <w:rPr>
          <w:rFonts w:ascii="Times New Roman" w:hAnsi="Times New Roman"/>
          <w:sz w:val="20"/>
        </w:rPr>
      </w:pPr>
      <w:r>
        <w:rPr>
          <w:rFonts w:ascii="Times New Roman" w:hAnsi="Times New Roman"/>
          <w:sz w:val="20"/>
        </w:rPr>
        <w:t xml:space="preserve">and IGBTs, primarily for solar inverters also had an unfavorable impact on net sales.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Operating Expenses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Selling,</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General</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and</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Administrative</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Expenses.</w:t>
      </w:r>
    </w:p>
    <w:p>
      <w:pPr>
        <w:pStyle w:val="TextBody"/>
        <w:bidi w:val="0"/>
        <w:spacing w:before="120" w:after="0"/>
        <w:jc w:val="left"/>
        <w:rPr/>
      </w:pPr>
      <w:r>
        <w:rPr/>
        <w:t> </w:t>
      </w:r>
      <w:r>
        <w:rPr>
          <w:rFonts w:ascii="Times New Roman" w:hAnsi="Times New Roman"/>
          <w:sz w:val="20"/>
        </w:rPr>
        <w:t xml:space="preserve">Selling, general and administrative expenses were $36.4 million, or 20.3% of total revenues, for the nine months ended September 30, 2023, compared to $38.3 million, or 13.8% of total revenues, for the nine months ended September 30, 2022. The decrease of $1.9 million, or 5.0%, was primarily attributable to a decrease in employee compensation, including certain incentives and benefit related accruals, a decrease in certain sales and marketing expenses, and a decrease in running royalties recognized based on the revenue of certain mobile OLED display driver ICs.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Research</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and</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Development</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Expenses.</w:t>
      </w:r>
    </w:p>
    <w:p>
      <w:pPr>
        <w:pStyle w:val="TextBody"/>
        <w:bidi w:val="0"/>
        <w:spacing w:before="240" w:after="0"/>
        <w:jc w:val="left"/>
        <w:rPr/>
      </w:pPr>
      <w:r>
        <w:rPr/>
        <w:t> </w:t>
      </w:r>
      <w:r>
        <w:rPr>
          <w:rFonts w:ascii="Times New Roman" w:hAnsi="Times New Roman"/>
          <w:sz w:val="20"/>
        </w:rPr>
        <w:t xml:space="preserve">Research and development expenses were $36.2 million, or 20.2% of total revenues, for the nine months ended September 30, 2023, compared to $38.7 million, or 14.0% of total revenues, for the nine months ended September 30, 2022. The decrease of $2.5 million, or 6.5%, was primarily attributable to a decrease in employee compensation, including certain incentives, and a decrease in material costs for our </w:t>
      </w:r>
    </w:p>
    <w:p>
      <w:pPr>
        <w:pStyle w:val="TextBody"/>
        <w:bidi w:val="0"/>
        <w:spacing w:before="240" w:after="0"/>
        <w:jc w:val="left"/>
        <w:rPr>
          <w:rFonts w:ascii="Times New Roman" w:hAnsi="Times New Roman"/>
          <w:spacing w:val="0"/>
          <w:sz w:val="20"/>
        </w:rPr>
      </w:pPr>
      <w:r>
        <w:rPr>
          <w:rFonts w:ascii="Times New Roman" w:hAnsi="Times New Roman"/>
          <w:spacing w:val="0"/>
          <w:sz w:val="20"/>
        </w:rPr>
        <w:t>28-nanometer</w:t>
      </w:r>
    </w:p>
    <w:p>
      <w:pPr>
        <w:pStyle w:val="TextBody"/>
        <w:bidi w:val="0"/>
        <w:spacing w:before="240" w:after="0"/>
        <w:jc w:val="left"/>
        <w:rPr>
          <w:rFonts w:ascii="Times New Roman" w:hAnsi="Times New Roman"/>
          <w:sz w:val="20"/>
        </w:rPr>
      </w:pPr>
      <w:r>
        <w:rPr>
          <w:rFonts w:ascii="Times New Roman" w:hAnsi="Times New Roman"/>
          <w:sz w:val="20"/>
        </w:rPr>
        <w:t xml:space="preserve">OLED display driver ICs due to a timing shift for certain development activities.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Early Termination and Other Charges, Net.</w:t>
      </w:r>
    </w:p>
    <w:p>
      <w:pPr>
        <w:pStyle w:val="TextBody"/>
        <w:bidi w:val="0"/>
        <w:spacing w:before="240" w:after="0"/>
        <w:jc w:val="left"/>
        <w:rPr>
          <w:rFonts w:ascii="Times New Roman" w:hAnsi="Times New Roman"/>
          <w:sz w:val="20"/>
        </w:rPr>
      </w:pPr>
      <w:r>
        <w:rPr>
          <w:rFonts w:ascii="Times New Roman" w:hAnsi="Times New Roman"/>
          <w:sz w:val="20"/>
        </w:rPr>
        <w:t xml:space="preserve">For the nine months ended September 30, 2023, we recorded $8.4 million of termination-related charges in connection with the 2023 Voluntary Resignation Program that we offered and paid to certain employees during the first half of 2023, and $0.8 million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240" w:after="0"/>
        <w:jc w:val="left"/>
        <w:rPr>
          <w:rFonts w:ascii="Times New Roman" w:hAnsi="Times New Roman"/>
          <w:sz w:val="20"/>
        </w:rPr>
      </w:pPr>
      <w:r>
        <w:rPr>
          <w:rFonts w:ascii="Times New Roman" w:hAnsi="Times New Roman"/>
          <w:sz w:val="20"/>
        </w:rPr>
        <w:t xml:space="preserve">employee incentives. For the nine months ended September 30, 2022, we recorded $2.8 million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one-time</w:t>
      </w:r>
    </w:p>
    <w:p>
      <w:pPr>
        <w:pStyle w:val="TextBody"/>
        <w:bidi w:val="0"/>
        <w:spacing w:before="240" w:after="0"/>
        <w:jc w:val="left"/>
        <w:rPr>
          <w:rFonts w:ascii="Times New Roman" w:hAnsi="Times New Roman"/>
          <w:sz w:val="20"/>
        </w:rPr>
      </w:pPr>
      <w:r>
        <w:rPr>
          <w:rFonts w:ascii="Times New Roman" w:hAnsi="Times New Roman"/>
          <w:sz w:val="20"/>
        </w:rPr>
        <w:t xml:space="preserve">employee incentives and $1.0 million of professional service fees and expenses incurred in connection with certain strategic evaluations, which was offset in part by a $0.5 million gain on sale of certain legacy equipment of the closed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back-end</w:t>
      </w:r>
    </w:p>
    <w:p>
      <w:pPr>
        <w:pStyle w:val="TextBody"/>
        <w:bidi w:val="0"/>
        <w:spacing w:before="240" w:after="0"/>
        <w:jc w:val="left"/>
        <w:rPr>
          <w:rFonts w:ascii="Times New Roman" w:hAnsi="Times New Roman"/>
          <w:sz w:val="20"/>
        </w:rPr>
      </w:pPr>
      <w:r>
        <w:rPr>
          <w:rFonts w:ascii="Times New Roman" w:hAnsi="Times New Roman"/>
          <w:sz w:val="20"/>
        </w:rPr>
        <w:t xml:space="preserve">line in our fabrication facility in Gumi.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Operating Income (Loss)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a result of the foregoing, operating loss of $41.7 million was recorded for the nine months ended September 30, 2023, compared to operating income of $4.9 million for the nine months ended September 30, 2022. As discussed above, the decrease in operating income of $46.6 million resulted primarily from a $45.1 million decrease in gross profit and a $6.0 million increase in early termination and other charges, net, which were offset in part by a $2.5 million decrease in research and development expenses and a $1.9 million decrease in selling, general and administrative expenses.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Income (Expense)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Interest</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Income.</w:t>
      </w:r>
    </w:p>
    <w:p>
      <w:pPr>
        <w:pStyle w:val="TextBody"/>
        <w:bidi w:val="0"/>
        <w:spacing w:before="120" w:after="0"/>
        <w:jc w:val="left"/>
        <w:rPr/>
      </w:pPr>
      <w:r>
        <w:rPr/>
        <w:t> </w:t>
      </w:r>
      <w:r>
        <w:rPr>
          <w:rFonts w:ascii="Times New Roman" w:hAnsi="Times New Roman"/>
          <w:sz w:val="20"/>
        </w:rPr>
        <w:t xml:space="preserve">Interest income was $7.9 million and $3.6 million for the nine months ended September 30, 2023 and September 30, 2022, respectively. The increase of $4.4 million, or 122.4%, was primarily attributable to an increase in interest income on cash and cash equivalents held by our Korean subsidiary, which benefited from increased market interest rates.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Interest</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Expense.</w:t>
      </w:r>
    </w:p>
    <w:p>
      <w:pPr>
        <w:pStyle w:val="TextBody"/>
        <w:bidi w:val="0"/>
        <w:spacing w:before="240" w:after="0"/>
        <w:jc w:val="left"/>
        <w:rPr/>
      </w:pPr>
      <w:r>
        <w:rPr/>
        <w:t> </w:t>
      </w:r>
      <w:r>
        <w:rPr>
          <w:rFonts w:ascii="Times New Roman" w:hAnsi="Times New Roman"/>
          <w:sz w:val="20"/>
        </w:rPr>
        <w:t xml:space="preserve">Interest expense was $0.6 million and $0.9 million for the nine months ended September 30, 2023 and September 30, 2022, respectively. </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Foreign</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Currency</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Loss,</w:t>
      </w:r>
    </w:p>
    <w:p>
      <w:pPr>
        <w:pStyle w:val="TextBody"/>
        <w:bidi w:val="0"/>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Net.</w:t>
      </w:r>
    </w:p>
    <w:p>
      <w:pPr>
        <w:pStyle w:val="TextBody"/>
        <w:bidi w:val="0"/>
        <w:spacing w:before="240" w:after="0"/>
        <w:jc w:val="left"/>
        <w:rPr/>
      </w:pPr>
      <w:r>
        <w:rPr/>
        <w:t> </w:t>
      </w:r>
      <w:r>
        <w:rPr>
          <w:rFonts w:ascii="Times New Roman" w:hAnsi="Times New Roman"/>
          <w:sz w:val="20"/>
        </w:rPr>
        <w:t xml:space="preserve">Net foreign currency loss for the nine months ended September 30, 2023 was $4.8 million compared to net foreign currency loss of $20.5 million for the nine months ended September 30, 2022. The net foreign currency loss for the nine months ended September 30, 2023 and September 30, 2022 was due to the depreciation in value of the Korean won relative to the U.S. dollar during each respective period. </w:t>
      </w:r>
    </w:p>
    <w:p>
      <w:pPr>
        <w:pStyle w:val="TextBody"/>
        <w:bidi w:val="0"/>
        <w:spacing w:before="240" w:after="0"/>
        <w:jc w:val="left"/>
        <w:rPr>
          <w:rFonts w:ascii="Times New Roman" w:hAnsi="Times New Roman"/>
          <w:sz w:val="20"/>
        </w:rPr>
      </w:pPr>
      <w:r>
        <w:rPr>
          <w:rFonts w:ascii="Times New Roman" w:hAnsi="Times New Roman"/>
          <w:sz w:val="20"/>
        </w:rPr>
        <w:t xml:space="preserve">A substantial portion of our net foreign currency gain or loss is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non-cash</w:t>
      </w:r>
    </w:p>
    <w:p>
      <w:pPr>
        <w:pStyle w:val="TextBody"/>
        <w:bidi w:val="0"/>
        <w:spacing w:before="240" w:after="0"/>
        <w:jc w:val="left"/>
        <w:rPr>
          <w:rFonts w:ascii="Times New Roman" w:hAnsi="Times New Roman"/>
          <w:sz w:val="20"/>
        </w:rPr>
      </w:pPr>
      <w:r>
        <w:rPr>
          <w:rFonts w:ascii="Times New Roman" w:hAnsi="Times New Roman"/>
          <w:sz w:val="20"/>
        </w:rPr>
        <w:t xml:space="preserve">translation gain or loss associated with intercompany long-term loans to our Korean subsidiary, which are denominated in U.S. dollars, and are affected by changes in the exchange rate between the Korean won and the U.S. dollar. As of September 30, 2023 and September 30, 2022, the outstanding intercompany loan balances, including accrued interest between our Korean subsidiary and our Dutch subsidiary, were $281.7 million and $356.7 million, respectively. Foreign currency translation gain or loss from intercompany balances were included in determining our consolidated net income (loss) since the intercompany balances were not considered long-term investments in nature because management intended to settle these intercompany balances at their respective maturity dates.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Income Tax Benefit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Income tax benefit was $8.6 million for the nine months ended September 30, 2023, which was primarily attributable to the estimated taxable loss in our Korean subsidiary for the respective period. </w:t>
      </w:r>
    </w:p>
    <w:p>
      <w:pPr>
        <w:pStyle w:val="TextBody"/>
        <w:bidi w:val="0"/>
        <w:spacing w:before="240" w:after="0"/>
        <w:jc w:val="left"/>
        <w:rPr>
          <w:rFonts w:ascii="Times New Roman" w:hAnsi="Times New Roman"/>
          <w:sz w:val="20"/>
        </w:rPr>
      </w:pPr>
      <w:r>
        <w:rPr>
          <w:rFonts w:ascii="Times New Roman" w:hAnsi="Times New Roman"/>
          <w:sz w:val="20"/>
        </w:rPr>
        <w:t xml:space="preserve">Income tax benefit was $1.4 million for the nine months ended September 30, 2022, which was primarily attributable to the decrease in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pre-tax</w:t>
      </w:r>
    </w:p>
    <w:p>
      <w:pPr>
        <w:pStyle w:val="TextBody"/>
        <w:bidi w:val="0"/>
        <w:spacing w:before="240" w:after="0"/>
        <w:jc w:val="left"/>
        <w:rPr>
          <w:rFonts w:ascii="Times New Roman" w:hAnsi="Times New Roman"/>
          <w:sz w:val="20"/>
        </w:rPr>
      </w:pPr>
      <w:r>
        <w:rPr>
          <w:rFonts w:ascii="Times New Roman" w:hAnsi="Times New Roman"/>
          <w:sz w:val="20"/>
        </w:rPr>
        <w:t xml:space="preserve">income due to foreign currency translation losses associated with intercompany long-term loans in our Korean subsidiary for the respective period.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Net Loss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As a result of the foregoing, a net loss of $30.6 million was recorded for the nine months ended September 30, 2023, compared to a net loss of $11.0 million for the nine months ended September 30, 2022. As discussed above, the $19.6 million increase in net loss was primarily attributable to a $46.6 million decrease in operating income, which was offset in part by a $15.7 million improvement in net foreign currency loss, a $7.2 million increase in income tax benefit and a $4.4 million increase in interest income.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Liquidity and Capital Resources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Our principal capital requirements are to fund sales and marketing, invest in research and development and capital equipment, and to fund working capital needs. We calculate working capital as current assets less current liabilities.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Our principal sources of liquidity are our cash, cash equivalents, cash flows from operations and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In addition, from time to time, we may make payments to our vendors on extended terms with their consent. As of September 30, 2023, we did not have any accounts payable on extended terms or payment deferment with our vendors. </w:t>
      </w:r>
    </w:p>
    <w:p>
      <w:pPr>
        <w:pStyle w:val="TextBody"/>
        <w:bidi w:val="0"/>
        <w:spacing w:before="240" w:after="0"/>
        <w:jc w:val="left"/>
        <w:rPr>
          <w:rFonts w:ascii="Times New Roman" w:hAnsi="Times New Roman"/>
          <w:sz w:val="20"/>
        </w:rPr>
      </w:pPr>
      <w:r>
        <w:rPr>
          <w:rFonts w:ascii="Times New Roman" w:hAnsi="Times New Roman"/>
          <w:sz w:val="20"/>
        </w:rPr>
        <w:t xml:space="preserve">As of June 29, 2018, our Korean subsidiary entered into an arrangement whereby it (i) acquired a water treatment facility from SK hynix for $4.2 million to support our fabrication facility in Gumi, Korea, and (ii) subsequently sold the water treatment facility for $4.2 million to a third party management company that we engaged to run the facility for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10-year</w:t>
      </w:r>
    </w:p>
    <w:p>
      <w:pPr>
        <w:pStyle w:val="TextBody"/>
        <w:bidi w:val="0"/>
        <w:spacing w:before="240" w:after="0"/>
        <w:jc w:val="left"/>
        <w:rPr>
          <w:rFonts w:ascii="Times New Roman" w:hAnsi="Times New Roman"/>
          <w:sz w:val="20"/>
        </w:rPr>
      </w:pPr>
      <w:r>
        <w:rPr>
          <w:rFonts w:ascii="Times New Roman" w:hAnsi="Times New Roman"/>
          <w:sz w:val="20"/>
        </w:rPr>
        <w:t xml:space="preserve">term beginning July 1, 2018. As of September 30, 2023, the outstanding obligation of this arrangement is approximately $20.7 million for remaining service term through 2028.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As of September 30, 2023, cash and cash equivalents held by our Korean subsidiary were $152.8 million, which represents 92% of our total cash and cash equivalents on a consolidated basis. We currently believe that we will have sufficient cash reserves from cash on hand and expected cash from operations to fund our operations as well as capital expenditures for the next 12 months and the foreseeable future.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Working Capital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Our working capital balance as of September 30, 2023 was $230.3 million compared to $290.6 million as of December 31, 2022. The $60.3 million decrease was primarily attributable to a $58.8 million decrease in cash and cash equivalents resulted primarily from our continued execution of stock repurchase programs, and the 2023 Voluntary Resignation Program that we offered and paid to certain employees during the first half of 2023.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Flows from Operating Activities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Cash outflow used in operating activities totaled $0.2 million for the nine months ended September 30, 2023, compared to $50.2 million of cash inflow provided by operating activities for the nine months ended September 30, 2022. The net operating cash outflow for the nine months ended September 30, 2023 reflects our net loss of $30.6 million, as adjusted favorably by $41.6 million, which mainly consisted of depreciation and amortization, provision for severance benefits, net foreign currency loss and stock-based compensation, and net unfavorable impact of $11.2 million from changes of operating assets and liabilities.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Flows from Investing Activities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Cash outflow used in investing activities totaled $4.6 million for the nine months ended September 30, 2023, compared to $25.9 million of cash outflow used in investing activities for the nine months ended September 30, 2022. The $21.3 million decrease in cash outflow was primarily attributable to a $12.7 million net decrease in hedge collateral and a $9.5 million decrease in purchase of property, plant and equipment, which was offset in part by a $0.5 million net increase in guarantee deposits.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Cash Flows from Financing Activities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Cash outflow used in financing activities totaled $43.5 million for the nine months ended September 30, 2023, compared to $3.7 million of cash outflow used in financing activities for the nine months ended September 30, 2022. The financing cash outflow for the nine months ended September 30, 2023 was primarily attributable to a payment of $42.7 million for the repurchases of our common stock pursuant to our stock repurchase programs and a payment of $0.4 million for the repurchase of our common stock to satisfy tax withholding obligations in connection with the vesting of restricted stock units. The financing cash outflow for the nine months ended September 30, 2022 was primarily attributable to a payment of $3.2 million for the repurchase of our common stock pursuant to our then-effective stock repurchase program and a payment of $1.8 million for the repurchase of our common stock to satisfy tax withholding obligations in connection with the vesting of restricted stock units, which was offset entirely by $1.8 million of proceeds received from the issuance of common stock in connection with the exercise of stock options.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Capital Expenditures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routinely make capital expenditures for fabrication facility maintenance, enhancement of our existing facility and reinforcement of our global research and development capability. For the nine months ended September 30, 2023, capital expenditures for property, plant and equipment were $2.3 million, a $9.5 million, or 80.7%, decrease from $11.8 million for the nine months ended September 30, 2022. The capital expenditures for the nine months ended September 30, 2023 and 2022 were related to meeting our customer demand and supporting technology and facility improvement at our fabrication facility.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Critical Accounting Policies and Estimates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Preparing financial statements in conformity with U.S. GAAP requires management to make estimates and assumptions that affect the reported amounts of assets and liabilities as of the date of the financial statements, the reported amounts of revenues and expenses during the reporting periods and the related disclosures in our consolidated financial statements and accompanying notes.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significant accounting policies, which are described further in Note 1 to our consolidated financial statements in our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our fiscal year ended December 31, 2022, or our 2022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 </w:t>
      </w:r>
    </w:p>
    <w:p>
      <w:pPr>
        <w:pStyle w:val="TextBody"/>
        <w:bidi w:val="0"/>
        <w:spacing w:before="240" w:after="0"/>
        <w:jc w:val="left"/>
        <w:rPr>
          <w:rFonts w:ascii="Times New Roman" w:hAnsi="Times New Roman"/>
          <w:sz w:val="20"/>
        </w:rPr>
      </w:pPr>
      <w:r>
        <w:rPr>
          <w:rFonts w:ascii="Times New Roman" w:hAnsi="Times New Roman"/>
          <w:sz w:val="20"/>
        </w:rPr>
        <w:t xml:space="preserve">A description of our critical accounting policies that involve significant management judgement appears in our 2022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under “Management’s Discussion and Analysis of Financial Conditions and Reports of Operations—Critical Accounting Policies and Estimates.” There have been no other material changes to our critical accounting policies and estimates as compared to our critical accounting policies and estimates included in our 2022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5905" w:type="dxa"/>
        <w:jc w:val="left"/>
        <w:tblInd w:w="0" w:type="dxa"/>
        <w:tblLayout w:type="fixed"/>
        <w:tblCellMar>
          <w:top w:w="0" w:type="dxa"/>
          <w:left w:w="0" w:type="dxa"/>
          <w:bottom w:w="0" w:type="dxa"/>
          <w:right w:w="0" w:type="dxa"/>
        </w:tblCellMar>
      </w:tblPr>
      <w:tblGrid>
        <w:gridCol w:w="740"/>
        <w:gridCol w:w="5165"/>
      </w:tblGrid>
      <w:tr>
        <w:trPr/>
        <w:tc>
          <w:tcPr>
            <w:tcW w:w="740" w:type="dxa"/>
            <w:tcBorders/>
            <w:vAlign w:val="center"/>
          </w:tcPr>
          <w:p>
            <w:pPr>
              <w:pStyle w:val="TableContents"/>
              <w:bidi w:val="0"/>
              <w:spacing w:before="0" w:after="0"/>
              <w:jc w:val="left"/>
              <w:rPr>
                <w:b/>
                <w:spacing w:val="0"/>
              </w:rPr>
            </w:pPr>
            <w:bookmarkStart w:id="5" w:name="toc546648_10"/>
            <w:bookmarkEnd w:id="5"/>
            <w:r>
              <w:rPr>
                <w:b/>
                <w:spacing w:val="0"/>
              </w:rPr>
              <w:t>Item 3.</w:t>
            </w:r>
          </w:p>
        </w:tc>
        <w:tc>
          <w:tcPr>
            <w:tcW w:w="51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Quantitative and Qualitative Disclosures About Market Risk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are exposed to the market risk that the value of a financial instrument will fluctuate due to changes in market conditions, primarily from changes in foreign currency exchange rates. In the normal course of our business, we are subject to market risks associated with currency movements on our assets and liabilities.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Foreign Currency Exposures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have exposure to foreign currency exchange rate fluctuations on net income from our subsidiaries denominated in currencies 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with respect to foreign currency movements. However, based on the cash and financial instruments balance at September 30, 2023 for our Korean subsidiary, a 10% devaluation of the Korean won against the U.S. dollar would have resulted in a decrease of $0.9 million in our U.S. dollar financial instruments and cash balances.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See “Note 6. Derivative Financial Instruments” to our consolidated financial statements under “Item 1. Interim Consolidated Financial Statements” and “Item 2. Management’s Discussion and Analysis of Financial Condition and Results of Operations—Factors Affecting Our Results of Operations—Impact of Foreign Currency Exchange Rates on Reported Results of Operations” for additional information regarding our foreign exchange hedging activities.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2920" w:type="dxa"/>
        <w:jc w:val="left"/>
        <w:tblInd w:w="0" w:type="dxa"/>
        <w:tblLayout w:type="fixed"/>
        <w:tblCellMar>
          <w:top w:w="0" w:type="dxa"/>
          <w:left w:w="0" w:type="dxa"/>
          <w:bottom w:w="0" w:type="dxa"/>
          <w:right w:w="0" w:type="dxa"/>
        </w:tblCellMar>
      </w:tblPr>
      <w:tblGrid>
        <w:gridCol w:w="740"/>
        <w:gridCol w:w="2180"/>
      </w:tblGrid>
      <w:tr>
        <w:trPr/>
        <w:tc>
          <w:tcPr>
            <w:tcW w:w="740" w:type="dxa"/>
            <w:tcBorders/>
            <w:vAlign w:val="center"/>
          </w:tcPr>
          <w:p>
            <w:pPr>
              <w:pStyle w:val="TableContents"/>
              <w:bidi w:val="0"/>
              <w:spacing w:before="0" w:after="0"/>
              <w:jc w:val="left"/>
              <w:rPr>
                <w:b/>
                <w:spacing w:val="0"/>
              </w:rPr>
            </w:pPr>
            <w:bookmarkStart w:id="6" w:name="toc546648_11"/>
            <w:bookmarkEnd w:id="6"/>
            <w:r>
              <w:rPr>
                <w:b/>
                <w:spacing w:val="0"/>
              </w:rPr>
              <w:t>Item 4.</w:t>
            </w:r>
          </w:p>
        </w:tc>
        <w:tc>
          <w:tcPr>
            <w:tcW w:w="218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Controls and Procedures </w:t>
            </w:r>
          </w:p>
        </w:tc>
      </w:tr>
    </w:tbl>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Evaluation of Disclosure Controls and Procedures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preparation of this Report, we carried out an evaluation under the supervision of and with the participation of our management, including our Chief Executive Officer and Chief Financial Officer, as of September 30, 2023, of the effectiveness of the design and operation of our disclosure controls and procedures, as such term is defined in Rules </w:t>
      </w:r>
    </w:p>
    <w:p>
      <w:pPr>
        <w:pStyle w:val="TextBody"/>
        <w:bidi w:val="0"/>
        <w:spacing w:before="240" w:after="0"/>
        <w:jc w:val="left"/>
        <w:rPr>
          <w:rFonts w:ascii="Times New Roman" w:hAnsi="Times New Roman"/>
          <w:spacing w:val="0"/>
          <w:sz w:val="20"/>
        </w:rPr>
      </w:pPr>
      <w:r>
        <w:rPr>
          <w:rFonts w:ascii="Times New Roman" w:hAnsi="Times New Roman"/>
          <w:spacing w:val="0"/>
          <w:sz w:val="20"/>
        </w:rPr>
        <w:t>13a-15(e)</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15d-15(e)</w:t>
      </w:r>
    </w:p>
    <w:p>
      <w:pPr>
        <w:pStyle w:val="TextBody"/>
        <w:bidi w:val="0"/>
        <w:spacing w:before="240" w:after="0"/>
        <w:jc w:val="left"/>
        <w:rPr>
          <w:rFonts w:ascii="Times New Roman" w:hAnsi="Times New Roman"/>
          <w:sz w:val="20"/>
        </w:rPr>
      </w:pPr>
      <w:r>
        <w:rPr>
          <w:rFonts w:ascii="Times New Roman" w:hAnsi="Times New Roman"/>
          <w:sz w:val="20"/>
        </w:rPr>
        <w:t xml:space="preserve">under the Exchange Act. Based upon this evaluation, our Chief Executive Officer and Chief Financial Officer concluded that our disclosure controls and procedures were effective as of September 30, 2023. </w:t>
      </w:r>
    </w:p>
    <w:p>
      <w:pPr>
        <w:pStyle w:val="TextBody"/>
        <w:bidi w:val="0"/>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Changes in Internal Control Over Financial Reporting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There were no changes in our internal control over financial reporting during the quarter ended September 30, 2023 that have materially affected, or are reasonably likely to materially affect, our internal control over financial reporting.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PART II. OTHER INFORMATION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pacing w:val="0"/>
        </w:rPr>
      </w:pPr>
      <w:r>
        <w:rPr>
          <w:spacing w:val="0"/>
        </w:rPr>
        <w:t> </w:t>
      </w:r>
    </w:p>
    <w:tbl>
      <w:tblPr>
        <w:tblW w:w="2395" w:type="dxa"/>
        <w:jc w:val="left"/>
        <w:tblInd w:w="0" w:type="dxa"/>
        <w:tblLayout w:type="fixed"/>
        <w:tblCellMar>
          <w:top w:w="0" w:type="dxa"/>
          <w:left w:w="0" w:type="dxa"/>
          <w:bottom w:w="0" w:type="dxa"/>
          <w:right w:w="0" w:type="dxa"/>
        </w:tblCellMar>
      </w:tblPr>
      <w:tblGrid>
        <w:gridCol w:w="740"/>
        <w:gridCol w:w="1655"/>
      </w:tblGrid>
      <w:tr>
        <w:trPr/>
        <w:tc>
          <w:tcPr>
            <w:tcW w:w="740" w:type="dxa"/>
            <w:tcBorders/>
            <w:vAlign w:val="center"/>
          </w:tcPr>
          <w:p>
            <w:pPr>
              <w:pStyle w:val="TableContents"/>
              <w:bidi w:val="0"/>
              <w:spacing w:before="0" w:after="0"/>
              <w:jc w:val="left"/>
              <w:rPr>
                <w:b/>
                <w:spacing w:val="0"/>
              </w:rPr>
            </w:pPr>
            <w:bookmarkStart w:id="7" w:name="toc546648_13"/>
            <w:bookmarkEnd w:id="7"/>
            <w:r>
              <w:rPr>
                <w:b/>
                <w:spacing w:val="0"/>
              </w:rPr>
              <w:t>Item 1.</w:t>
            </w:r>
          </w:p>
        </w:tc>
        <w:tc>
          <w:tcPr>
            <w:tcW w:w="16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Legal Proceedings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a discussion of legal proceedings, see “Part I: Item 3. Legal Proceedings” of our 2022 </w:t>
      </w:r>
    </w:p>
    <w:p>
      <w:pPr>
        <w:pStyle w:val="TextBody"/>
        <w:bidi w:val="0"/>
        <w:spacing w:before="120" w:after="0"/>
        <w:jc w:val="left"/>
        <w:rPr>
          <w:rFonts w:ascii="Times New Roman" w:hAnsi="Times New Roman"/>
          <w:spacing w:val="0"/>
          <w:sz w:val="20"/>
        </w:rPr>
      </w:pPr>
      <w:r>
        <w:rPr>
          <w:rFonts w:ascii="Times New Roman" w:hAnsi="Times New Roman"/>
          <w:spacing w:val="0"/>
          <w:sz w:val="20"/>
        </w:rPr>
        <w:t>Form 10-K.</w:t>
      </w:r>
    </w:p>
    <w:p>
      <w:pPr>
        <w:pStyle w:val="TextBody"/>
        <w:bidi w:val="0"/>
        <w:spacing w:before="240" w:after="0"/>
        <w:jc w:val="left"/>
        <w:rPr>
          <w:rFonts w:ascii="Times New Roman" w:hAnsi="Times New Roman"/>
          <w:sz w:val="20"/>
        </w:rPr>
      </w:pPr>
      <w:r>
        <w:rPr>
          <w:rFonts w:ascii="Times New Roman" w:hAnsi="Times New Roman"/>
          <w:sz w:val="20"/>
        </w:rPr>
        <w:t xml:space="preserve">See also “Item 1A. Risk Factors” in this Report and “Part I: Item 1A. Risk Factors” of our 2022 </w:t>
      </w:r>
    </w:p>
    <w:p>
      <w:pPr>
        <w:pStyle w:val="TextBody"/>
        <w:bidi w:val="0"/>
        <w:spacing w:before="240" w:after="0"/>
        <w:jc w:val="left"/>
        <w:rPr>
          <w:rFonts w:ascii="Times New Roman" w:hAnsi="Times New Roman"/>
          <w:spacing w:val="0"/>
          <w:sz w:val="20"/>
        </w:rPr>
      </w:pPr>
      <w:r>
        <w:rPr>
          <w:rFonts w:ascii="Times New Roman" w:hAnsi="Times New Roman"/>
          <w:spacing w:val="0"/>
          <w:sz w:val="20"/>
        </w:rPr>
        <w:t>Form 10-K</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w:t>
      </w:r>
    </w:p>
    <w:p>
      <w:pPr>
        <w:pStyle w:val="TextBody"/>
        <w:bidi w:val="0"/>
        <w:spacing w:before="0" w:after="0"/>
        <w:jc w:val="left"/>
        <w:rPr>
          <w:spacing w:val="0"/>
        </w:rPr>
      </w:pPr>
      <w:r>
        <w:rPr>
          <w:spacing w:val="0"/>
        </w:rPr>
        <w:t> </w:t>
      </w:r>
    </w:p>
    <w:tbl>
      <w:tblPr>
        <w:tblW w:w="2065" w:type="dxa"/>
        <w:jc w:val="left"/>
        <w:tblInd w:w="0" w:type="dxa"/>
        <w:tblLayout w:type="fixed"/>
        <w:tblCellMar>
          <w:top w:w="0" w:type="dxa"/>
          <w:left w:w="0" w:type="dxa"/>
          <w:bottom w:w="0" w:type="dxa"/>
          <w:right w:w="0" w:type="dxa"/>
        </w:tblCellMar>
      </w:tblPr>
      <w:tblGrid>
        <w:gridCol w:w="920"/>
        <w:gridCol w:w="1145"/>
      </w:tblGrid>
      <w:tr>
        <w:trPr/>
        <w:tc>
          <w:tcPr>
            <w:tcW w:w="920" w:type="dxa"/>
            <w:tcBorders/>
            <w:vAlign w:val="center"/>
          </w:tcPr>
          <w:p>
            <w:pPr>
              <w:pStyle w:val="TableContents"/>
              <w:bidi w:val="0"/>
              <w:spacing w:before="0" w:after="0"/>
              <w:jc w:val="left"/>
              <w:rPr>
                <w:b/>
                <w:spacing w:val="0"/>
              </w:rPr>
            </w:pPr>
            <w:bookmarkStart w:id="8" w:name="toc546648_14"/>
            <w:bookmarkEnd w:id="8"/>
            <w:r>
              <w:rPr>
                <w:b/>
                <w:spacing w:val="0"/>
              </w:rPr>
              <w:t>Item 1A.</w:t>
            </w:r>
          </w:p>
        </w:tc>
        <w:tc>
          <w:tcPr>
            <w:tcW w:w="11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Risk Factors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Company is subject to risks and uncertainties, any of which could have a significant or material adverse effect on our business, financial condition, liquidity or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other information contained in this Report and the other reports and materials the Company files with the SEC, investors should carefully consider the risk factors disclosed in Part I, Item 1A of our 2022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as well as in our subsequent filings with the SEC. The risks described herein and therein are not the only ones we face.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There have been no material changes to the risk factors disclosed in Part I, Item 1A of our 2022 Form 10-K and Part II, Item 1A of our Quarterly Report on Form 10-Q filed on August 8, 2023.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5860" w:type="dxa"/>
        <w:jc w:val="left"/>
        <w:tblInd w:w="0" w:type="dxa"/>
        <w:tblLayout w:type="fixed"/>
        <w:tblCellMar>
          <w:top w:w="0" w:type="dxa"/>
          <w:left w:w="0" w:type="dxa"/>
          <w:bottom w:w="0" w:type="dxa"/>
          <w:right w:w="0" w:type="dxa"/>
        </w:tblCellMar>
      </w:tblPr>
      <w:tblGrid>
        <w:gridCol w:w="740"/>
        <w:gridCol w:w="5120"/>
      </w:tblGrid>
      <w:tr>
        <w:trPr/>
        <w:tc>
          <w:tcPr>
            <w:tcW w:w="740" w:type="dxa"/>
            <w:tcBorders/>
            <w:vAlign w:val="center"/>
          </w:tcPr>
          <w:p>
            <w:pPr>
              <w:pStyle w:val="TableContents"/>
              <w:bidi w:val="0"/>
              <w:spacing w:before="0" w:after="0"/>
              <w:jc w:val="left"/>
              <w:rPr>
                <w:b/>
                <w:spacing w:val="0"/>
              </w:rPr>
            </w:pPr>
            <w:bookmarkStart w:id="9" w:name="toc546648_15"/>
            <w:bookmarkEnd w:id="9"/>
            <w:r>
              <w:rPr>
                <w:b/>
                <w:spacing w:val="0"/>
              </w:rPr>
              <w:t>Item 2.</w:t>
            </w:r>
          </w:p>
        </w:tc>
        <w:tc>
          <w:tcPr>
            <w:tcW w:w="512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Unregistered Sales of Equity Securities and Use of Proceeds.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following table shows the monthly activity related to our repurchases of common stock for the quarter ended September 30, 2023. </w:t>
      </w:r>
    </w:p>
    <w:p>
      <w:pPr>
        <w:pStyle w:val="TextBody"/>
        <w:bidi w:val="0"/>
        <w:spacing w:before="0" w:after="0"/>
        <w:ind w:left="0" w:right="0" w:hanging="0"/>
        <w:jc w:val="left"/>
        <w:rPr>
          <w:spacing w:val="0"/>
        </w:rPr>
      </w:pPr>
      <w:r>
        <w:rPr>
          <w:spacing w:val="0"/>
        </w:rPr>
        <w:t> </w:t>
      </w:r>
    </w:p>
    <w:tbl>
      <w:tblPr>
        <w:tblW w:w="8665" w:type="dxa"/>
        <w:jc w:val="left"/>
        <w:tblInd w:w="0" w:type="dxa"/>
        <w:tblLayout w:type="fixed"/>
        <w:tblCellMar>
          <w:top w:w="0" w:type="dxa"/>
          <w:left w:w="0" w:type="dxa"/>
          <w:bottom w:w="0" w:type="dxa"/>
          <w:right w:w="0" w:type="dxa"/>
        </w:tblCellMar>
      </w:tblPr>
      <w:tblGrid>
        <w:gridCol w:w="1355"/>
        <w:gridCol w:w="120"/>
        <w:gridCol w:w="102"/>
        <w:gridCol w:w="1373"/>
        <w:gridCol w:w="60"/>
        <w:gridCol w:w="120"/>
        <w:gridCol w:w="258"/>
        <w:gridCol w:w="812"/>
        <w:gridCol w:w="60"/>
        <w:gridCol w:w="120"/>
        <w:gridCol w:w="131"/>
        <w:gridCol w:w="1749"/>
        <w:gridCol w:w="60"/>
        <w:gridCol w:w="120"/>
        <w:gridCol w:w="367"/>
        <w:gridCol w:w="1783"/>
        <w:gridCol w:w="75"/>
      </w:tblGrid>
      <w:tr>
        <w:trPr/>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5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Period</w:t>
            </w:r>
          </w:p>
        </w:tc>
        <w:tc>
          <w:tcPr>
            <w:tcW w:w="120" w:type="dxa"/>
            <w:tcBorders/>
            <w:vAlign w:val="center"/>
          </w:tcPr>
          <w:p>
            <w:pPr>
              <w:pStyle w:val="TableContents"/>
              <w:bidi w:val="0"/>
              <w:spacing w:before="0" w:after="0"/>
              <w:jc w:val="left"/>
              <w:rPr/>
            </w:pPr>
            <w:r>
              <w:rPr/>
              <w:t>  </w:t>
            </w:r>
          </w:p>
        </w:tc>
        <w:tc>
          <w:tcPr>
            <w:tcW w:w="1475" w:type="dxa"/>
            <w:gridSpan w:val="2"/>
            <w:tcBorders/>
            <w:vAlign w:val="center"/>
          </w:tcPr>
          <w:p>
            <w:pPr>
              <w:pStyle w:val="TableContents"/>
              <w:bidi w:val="0"/>
              <w:spacing w:before="0" w:after="0"/>
              <w:jc w:val="center"/>
              <w:rPr>
                <w:b/>
                <w:spacing w:val="0"/>
              </w:rPr>
            </w:pPr>
            <w:r>
              <w:rPr>
                <w:b/>
                <w:spacing w:val="0"/>
              </w:rPr>
              <w:t>Total Number</w:t>
              <w:br/>
              <w:t>of Shares</w:t>
              <w:br/>
              <w:t>Purchased</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Average</w:t>
              <w:br/>
              <w:t>Price Paid</w:t>
              <w:br/>
              <w:t>per Share</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880" w:type="dxa"/>
            <w:gridSpan w:val="2"/>
            <w:tcBorders/>
            <w:vAlign w:val="center"/>
          </w:tcPr>
          <w:p>
            <w:pPr>
              <w:pStyle w:val="TableContents"/>
              <w:bidi w:val="0"/>
              <w:spacing w:before="0" w:after="0"/>
              <w:jc w:val="center"/>
              <w:rPr>
                <w:b/>
                <w:spacing w:val="0"/>
              </w:rPr>
            </w:pPr>
            <w:r>
              <w:rPr>
                <w:b/>
                <w:spacing w:val="0"/>
              </w:rPr>
              <w:t>Total Number</w:t>
              <w:br/>
              <w:t>of Shares</w:t>
              <w:br/>
              <w:t>Purchased as Part</w:t>
              <w:br/>
              <w:t>of Publicly</w:t>
              <w:br/>
              <w:t>Announced Plans</w:t>
              <w:br/>
              <w:t>or Programs(1)</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150" w:type="dxa"/>
            <w:gridSpan w:val="2"/>
            <w:tcBorders/>
            <w:vAlign w:val="center"/>
          </w:tcPr>
          <w:p>
            <w:pPr>
              <w:pStyle w:val="TableContents"/>
              <w:bidi w:val="0"/>
              <w:spacing w:before="0" w:after="0"/>
              <w:jc w:val="center"/>
              <w:rPr>
                <w:b/>
                <w:spacing w:val="0"/>
              </w:rPr>
            </w:pPr>
            <w:r>
              <w:rPr>
                <w:b/>
                <w:spacing w:val="0"/>
              </w:rPr>
              <w:t>Approximate dollar</w:t>
              <w:br/>
              <w:t>value of Shares that</w:t>
              <w:br/>
              <w:t>may yet be</w:t>
              <w:br/>
              <w:t>Purchased under the</w:t>
              <w:br/>
              <w:t>Plans or Programs</w:t>
              <w:br/>
              <w:t>(in thousands)(1)</w:t>
            </w:r>
          </w:p>
        </w:tc>
        <w:tc>
          <w:tcPr>
            <w:tcW w:w="75" w:type="dxa"/>
            <w:tcBorders/>
            <w:vAlign w:val="center"/>
          </w:tcPr>
          <w:p>
            <w:pPr>
              <w:pStyle w:val="TableContents"/>
              <w:bidi w:val="0"/>
              <w:spacing w:before="0" w:after="0"/>
              <w:jc w:val="left"/>
              <w:rPr/>
            </w:pPr>
            <w:r>
              <w:rPr/>
              <w:t> </w:t>
            </w:r>
          </w:p>
        </w:tc>
      </w:tr>
      <w:tr>
        <w:trPr/>
        <w:tc>
          <w:tcPr>
            <w:tcW w:w="13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July 2023</w:t>
            </w:r>
          </w:p>
        </w:tc>
        <w:tc>
          <w:tcPr>
            <w:tcW w:w="120" w:type="dxa"/>
            <w:tcBorders/>
            <w:shd w:fill="CCEEFF" w:val="clear"/>
            <w:vAlign w:val="center"/>
          </w:tcPr>
          <w:p>
            <w:pPr>
              <w:pStyle w:val="TableContents"/>
              <w:bidi w:val="0"/>
              <w:spacing w:before="0" w:after="0"/>
              <w:jc w:val="left"/>
              <w:rPr/>
            </w:pPr>
            <w:r>
              <w:rPr/>
              <w:t>  </w:t>
            </w:r>
          </w:p>
        </w:tc>
        <w:tc>
          <w:tcPr>
            <w:tcW w:w="102" w:type="dxa"/>
            <w:tcBorders/>
            <w:shd w:fill="CCEEFF" w:val="clear"/>
            <w:vAlign w:val="center"/>
          </w:tcPr>
          <w:p>
            <w:pPr>
              <w:pStyle w:val="TableContents"/>
              <w:bidi w:val="0"/>
              <w:spacing w:before="0" w:after="0"/>
              <w:jc w:val="left"/>
              <w:rPr/>
            </w:pPr>
            <w:r>
              <w:rPr/>
              <w:t> </w:t>
            </w:r>
          </w:p>
        </w:tc>
        <w:tc>
          <w:tcPr>
            <w:tcW w:w="1373"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258" w:type="dxa"/>
            <w:tcBorders/>
            <w:shd w:fill="CCEEFF" w:val="clear"/>
            <w:vAlign w:val="center"/>
          </w:tcPr>
          <w:p>
            <w:pPr>
              <w:pStyle w:val="TableContents"/>
              <w:bidi w:val="0"/>
              <w:spacing w:before="0" w:after="0"/>
              <w:jc w:val="left"/>
              <w:rPr/>
            </w:pPr>
            <w:r>
              <w:rPr/>
              <w:t> </w:t>
            </w:r>
          </w:p>
        </w:tc>
        <w:tc>
          <w:tcPr>
            <w:tcW w:w="812"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131" w:type="dxa"/>
            <w:tcBorders/>
            <w:shd w:fill="CCEEFF" w:val="clear"/>
            <w:vAlign w:val="center"/>
          </w:tcPr>
          <w:p>
            <w:pPr>
              <w:pStyle w:val="TableContents"/>
              <w:bidi w:val="0"/>
              <w:spacing w:before="0" w:after="0"/>
              <w:jc w:val="left"/>
              <w:rPr/>
            </w:pPr>
            <w:r>
              <w:rPr/>
              <w:t> </w:t>
            </w:r>
          </w:p>
        </w:tc>
        <w:tc>
          <w:tcPr>
            <w:tcW w:w="1749" w:type="dxa"/>
            <w:tcBorders/>
            <w:shd w:fill="CCEEFF" w:val="clear"/>
            <w:vAlign w:val="center"/>
          </w:tcPr>
          <w:p>
            <w:pPr>
              <w:pStyle w:val="TableContents"/>
              <w:bidi w:val="0"/>
              <w:spacing w:before="0" w:after="0"/>
              <w:jc w:val="right"/>
              <w:rPr/>
            </w:pPr>
            <w:r>
              <w:rPr/>
              <w:t>—  </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367" w:type="dxa"/>
            <w:tcBorders/>
            <w:shd w:fill="CCEEFF" w:val="clear"/>
            <w:vAlign w:val="center"/>
          </w:tcPr>
          <w:p>
            <w:pPr>
              <w:pStyle w:val="TableContents"/>
              <w:bidi w:val="0"/>
              <w:spacing w:before="0" w:after="0"/>
              <w:jc w:val="left"/>
              <w:rPr/>
            </w:pPr>
            <w:r>
              <w:rPr/>
              <w:t> </w:t>
            </w:r>
          </w:p>
        </w:tc>
        <w:tc>
          <w:tcPr>
            <w:tcW w:w="1783" w:type="dxa"/>
            <w:tcBorders/>
            <w:shd w:fill="CCEEFF" w:val="clear"/>
            <w:vAlign w:val="center"/>
          </w:tcPr>
          <w:p>
            <w:pPr>
              <w:pStyle w:val="TableContents"/>
              <w:bidi w:val="0"/>
              <w:spacing w:before="0" w:after="0"/>
              <w:jc w:val="right"/>
              <w:rPr/>
            </w:pPr>
            <w:r>
              <w:rPr/>
              <w:t>—  </w:t>
            </w:r>
          </w:p>
        </w:tc>
        <w:tc>
          <w:tcPr>
            <w:tcW w:w="75" w:type="dxa"/>
            <w:tcBorders/>
            <w:shd w:fill="CCEEFF" w:val="clear"/>
            <w:vAlign w:val="center"/>
          </w:tcPr>
          <w:p>
            <w:pPr>
              <w:pStyle w:val="TableContents"/>
              <w:bidi w:val="0"/>
              <w:spacing w:before="0" w:after="0"/>
              <w:jc w:val="left"/>
              <w:rPr/>
            </w:pPr>
            <w:r>
              <w:rPr/>
              <w:t> </w:t>
            </w:r>
          </w:p>
        </w:tc>
      </w:tr>
      <w:tr>
        <w:trPr/>
        <w:tc>
          <w:tcPr>
            <w:tcW w:w="13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August 2023</w:t>
            </w:r>
          </w:p>
        </w:tc>
        <w:tc>
          <w:tcPr>
            <w:tcW w:w="120" w:type="dxa"/>
            <w:tcBorders/>
            <w:vAlign w:val="center"/>
          </w:tcPr>
          <w:p>
            <w:pPr>
              <w:pStyle w:val="TableContents"/>
              <w:bidi w:val="0"/>
              <w:spacing w:before="0" w:after="0"/>
              <w:jc w:val="left"/>
              <w:rPr/>
            </w:pPr>
            <w:r>
              <w:rPr/>
              <w:t>  </w:t>
            </w:r>
          </w:p>
        </w:tc>
        <w:tc>
          <w:tcPr>
            <w:tcW w:w="102" w:type="dxa"/>
            <w:tcBorders/>
            <w:vAlign w:val="center"/>
          </w:tcPr>
          <w:p>
            <w:pPr>
              <w:pStyle w:val="TableContents"/>
              <w:bidi w:val="0"/>
              <w:spacing w:before="0" w:after="0"/>
              <w:jc w:val="left"/>
              <w:rPr/>
            </w:pPr>
            <w:r>
              <w:rPr/>
              <w:t> </w:t>
            </w:r>
          </w:p>
        </w:tc>
        <w:tc>
          <w:tcPr>
            <w:tcW w:w="1373" w:type="dxa"/>
            <w:tcBorders/>
            <w:vAlign w:val="center"/>
          </w:tcPr>
          <w:p>
            <w:pPr>
              <w:pStyle w:val="TableContents"/>
              <w:bidi w:val="0"/>
              <w:spacing w:before="0" w:after="0"/>
              <w:jc w:val="right"/>
              <w:rPr/>
            </w:pPr>
            <w:r>
              <w:rPr/>
              <w:t>144,294</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58" w:type="dxa"/>
            <w:tcBorders/>
            <w:vAlign w:val="center"/>
          </w:tcPr>
          <w:p>
            <w:pPr>
              <w:pStyle w:val="TableContents"/>
              <w:bidi w:val="0"/>
              <w:spacing w:before="0" w:after="0"/>
              <w:jc w:val="left"/>
              <w:rPr/>
            </w:pPr>
            <w:r>
              <w:rPr/>
              <w:t>$</w:t>
            </w:r>
          </w:p>
        </w:tc>
        <w:tc>
          <w:tcPr>
            <w:tcW w:w="812" w:type="dxa"/>
            <w:tcBorders/>
            <w:vAlign w:val="center"/>
          </w:tcPr>
          <w:p>
            <w:pPr>
              <w:pStyle w:val="TableContents"/>
              <w:bidi w:val="0"/>
              <w:spacing w:before="0" w:after="0"/>
              <w:jc w:val="right"/>
              <w:rPr/>
            </w:pPr>
            <w:r>
              <w:rPr/>
              <w:t>8.17</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31" w:type="dxa"/>
            <w:tcBorders/>
            <w:vAlign w:val="center"/>
          </w:tcPr>
          <w:p>
            <w:pPr>
              <w:pStyle w:val="TableContents"/>
              <w:bidi w:val="0"/>
              <w:spacing w:before="0" w:after="0"/>
              <w:jc w:val="left"/>
              <w:rPr/>
            </w:pPr>
            <w:r>
              <w:rPr/>
              <w:t> </w:t>
            </w:r>
          </w:p>
        </w:tc>
        <w:tc>
          <w:tcPr>
            <w:tcW w:w="1749" w:type="dxa"/>
            <w:tcBorders/>
            <w:vAlign w:val="center"/>
          </w:tcPr>
          <w:p>
            <w:pPr>
              <w:pStyle w:val="TableContents"/>
              <w:bidi w:val="0"/>
              <w:spacing w:before="0" w:after="0"/>
              <w:jc w:val="right"/>
              <w:rPr/>
            </w:pPr>
            <w:r>
              <w:rPr/>
              <w:t>144,294</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367" w:type="dxa"/>
            <w:tcBorders/>
            <w:vAlign w:val="center"/>
          </w:tcPr>
          <w:p>
            <w:pPr>
              <w:pStyle w:val="TableContents"/>
              <w:bidi w:val="0"/>
              <w:spacing w:before="0" w:after="0"/>
              <w:jc w:val="left"/>
              <w:rPr/>
            </w:pPr>
            <w:r>
              <w:rPr/>
              <w:t>$</w:t>
            </w:r>
          </w:p>
        </w:tc>
        <w:tc>
          <w:tcPr>
            <w:tcW w:w="1783" w:type="dxa"/>
            <w:tcBorders/>
            <w:vAlign w:val="center"/>
          </w:tcPr>
          <w:p>
            <w:pPr>
              <w:pStyle w:val="TableContents"/>
              <w:bidi w:val="0"/>
              <w:spacing w:before="0" w:after="0"/>
              <w:jc w:val="right"/>
              <w:rPr/>
            </w:pPr>
            <w:r>
              <w:rPr/>
              <w:t>48,821</w:t>
            </w:r>
          </w:p>
        </w:tc>
        <w:tc>
          <w:tcPr>
            <w:tcW w:w="75" w:type="dxa"/>
            <w:tcBorders/>
            <w:vAlign w:val="center"/>
          </w:tcPr>
          <w:p>
            <w:pPr>
              <w:pStyle w:val="TableContents"/>
              <w:bidi w:val="0"/>
              <w:spacing w:before="0" w:after="0"/>
              <w:jc w:val="left"/>
              <w:rPr/>
            </w:pPr>
            <w:r>
              <w:rPr/>
              <w:t> </w:t>
            </w:r>
          </w:p>
        </w:tc>
      </w:tr>
      <w:tr>
        <w:trPr/>
        <w:tc>
          <w:tcPr>
            <w:tcW w:w="135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September 2023</w:t>
            </w:r>
          </w:p>
        </w:tc>
        <w:tc>
          <w:tcPr>
            <w:tcW w:w="120" w:type="dxa"/>
            <w:tcBorders/>
            <w:shd w:fill="CCEEFF" w:val="clear"/>
            <w:vAlign w:val="center"/>
          </w:tcPr>
          <w:p>
            <w:pPr>
              <w:pStyle w:val="TableContents"/>
              <w:bidi w:val="0"/>
              <w:spacing w:before="0" w:after="0"/>
              <w:jc w:val="left"/>
              <w:rPr/>
            </w:pPr>
            <w:r>
              <w:rPr/>
              <w:t>  </w:t>
            </w:r>
          </w:p>
        </w:tc>
        <w:tc>
          <w:tcPr>
            <w:tcW w:w="102" w:type="dxa"/>
            <w:tcBorders/>
            <w:shd w:fill="CCEEFF" w:val="clear"/>
            <w:vAlign w:val="center"/>
          </w:tcPr>
          <w:p>
            <w:pPr>
              <w:pStyle w:val="TableContents"/>
              <w:bidi w:val="0"/>
              <w:spacing w:before="0" w:after="0"/>
              <w:jc w:val="left"/>
              <w:rPr/>
            </w:pPr>
            <w:r>
              <w:rPr/>
              <w:t> </w:t>
            </w:r>
          </w:p>
        </w:tc>
        <w:tc>
          <w:tcPr>
            <w:tcW w:w="1373" w:type="dxa"/>
            <w:tcBorders/>
            <w:shd w:fill="CCEEFF" w:val="clear"/>
            <w:vAlign w:val="center"/>
          </w:tcPr>
          <w:p>
            <w:pPr>
              <w:pStyle w:val="TableContents"/>
              <w:bidi w:val="0"/>
              <w:spacing w:before="0" w:after="0"/>
              <w:jc w:val="right"/>
              <w:rPr/>
            </w:pPr>
            <w:r>
              <w:rPr/>
              <w:t>527,204</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258" w:type="dxa"/>
            <w:tcBorders/>
            <w:shd w:fill="CCEEFF" w:val="clear"/>
            <w:vAlign w:val="center"/>
          </w:tcPr>
          <w:p>
            <w:pPr>
              <w:pStyle w:val="TableContents"/>
              <w:bidi w:val="0"/>
              <w:spacing w:before="0" w:after="0"/>
              <w:jc w:val="left"/>
              <w:rPr/>
            </w:pPr>
            <w:r>
              <w:rPr/>
              <w:t>$</w:t>
            </w:r>
          </w:p>
        </w:tc>
        <w:tc>
          <w:tcPr>
            <w:tcW w:w="812" w:type="dxa"/>
            <w:tcBorders/>
            <w:shd w:fill="CCEEFF" w:val="clear"/>
            <w:vAlign w:val="center"/>
          </w:tcPr>
          <w:p>
            <w:pPr>
              <w:pStyle w:val="TableContents"/>
              <w:bidi w:val="0"/>
              <w:spacing w:before="0" w:after="0"/>
              <w:jc w:val="right"/>
              <w:rPr/>
            </w:pPr>
            <w:r>
              <w:rPr/>
              <w:t>7.93</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131" w:type="dxa"/>
            <w:tcBorders/>
            <w:shd w:fill="CCEEFF" w:val="clear"/>
            <w:vAlign w:val="center"/>
          </w:tcPr>
          <w:p>
            <w:pPr>
              <w:pStyle w:val="TableContents"/>
              <w:bidi w:val="0"/>
              <w:spacing w:before="0" w:after="0"/>
              <w:jc w:val="left"/>
              <w:rPr/>
            </w:pPr>
            <w:r>
              <w:rPr/>
              <w:t> </w:t>
            </w:r>
          </w:p>
        </w:tc>
        <w:tc>
          <w:tcPr>
            <w:tcW w:w="1749" w:type="dxa"/>
            <w:tcBorders/>
            <w:shd w:fill="CCEEFF" w:val="clear"/>
            <w:vAlign w:val="center"/>
          </w:tcPr>
          <w:p>
            <w:pPr>
              <w:pStyle w:val="TableContents"/>
              <w:bidi w:val="0"/>
              <w:spacing w:before="0" w:after="0"/>
              <w:jc w:val="right"/>
              <w:rPr/>
            </w:pPr>
            <w:r>
              <w:rPr/>
              <w:t>527,204</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367" w:type="dxa"/>
            <w:tcBorders/>
            <w:shd w:fill="CCEEFF" w:val="clear"/>
            <w:vAlign w:val="center"/>
          </w:tcPr>
          <w:p>
            <w:pPr>
              <w:pStyle w:val="TableContents"/>
              <w:bidi w:val="0"/>
              <w:spacing w:before="0" w:after="0"/>
              <w:jc w:val="left"/>
              <w:rPr/>
            </w:pPr>
            <w:r>
              <w:rPr/>
              <w:t>$</w:t>
            </w:r>
          </w:p>
        </w:tc>
        <w:tc>
          <w:tcPr>
            <w:tcW w:w="1783" w:type="dxa"/>
            <w:tcBorders/>
            <w:shd w:fill="CCEEFF" w:val="clear"/>
            <w:vAlign w:val="center"/>
          </w:tcPr>
          <w:p>
            <w:pPr>
              <w:pStyle w:val="TableContents"/>
              <w:bidi w:val="0"/>
              <w:spacing w:before="0" w:after="0"/>
              <w:jc w:val="right"/>
              <w:rPr/>
            </w:pPr>
            <w:r>
              <w:rPr/>
              <w:t>44,638</w:t>
            </w:r>
          </w:p>
        </w:tc>
        <w:tc>
          <w:tcPr>
            <w:tcW w:w="75" w:type="dxa"/>
            <w:tcBorders/>
            <w:shd w:fill="CCEEFF" w:val="clear"/>
            <w:vAlign w:val="center"/>
          </w:tcPr>
          <w:p>
            <w:pPr>
              <w:pStyle w:val="TableContents"/>
              <w:bidi w:val="0"/>
              <w:spacing w:before="0" w:after="0"/>
              <w:jc w:val="left"/>
              <w:rPr/>
            </w:pPr>
            <w:r>
              <w:rPr/>
              <w:t> </w:t>
            </w:r>
          </w:p>
        </w:tc>
      </w:tr>
      <w:tr>
        <w:trPr/>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10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37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58"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812"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31"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49"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367"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8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pPr>
            <w:r>
              <w:rPr/>
              <w:t> </w:t>
            </w:r>
          </w:p>
        </w:tc>
      </w:tr>
      <w:tr>
        <w:trPr/>
        <w:tc>
          <w:tcPr>
            <w:tcW w:w="135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w:t>
            </w:r>
          </w:p>
        </w:tc>
        <w:tc>
          <w:tcPr>
            <w:tcW w:w="120" w:type="dxa"/>
            <w:tcBorders/>
            <w:vAlign w:val="center"/>
          </w:tcPr>
          <w:p>
            <w:pPr>
              <w:pStyle w:val="TableContents"/>
              <w:bidi w:val="0"/>
              <w:spacing w:before="0" w:after="0"/>
              <w:jc w:val="left"/>
              <w:rPr/>
            </w:pPr>
            <w:r>
              <w:rPr/>
              <w:t>  </w:t>
            </w:r>
          </w:p>
        </w:tc>
        <w:tc>
          <w:tcPr>
            <w:tcW w:w="102" w:type="dxa"/>
            <w:tcBorders/>
            <w:vAlign w:val="center"/>
          </w:tcPr>
          <w:p>
            <w:pPr>
              <w:pStyle w:val="TableContents"/>
              <w:bidi w:val="0"/>
              <w:spacing w:before="0" w:after="0"/>
              <w:jc w:val="left"/>
              <w:rPr/>
            </w:pPr>
            <w:r>
              <w:rPr/>
              <w:t> </w:t>
            </w:r>
          </w:p>
        </w:tc>
        <w:tc>
          <w:tcPr>
            <w:tcW w:w="1373" w:type="dxa"/>
            <w:tcBorders/>
            <w:vAlign w:val="center"/>
          </w:tcPr>
          <w:p>
            <w:pPr>
              <w:pStyle w:val="TableContents"/>
              <w:bidi w:val="0"/>
              <w:spacing w:before="0" w:after="0"/>
              <w:jc w:val="right"/>
              <w:rPr/>
            </w:pPr>
            <w:r>
              <w:rPr/>
              <w:t>671,498</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58" w:type="dxa"/>
            <w:tcBorders/>
            <w:vAlign w:val="center"/>
          </w:tcPr>
          <w:p>
            <w:pPr>
              <w:pStyle w:val="TableContents"/>
              <w:bidi w:val="0"/>
              <w:spacing w:before="0" w:after="0"/>
              <w:jc w:val="left"/>
              <w:rPr/>
            </w:pPr>
            <w:r>
              <w:rPr/>
              <w:t>$</w:t>
            </w:r>
          </w:p>
        </w:tc>
        <w:tc>
          <w:tcPr>
            <w:tcW w:w="812" w:type="dxa"/>
            <w:tcBorders/>
            <w:vAlign w:val="center"/>
          </w:tcPr>
          <w:p>
            <w:pPr>
              <w:pStyle w:val="TableContents"/>
              <w:bidi w:val="0"/>
              <w:spacing w:before="0" w:after="0"/>
              <w:jc w:val="right"/>
              <w:rPr/>
            </w:pPr>
            <w:r>
              <w:rPr/>
              <w:t>7.98</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31" w:type="dxa"/>
            <w:tcBorders/>
            <w:vAlign w:val="center"/>
          </w:tcPr>
          <w:p>
            <w:pPr>
              <w:pStyle w:val="TableContents"/>
              <w:bidi w:val="0"/>
              <w:spacing w:before="0" w:after="0"/>
              <w:jc w:val="left"/>
              <w:rPr/>
            </w:pPr>
            <w:r>
              <w:rPr/>
              <w:t> </w:t>
            </w:r>
          </w:p>
        </w:tc>
        <w:tc>
          <w:tcPr>
            <w:tcW w:w="1749" w:type="dxa"/>
            <w:tcBorders/>
            <w:vAlign w:val="center"/>
          </w:tcPr>
          <w:p>
            <w:pPr>
              <w:pStyle w:val="TableContents"/>
              <w:bidi w:val="0"/>
              <w:spacing w:before="0" w:after="0"/>
              <w:jc w:val="right"/>
              <w:rPr/>
            </w:pPr>
            <w:r>
              <w:rPr/>
              <w:t>671,498</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367" w:type="dxa"/>
            <w:tcBorders/>
            <w:vAlign w:val="center"/>
          </w:tcPr>
          <w:p>
            <w:pPr>
              <w:pStyle w:val="TableContents"/>
              <w:bidi w:val="0"/>
              <w:spacing w:before="0" w:after="0"/>
              <w:jc w:val="left"/>
              <w:rPr/>
            </w:pPr>
            <w:r>
              <w:rPr/>
              <w:t>$</w:t>
            </w:r>
          </w:p>
        </w:tc>
        <w:tc>
          <w:tcPr>
            <w:tcW w:w="1783" w:type="dxa"/>
            <w:tcBorders/>
            <w:vAlign w:val="center"/>
          </w:tcPr>
          <w:p>
            <w:pPr>
              <w:pStyle w:val="TableContents"/>
              <w:bidi w:val="0"/>
              <w:spacing w:before="0" w:after="0"/>
              <w:jc w:val="right"/>
              <w:rPr/>
            </w:pPr>
            <w:r>
              <w:rPr/>
              <w:t>44,638</w:t>
            </w:r>
          </w:p>
        </w:tc>
        <w:tc>
          <w:tcPr>
            <w:tcW w:w="75" w:type="dxa"/>
            <w:tcBorders/>
            <w:vAlign w:val="center"/>
          </w:tcPr>
          <w:p>
            <w:pPr>
              <w:pStyle w:val="TableContents"/>
              <w:bidi w:val="0"/>
              <w:spacing w:before="0" w:after="0"/>
              <w:jc w:val="left"/>
              <w:rPr/>
            </w:pPr>
            <w:r>
              <w:rPr/>
              <w:t> </w:t>
            </w:r>
          </w:p>
        </w:tc>
      </w:tr>
      <w:tr>
        <w:trPr/>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pPr>
            <w:r>
              <w:rPr/>
              <w:t>  </w:t>
            </w:r>
          </w:p>
        </w:tc>
        <w:tc>
          <w:tcPr>
            <w:tcW w:w="10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37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58"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812"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31"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49"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367"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83"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0"/>
              <w:jc w:val="left"/>
              <w:rPr/>
            </w:pPr>
            <w:r>
              <w:rPr/>
              <w:t> </w:t>
            </w:r>
          </w:p>
        </w:tc>
      </w:tr>
    </w:tbl>
    <w:p>
      <w:pPr>
        <w:pStyle w:val="TextBody"/>
        <w:bidi w:val="0"/>
        <w:spacing w:lineRule="atLeast" w:line="160" w:before="0" w:after="4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left"/>
              <w:rPr/>
            </w:pPr>
            <w:r>
              <w:rPr/>
              <w:t>(1)</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July 19, 2023, the Company’s Board of Directors authorized a new $50 million stock buyback program. Purchases have been and will be made in the open market or through privately negotiated transactions, depending upon market conditions and other factors. In connection with the repurchase program, the Company established a stock trading plan with Needham &amp; Company, LLC in accordance with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10b5-1</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w:t>
            </w:r>
          </w:p>
        </w:tc>
      </w:tr>
    </w:tbl>
    <w:p>
      <w:pPr>
        <w:pStyle w:val="TextBody"/>
        <w:bidi w:val="0"/>
        <w:spacing w:before="0" w:after="0"/>
        <w:ind w:left="0" w:right="0" w:hanging="0"/>
        <w:jc w:val="left"/>
        <w:rPr>
          <w:spacing w:val="0"/>
        </w:rPr>
      </w:pPr>
      <w:r>
        <w:rPr>
          <w:spacing w:val="0"/>
        </w:rPr>
        <w:t> </w:t>
      </w:r>
    </w:p>
    <w:tbl>
      <w:tblPr>
        <w:tblW w:w="3475" w:type="dxa"/>
        <w:jc w:val="left"/>
        <w:tblInd w:w="0" w:type="dxa"/>
        <w:tblLayout w:type="fixed"/>
        <w:tblCellMar>
          <w:top w:w="0" w:type="dxa"/>
          <w:left w:w="0" w:type="dxa"/>
          <w:bottom w:w="0" w:type="dxa"/>
          <w:right w:w="0" w:type="dxa"/>
        </w:tblCellMar>
      </w:tblPr>
      <w:tblGrid>
        <w:gridCol w:w="740"/>
        <w:gridCol w:w="2735"/>
      </w:tblGrid>
      <w:tr>
        <w:trPr/>
        <w:tc>
          <w:tcPr>
            <w:tcW w:w="740" w:type="dxa"/>
            <w:tcBorders/>
            <w:vAlign w:val="center"/>
          </w:tcPr>
          <w:p>
            <w:pPr>
              <w:pStyle w:val="TableContents"/>
              <w:bidi w:val="0"/>
              <w:spacing w:before="0" w:after="0"/>
              <w:jc w:val="left"/>
              <w:rPr>
                <w:b/>
                <w:spacing w:val="0"/>
              </w:rPr>
            </w:pPr>
            <w:bookmarkStart w:id="10" w:name="toc546648_16"/>
            <w:bookmarkEnd w:id="10"/>
            <w:r>
              <w:rPr>
                <w:b/>
                <w:spacing w:val="0"/>
              </w:rPr>
              <w:t>Item 3.</w:t>
            </w:r>
          </w:p>
        </w:tc>
        <w:tc>
          <w:tcPr>
            <w:tcW w:w="273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Defaults Upon Senior Securities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Not applicable. </w:t>
      </w:r>
    </w:p>
    <w:p>
      <w:pPr>
        <w:pStyle w:val="TextBody"/>
        <w:bidi w:val="0"/>
        <w:spacing w:before="0" w:after="0"/>
        <w:ind w:left="0" w:right="0" w:hanging="0"/>
        <w:jc w:val="left"/>
        <w:rPr>
          <w:spacing w:val="0"/>
        </w:rPr>
      </w:pPr>
      <w:r>
        <w:rPr>
          <w:spacing w:val="0"/>
        </w:rPr>
        <w:t> </w:t>
      </w:r>
    </w:p>
    <w:tbl>
      <w:tblPr>
        <w:tblW w:w="2830" w:type="dxa"/>
        <w:jc w:val="left"/>
        <w:tblInd w:w="0" w:type="dxa"/>
        <w:tblLayout w:type="fixed"/>
        <w:tblCellMar>
          <w:top w:w="0" w:type="dxa"/>
          <w:left w:w="0" w:type="dxa"/>
          <w:bottom w:w="0" w:type="dxa"/>
          <w:right w:w="0" w:type="dxa"/>
        </w:tblCellMar>
      </w:tblPr>
      <w:tblGrid>
        <w:gridCol w:w="740"/>
        <w:gridCol w:w="2090"/>
      </w:tblGrid>
      <w:tr>
        <w:trPr/>
        <w:tc>
          <w:tcPr>
            <w:tcW w:w="740" w:type="dxa"/>
            <w:tcBorders/>
            <w:vAlign w:val="center"/>
          </w:tcPr>
          <w:p>
            <w:pPr>
              <w:pStyle w:val="TableContents"/>
              <w:bidi w:val="0"/>
              <w:spacing w:before="0" w:after="0"/>
              <w:jc w:val="left"/>
              <w:rPr>
                <w:b/>
                <w:spacing w:val="0"/>
              </w:rPr>
            </w:pPr>
            <w:bookmarkStart w:id="11" w:name="toc546648_17"/>
            <w:bookmarkEnd w:id="11"/>
            <w:r>
              <w:rPr>
                <w:b/>
                <w:spacing w:val="0"/>
              </w:rPr>
              <w:t>Item 4.</w:t>
            </w:r>
          </w:p>
        </w:tc>
        <w:tc>
          <w:tcPr>
            <w:tcW w:w="209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Mine Safety Disclosures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Not applicable. </w:t>
      </w:r>
    </w:p>
    <w:p>
      <w:pPr>
        <w:pStyle w:val="TextBody"/>
        <w:bidi w:val="0"/>
        <w:spacing w:before="0" w:after="0"/>
        <w:ind w:left="0" w:right="0" w:hanging="0"/>
        <w:jc w:val="left"/>
        <w:rPr>
          <w:spacing w:val="0"/>
        </w:rPr>
      </w:pPr>
      <w:r>
        <w:rPr>
          <w:spacing w:val="0"/>
        </w:rPr>
        <w:t> </w:t>
      </w:r>
    </w:p>
    <w:tbl>
      <w:tblPr>
        <w:tblW w:w="2395" w:type="dxa"/>
        <w:jc w:val="left"/>
        <w:tblInd w:w="0" w:type="dxa"/>
        <w:tblLayout w:type="fixed"/>
        <w:tblCellMar>
          <w:top w:w="0" w:type="dxa"/>
          <w:left w:w="0" w:type="dxa"/>
          <w:bottom w:w="0" w:type="dxa"/>
          <w:right w:w="0" w:type="dxa"/>
        </w:tblCellMar>
      </w:tblPr>
      <w:tblGrid>
        <w:gridCol w:w="740"/>
        <w:gridCol w:w="1655"/>
      </w:tblGrid>
      <w:tr>
        <w:trPr/>
        <w:tc>
          <w:tcPr>
            <w:tcW w:w="740" w:type="dxa"/>
            <w:tcBorders/>
            <w:vAlign w:val="center"/>
          </w:tcPr>
          <w:p>
            <w:pPr>
              <w:pStyle w:val="TableContents"/>
              <w:bidi w:val="0"/>
              <w:spacing w:before="0" w:after="0"/>
              <w:jc w:val="left"/>
              <w:rPr>
                <w:b/>
                <w:spacing w:val="0"/>
              </w:rPr>
            </w:pPr>
            <w:bookmarkStart w:id="12" w:name="toc546648_18"/>
            <w:bookmarkEnd w:id="12"/>
            <w:r>
              <w:rPr>
                <w:b/>
                <w:spacing w:val="0"/>
              </w:rPr>
              <w:t>Item 5.</w:t>
            </w:r>
          </w:p>
        </w:tc>
        <w:tc>
          <w:tcPr>
            <w:tcW w:w="165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Other Information </w:t>
            </w:r>
          </w:p>
        </w:tc>
      </w:tr>
    </w:tbl>
    <w:p>
      <w:pPr>
        <w:pStyle w:val="TextBody"/>
        <w:bidi w:val="0"/>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Securities Trading Plans of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During our last fiscal quarter, no director or officer, as defined in 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16a-1(f),</w:t>
      </w:r>
    </w:p>
    <w:p>
      <w:pPr>
        <w:pStyle w:val="TextBody"/>
        <w:bidi w:val="0"/>
        <w:spacing w:before="120" w:after="0"/>
        <w:jc w:val="left"/>
        <w:rPr>
          <w:rFonts w:ascii="Times New Roman" w:hAnsi="Times New Roman"/>
          <w:sz w:val="20"/>
        </w:rPr>
      </w:pPr>
      <w:r>
        <w:rPr>
          <w:rFonts w:ascii="Times New Roman" w:hAnsi="Times New Roman"/>
          <w:sz w:val="20"/>
        </w:rPr>
        <w:t xml:space="preserve">adopted or terminated a “Rule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10b5-1</w:t>
      </w:r>
    </w:p>
    <w:p>
      <w:pPr>
        <w:pStyle w:val="TextBody"/>
        <w:bidi w:val="0"/>
        <w:spacing w:before="120" w:after="0"/>
        <w:jc w:val="left"/>
        <w:rPr>
          <w:rFonts w:ascii="Times New Roman" w:hAnsi="Times New Roman"/>
          <w:sz w:val="20"/>
        </w:rPr>
      </w:pPr>
      <w:r>
        <w:rPr>
          <w:rFonts w:ascii="Times New Roman" w:hAnsi="Times New Roman"/>
          <w:sz w:val="20"/>
        </w:rPr>
        <w:t xml:space="preserve">trading arrangement” or a </w:t>
      </w:r>
    </w:p>
    <w:p>
      <w:pPr>
        <w:pStyle w:val="TextBody"/>
        <w:bidi w:val="0"/>
        <w:spacing w:before="120" w:after="0"/>
        <w:jc w:val="left"/>
        <w:rPr>
          <w:spacing w:val="0"/>
        </w:rPr>
      </w:pPr>
      <w:r>
        <w:rPr>
          <w:spacing w:val="0"/>
        </w:rPr>
        <w:t>“</w:t>
      </w:r>
      <w:r>
        <w:rPr>
          <w:rFonts w:ascii="Times New Roman" w:hAnsi="Times New Roman"/>
          <w:spacing w:val="0"/>
          <w:sz w:val="20"/>
        </w:rPr>
        <w:t>non-Rule</w:t>
      </w:r>
    </w:p>
    <w:p>
      <w:pPr>
        <w:pStyle w:val="TextBody"/>
        <w:bidi w:val="0"/>
        <w:spacing w:before="120" w:after="0"/>
        <w:jc w:val="left"/>
        <w:rPr>
          <w:rFonts w:ascii="Times New Roman" w:hAnsi="Times New Roman"/>
          <w:spacing w:val="0"/>
          <w:sz w:val="20"/>
        </w:rPr>
      </w:pPr>
      <w:r>
        <w:rPr>
          <w:rFonts w:ascii="Times New Roman" w:hAnsi="Times New Roman"/>
          <w:spacing w:val="0"/>
          <w:sz w:val="20"/>
        </w:rPr>
        <w:t>10b5-1</w:t>
      </w:r>
    </w:p>
    <w:p>
      <w:pPr>
        <w:pStyle w:val="TextBody"/>
        <w:bidi w:val="0"/>
        <w:spacing w:before="120" w:after="0"/>
        <w:jc w:val="left"/>
        <w:rPr>
          <w:rFonts w:ascii="Times New Roman" w:hAnsi="Times New Roman"/>
          <w:sz w:val="20"/>
        </w:rPr>
      </w:pPr>
      <w:r>
        <w:rPr>
          <w:rFonts w:ascii="Times New Roman" w:hAnsi="Times New Roman"/>
          <w:sz w:val="20"/>
        </w:rPr>
        <w:t xml:space="preserve">trading arrangement,” each as defined in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S-K</w:t>
      </w:r>
    </w:p>
    <w:p>
      <w:pPr>
        <w:pStyle w:val="TextBody"/>
        <w:bidi w:val="0"/>
        <w:spacing w:before="120" w:after="0"/>
        <w:jc w:val="left"/>
        <w:rPr>
          <w:rFonts w:ascii="Times New Roman" w:hAnsi="Times New Roman"/>
          <w:sz w:val="20"/>
        </w:rPr>
      </w:pPr>
      <w:r>
        <w:rPr>
          <w:rFonts w:ascii="Times New Roman" w:hAnsi="Times New Roman"/>
          <w:sz w:val="20"/>
        </w:rPr>
        <w:t xml:space="preserve">Item 408.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570" w:type="dxa"/>
        <w:jc w:val="left"/>
        <w:tblInd w:w="0" w:type="dxa"/>
        <w:tblLayout w:type="fixed"/>
        <w:tblCellMar>
          <w:top w:w="0" w:type="dxa"/>
          <w:left w:w="0" w:type="dxa"/>
          <w:bottom w:w="0" w:type="dxa"/>
          <w:right w:w="0" w:type="dxa"/>
        </w:tblCellMar>
      </w:tblPr>
      <w:tblGrid>
        <w:gridCol w:w="740"/>
        <w:gridCol w:w="830"/>
      </w:tblGrid>
      <w:tr>
        <w:trPr/>
        <w:tc>
          <w:tcPr>
            <w:tcW w:w="740" w:type="dxa"/>
            <w:tcBorders/>
            <w:vAlign w:val="center"/>
          </w:tcPr>
          <w:p>
            <w:pPr>
              <w:pStyle w:val="TableContents"/>
              <w:bidi w:val="0"/>
              <w:spacing w:before="0" w:after="0"/>
              <w:jc w:val="left"/>
              <w:rPr>
                <w:b/>
                <w:spacing w:val="0"/>
              </w:rPr>
            </w:pPr>
            <w:bookmarkStart w:id="13" w:name="toc546648_19"/>
            <w:bookmarkEnd w:id="13"/>
            <w:r>
              <w:rPr>
                <w:b/>
                <w:spacing w:val="0"/>
              </w:rPr>
              <w:t>Item 6.</w:t>
            </w:r>
          </w:p>
        </w:tc>
        <w:tc>
          <w:tcPr>
            <w:tcW w:w="83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Exhibits.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816"/>
        <w:gridCol w:w="120"/>
        <w:gridCol w:w="9269"/>
      </w:tblGrid>
      <w:tr>
        <w:trPr/>
        <w:tc>
          <w:tcPr>
            <w:tcW w:w="8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69" w:type="dxa"/>
            <w:tcBorders/>
            <w:vAlign w:val="center"/>
          </w:tcPr>
          <w:p>
            <w:pPr>
              <w:pStyle w:val="TableContents"/>
              <w:bidi w:val="0"/>
              <w:spacing w:before="0" w:after="283"/>
              <w:jc w:val="left"/>
              <w:rPr>
                <w:sz w:val="4"/>
                <w:szCs w:val="4"/>
              </w:rPr>
            </w:pPr>
            <w:r>
              <w:rPr>
                <w:sz w:val="4"/>
                <w:szCs w:val="4"/>
              </w:rPr>
            </w:r>
          </w:p>
        </w:tc>
      </w:tr>
      <w:tr>
        <w:trPr/>
        <w:tc>
          <w:tcPr>
            <w:tcW w:w="816" w:type="dxa"/>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Exhibit</w:t>
            </w:r>
          </w:p>
          <w:p>
            <w:pPr>
              <w:pStyle w:val="TableContents"/>
              <w:bidi w:val="0"/>
              <w:spacing w:before="0" w:after="2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Number</w:t>
            </w:r>
          </w:p>
        </w:tc>
        <w:tc>
          <w:tcPr>
            <w:tcW w:w="120" w:type="dxa"/>
            <w:tcBorders/>
            <w:vAlign w:val="center"/>
          </w:tcPr>
          <w:p>
            <w:pPr>
              <w:pStyle w:val="TableContents"/>
              <w:bidi w:val="0"/>
              <w:spacing w:before="0" w:after="283"/>
              <w:jc w:val="left"/>
              <w:rPr/>
            </w:pPr>
            <w:r>
              <w:rPr/>
              <w:t>  </w:t>
            </w:r>
          </w:p>
        </w:tc>
        <w:tc>
          <w:tcPr>
            <w:tcW w:w="9269" w:type="dxa"/>
            <w:tcBorders/>
            <w:vAlign w:val="center"/>
          </w:tcPr>
          <w:p>
            <w:pPr>
              <w:pStyle w:val="TableContents"/>
              <w:bidi w:val="0"/>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Description</w:t>
            </w:r>
          </w:p>
        </w:tc>
      </w:tr>
      <w:tr>
        <w:trPr/>
        <w:tc>
          <w:tcPr>
            <w:tcW w:w="816" w:type="dxa"/>
            <w:tcBorders/>
            <w:vAlign w:val="center"/>
          </w:tcPr>
          <w:p>
            <w:pPr>
              <w:pStyle w:val="TableContents"/>
              <w:bidi w:val="0"/>
              <w:spacing w:before="0" w:after="283"/>
              <w:jc w:val="left"/>
              <w:rPr/>
            </w:pPr>
            <w:r>
              <w:rPr/>
              <w:t> </w:t>
            </w:r>
          </w:p>
        </w:tc>
        <w:tc>
          <w:tcPr>
            <w:tcW w:w="9389" w:type="dxa"/>
            <w:gridSpan w:val="2"/>
            <w:tcBorders/>
            <w:vAlign w:val="center"/>
          </w:tcPr>
          <w:p>
            <w:pPr>
              <w:pStyle w:val="TableContents"/>
              <w:bidi w:val="0"/>
              <w:spacing w:before="0" w:after="283"/>
              <w:jc w:val="left"/>
              <w:rPr/>
            </w:pPr>
            <w:r>
              <w:rPr/>
              <w:t> </w:t>
            </w:r>
          </w:p>
        </w:tc>
      </w:tr>
      <w:tr>
        <w:trPr/>
        <w:tc>
          <w:tcPr>
            <w:tcW w:w="816" w:type="dxa"/>
            <w:tcBorders/>
            <w:vAlign w:val="center"/>
          </w:tcPr>
          <w:p>
            <w:pPr>
              <w:pStyle w:val="TableContents"/>
              <w:bidi w:val="0"/>
              <w:spacing w:before="0" w:after="0"/>
              <w:jc w:val="left"/>
              <w:rPr/>
            </w:pPr>
            <w:r>
              <w:rPr/>
              <w:t>31.1</w:t>
            </w:r>
          </w:p>
          <w:p>
            <w:pPr>
              <w:pStyle w:val="TableContents"/>
              <w:bidi w:val="0"/>
              <w:spacing w:before="0" w:after="0"/>
              <w:jc w:val="left"/>
              <w:rPr>
                <w:sz w:val="12"/>
              </w:rPr>
            </w:pPr>
            <w:r>
              <w:rPr>
                <w:sz w:val="12"/>
              </w:rPr>
              <w:t>#</w:t>
            </w:r>
          </w:p>
        </w:tc>
        <w:tc>
          <w:tcPr>
            <w:tcW w:w="120" w:type="dxa"/>
            <w:tcBorders/>
            <w:vAlign w:val="center"/>
          </w:tcPr>
          <w:p>
            <w:pPr>
              <w:pStyle w:val="TableContents"/>
              <w:bidi w:val="0"/>
              <w:spacing w:before="0" w:after="283"/>
              <w:jc w:val="left"/>
              <w:rPr/>
            </w:pPr>
            <w:r>
              <w:rPr/>
              <w:t>  </w:t>
            </w:r>
          </w:p>
        </w:tc>
        <w:tc>
          <w:tcPr>
            <w:tcW w:w="9269" w:type="dxa"/>
            <w:tcBorders/>
            <w:vAlign w:val="center"/>
          </w:tcPr>
          <w:p>
            <w:pPr>
              <w:pStyle w:val="TableContents"/>
              <w:bidi w:val="0"/>
              <w:spacing w:before="0" w:after="283"/>
              <w:jc w:val="left"/>
              <w:rPr/>
            </w:pPr>
            <w:hyperlink w:anchor="d546648dex311.htm">
              <w:r>
                <w:rPr>
                  <w:rStyle w:val="InternetLink"/>
                </w:rPr>
                <w:t xml:space="preserve">Certification pursuant to </w:t>
              </w:r>
            </w:hyperlink>
            <w:hyperlink w:anchor="d546648dex311.htm">
              <w:r>
                <w:rPr>
                  <w:rStyle w:val="InternetLink"/>
                  <w:spacing w:val="0"/>
                </w:rPr>
                <w:t>Rule 13a-14(a)</w:t>
              </w:r>
            </w:hyperlink>
            <w:hyperlink w:anchor="d546648dex311.htm">
              <w:r>
                <w:rPr>
                  <w:rStyle w:val="InternetLink"/>
                </w:rPr>
                <w:t xml:space="preserve"> or Rule </w:t>
              </w:r>
            </w:hyperlink>
            <w:hyperlink w:anchor="d546648dex311.htm">
              <w:r>
                <w:rPr>
                  <w:rStyle w:val="InternetLink"/>
                  <w:spacing w:val="0"/>
                </w:rPr>
                <w:t>15d-14(a)</w:t>
              </w:r>
            </w:hyperlink>
            <w:hyperlink w:anchor="d546648dex311.htm">
              <w:r>
                <w:rPr>
                  <w:rStyle w:val="InternetLink"/>
                </w:rPr>
                <w:t xml:space="preserve"> of the Securities Exchange Act of 1934 of the Chief Executive Officer. </w:t>
              </w:r>
            </w:hyperlink>
          </w:p>
        </w:tc>
      </w:tr>
      <w:tr>
        <w:trPr/>
        <w:tc>
          <w:tcPr>
            <w:tcW w:w="816" w:type="dxa"/>
            <w:tcBorders/>
            <w:vAlign w:val="center"/>
          </w:tcPr>
          <w:p>
            <w:pPr>
              <w:pStyle w:val="TableContents"/>
              <w:bidi w:val="0"/>
              <w:spacing w:before="0" w:after="283"/>
              <w:jc w:val="left"/>
              <w:rPr/>
            </w:pPr>
            <w:r>
              <w:rPr/>
              <w:t> </w:t>
            </w:r>
          </w:p>
        </w:tc>
        <w:tc>
          <w:tcPr>
            <w:tcW w:w="9389" w:type="dxa"/>
            <w:gridSpan w:val="2"/>
            <w:tcBorders/>
            <w:vAlign w:val="center"/>
          </w:tcPr>
          <w:p>
            <w:pPr>
              <w:pStyle w:val="TableContents"/>
              <w:bidi w:val="0"/>
              <w:spacing w:before="0" w:after="283"/>
              <w:jc w:val="left"/>
              <w:rPr/>
            </w:pPr>
            <w:r>
              <w:rPr/>
              <w:t> </w:t>
            </w:r>
          </w:p>
        </w:tc>
      </w:tr>
      <w:tr>
        <w:trPr/>
        <w:tc>
          <w:tcPr>
            <w:tcW w:w="816" w:type="dxa"/>
            <w:tcBorders/>
            <w:vAlign w:val="center"/>
          </w:tcPr>
          <w:p>
            <w:pPr>
              <w:pStyle w:val="TableContents"/>
              <w:bidi w:val="0"/>
              <w:spacing w:before="0" w:after="0"/>
              <w:jc w:val="left"/>
              <w:rPr/>
            </w:pPr>
            <w:r>
              <w:rPr/>
              <w:t>31.2</w:t>
            </w:r>
          </w:p>
          <w:p>
            <w:pPr>
              <w:pStyle w:val="TableContents"/>
              <w:bidi w:val="0"/>
              <w:spacing w:before="0" w:after="0"/>
              <w:jc w:val="left"/>
              <w:rPr>
                <w:sz w:val="12"/>
              </w:rPr>
            </w:pPr>
            <w:r>
              <w:rPr>
                <w:sz w:val="12"/>
              </w:rPr>
              <w:t>#</w:t>
            </w:r>
          </w:p>
        </w:tc>
        <w:tc>
          <w:tcPr>
            <w:tcW w:w="120" w:type="dxa"/>
            <w:tcBorders/>
            <w:vAlign w:val="center"/>
          </w:tcPr>
          <w:p>
            <w:pPr>
              <w:pStyle w:val="TableContents"/>
              <w:bidi w:val="0"/>
              <w:spacing w:before="0" w:after="283"/>
              <w:jc w:val="left"/>
              <w:rPr/>
            </w:pPr>
            <w:r>
              <w:rPr/>
              <w:t>  </w:t>
            </w:r>
          </w:p>
        </w:tc>
        <w:tc>
          <w:tcPr>
            <w:tcW w:w="9269" w:type="dxa"/>
            <w:tcBorders/>
            <w:vAlign w:val="center"/>
          </w:tcPr>
          <w:p>
            <w:pPr>
              <w:pStyle w:val="TableContents"/>
              <w:bidi w:val="0"/>
              <w:spacing w:before="0" w:after="283"/>
              <w:jc w:val="left"/>
              <w:rPr/>
            </w:pPr>
            <w:hyperlink w:anchor="d546648dex312.htm">
              <w:r>
                <w:rPr>
                  <w:rStyle w:val="InternetLink"/>
                </w:rPr>
                <w:t xml:space="preserve">Certification pursuant to Rule </w:t>
              </w:r>
            </w:hyperlink>
            <w:hyperlink w:anchor="d546648dex312.htm">
              <w:r>
                <w:rPr>
                  <w:rStyle w:val="InternetLink"/>
                  <w:spacing w:val="0"/>
                </w:rPr>
                <w:t>13a-14(a)</w:t>
              </w:r>
            </w:hyperlink>
            <w:hyperlink w:anchor="d546648dex312.htm">
              <w:r>
                <w:rPr>
                  <w:rStyle w:val="InternetLink"/>
                </w:rPr>
                <w:t xml:space="preserve"> or Rule </w:t>
              </w:r>
            </w:hyperlink>
            <w:hyperlink w:anchor="d546648dex312.htm">
              <w:r>
                <w:rPr>
                  <w:rStyle w:val="InternetLink"/>
                  <w:spacing w:val="0"/>
                </w:rPr>
                <w:t>15d-14(a)</w:t>
              </w:r>
            </w:hyperlink>
            <w:hyperlink w:anchor="d546648dex312.htm">
              <w:r>
                <w:rPr>
                  <w:rStyle w:val="InternetLink"/>
                </w:rPr>
                <w:t xml:space="preserve"> of the Securities Exchange Act of 1934 of the Chief Financial Officer. </w:t>
              </w:r>
            </w:hyperlink>
          </w:p>
        </w:tc>
      </w:tr>
      <w:tr>
        <w:trPr/>
        <w:tc>
          <w:tcPr>
            <w:tcW w:w="816" w:type="dxa"/>
            <w:tcBorders/>
            <w:vAlign w:val="center"/>
          </w:tcPr>
          <w:p>
            <w:pPr>
              <w:pStyle w:val="TableContents"/>
              <w:bidi w:val="0"/>
              <w:spacing w:before="0" w:after="283"/>
              <w:jc w:val="left"/>
              <w:rPr/>
            </w:pPr>
            <w:r>
              <w:rPr/>
              <w:t> </w:t>
            </w:r>
          </w:p>
        </w:tc>
        <w:tc>
          <w:tcPr>
            <w:tcW w:w="9389" w:type="dxa"/>
            <w:gridSpan w:val="2"/>
            <w:tcBorders/>
            <w:vAlign w:val="center"/>
          </w:tcPr>
          <w:p>
            <w:pPr>
              <w:pStyle w:val="TableContents"/>
              <w:bidi w:val="0"/>
              <w:spacing w:before="0" w:after="283"/>
              <w:jc w:val="left"/>
              <w:rPr/>
            </w:pPr>
            <w:r>
              <w:rPr/>
              <w:t> </w:t>
            </w:r>
          </w:p>
        </w:tc>
      </w:tr>
      <w:tr>
        <w:trPr/>
        <w:tc>
          <w:tcPr>
            <w:tcW w:w="816" w:type="dxa"/>
            <w:tcBorders/>
            <w:vAlign w:val="center"/>
          </w:tcPr>
          <w:p>
            <w:pPr>
              <w:pStyle w:val="TableContents"/>
              <w:bidi w:val="0"/>
              <w:spacing w:before="0" w:after="283"/>
              <w:jc w:val="left"/>
              <w:rPr/>
            </w:pPr>
            <w:r>
              <w:rPr/>
              <w:t>32.1†</w:t>
            </w:r>
          </w:p>
        </w:tc>
        <w:tc>
          <w:tcPr>
            <w:tcW w:w="120" w:type="dxa"/>
            <w:tcBorders/>
            <w:vAlign w:val="center"/>
          </w:tcPr>
          <w:p>
            <w:pPr>
              <w:pStyle w:val="TableContents"/>
              <w:bidi w:val="0"/>
              <w:spacing w:before="0" w:after="283"/>
              <w:jc w:val="left"/>
              <w:rPr/>
            </w:pPr>
            <w:r>
              <w:rPr/>
              <w:t>  </w:t>
            </w:r>
          </w:p>
        </w:tc>
        <w:tc>
          <w:tcPr>
            <w:tcW w:w="9269" w:type="dxa"/>
            <w:tcBorders/>
            <w:vAlign w:val="center"/>
          </w:tcPr>
          <w:p>
            <w:pPr>
              <w:pStyle w:val="TableContents"/>
              <w:bidi w:val="0"/>
              <w:spacing w:before="0" w:after="283"/>
              <w:jc w:val="left"/>
              <w:rPr/>
            </w:pPr>
            <w:hyperlink w:anchor="d546648dex321.htm">
              <w:r>
                <w:rPr>
                  <w:rStyle w:val="InternetLink"/>
                </w:rPr>
                <w:t xml:space="preserve">Certification pursuant to 18 U.S.C. Section 1350, as adopted pursuant to Section 906 of the Sarbanes-Oxley Act of 2002, of the Chief Executive Officer. </w:t>
              </w:r>
            </w:hyperlink>
          </w:p>
        </w:tc>
      </w:tr>
      <w:tr>
        <w:trPr/>
        <w:tc>
          <w:tcPr>
            <w:tcW w:w="816" w:type="dxa"/>
            <w:tcBorders/>
            <w:vAlign w:val="center"/>
          </w:tcPr>
          <w:p>
            <w:pPr>
              <w:pStyle w:val="TableContents"/>
              <w:bidi w:val="0"/>
              <w:spacing w:before="0" w:after="283"/>
              <w:jc w:val="left"/>
              <w:rPr/>
            </w:pPr>
            <w:r>
              <w:rPr/>
              <w:t> </w:t>
            </w:r>
          </w:p>
        </w:tc>
        <w:tc>
          <w:tcPr>
            <w:tcW w:w="9389" w:type="dxa"/>
            <w:gridSpan w:val="2"/>
            <w:tcBorders/>
            <w:vAlign w:val="center"/>
          </w:tcPr>
          <w:p>
            <w:pPr>
              <w:pStyle w:val="TableContents"/>
              <w:bidi w:val="0"/>
              <w:spacing w:before="0" w:after="283"/>
              <w:jc w:val="left"/>
              <w:rPr/>
            </w:pPr>
            <w:r>
              <w:rPr/>
              <w:t> </w:t>
            </w:r>
          </w:p>
        </w:tc>
      </w:tr>
      <w:tr>
        <w:trPr/>
        <w:tc>
          <w:tcPr>
            <w:tcW w:w="816" w:type="dxa"/>
            <w:tcBorders/>
            <w:vAlign w:val="center"/>
          </w:tcPr>
          <w:p>
            <w:pPr>
              <w:pStyle w:val="TableContents"/>
              <w:bidi w:val="0"/>
              <w:spacing w:before="0" w:after="283"/>
              <w:jc w:val="left"/>
              <w:rPr/>
            </w:pPr>
            <w:r>
              <w:rPr/>
              <w:t>32.2†</w:t>
            </w:r>
          </w:p>
        </w:tc>
        <w:tc>
          <w:tcPr>
            <w:tcW w:w="120" w:type="dxa"/>
            <w:tcBorders/>
            <w:vAlign w:val="center"/>
          </w:tcPr>
          <w:p>
            <w:pPr>
              <w:pStyle w:val="TableContents"/>
              <w:bidi w:val="0"/>
              <w:spacing w:before="0" w:after="283"/>
              <w:jc w:val="left"/>
              <w:rPr/>
            </w:pPr>
            <w:r>
              <w:rPr/>
              <w:t>  </w:t>
            </w:r>
          </w:p>
        </w:tc>
        <w:tc>
          <w:tcPr>
            <w:tcW w:w="9269" w:type="dxa"/>
            <w:tcBorders/>
            <w:vAlign w:val="center"/>
          </w:tcPr>
          <w:p>
            <w:pPr>
              <w:pStyle w:val="TableContents"/>
              <w:bidi w:val="0"/>
              <w:spacing w:before="0" w:after="283"/>
              <w:jc w:val="left"/>
              <w:rPr/>
            </w:pPr>
            <w:hyperlink w:anchor="d546648dex322.htm">
              <w:r>
                <w:rPr>
                  <w:rStyle w:val="InternetLink"/>
                </w:rPr>
                <w:t xml:space="preserve">Certification pursuant to 18 U.S.C. Section 1350, as adopted pursuant to Section 906 of the Sarbanes-Oxley Act of 2002, of the Chief Financial Officer. </w:t>
              </w:r>
            </w:hyperlink>
          </w:p>
        </w:tc>
      </w:tr>
      <w:tr>
        <w:trPr/>
        <w:tc>
          <w:tcPr>
            <w:tcW w:w="816" w:type="dxa"/>
            <w:tcBorders/>
            <w:vAlign w:val="center"/>
          </w:tcPr>
          <w:p>
            <w:pPr>
              <w:pStyle w:val="TableContents"/>
              <w:bidi w:val="0"/>
              <w:spacing w:before="0" w:after="283"/>
              <w:jc w:val="left"/>
              <w:rPr/>
            </w:pPr>
            <w:r>
              <w:rPr/>
              <w:t> </w:t>
            </w:r>
          </w:p>
        </w:tc>
        <w:tc>
          <w:tcPr>
            <w:tcW w:w="9389" w:type="dxa"/>
            <w:gridSpan w:val="2"/>
            <w:tcBorders/>
            <w:vAlign w:val="center"/>
          </w:tcPr>
          <w:p>
            <w:pPr>
              <w:pStyle w:val="TableContents"/>
              <w:bidi w:val="0"/>
              <w:spacing w:before="0" w:after="283"/>
              <w:jc w:val="left"/>
              <w:rPr/>
            </w:pPr>
            <w:r>
              <w:rPr/>
              <w:t> </w:t>
            </w:r>
          </w:p>
        </w:tc>
      </w:tr>
      <w:tr>
        <w:trPr/>
        <w:tc>
          <w:tcPr>
            <w:tcW w:w="816" w:type="dxa"/>
            <w:tcBorders/>
            <w:vAlign w:val="center"/>
          </w:tcPr>
          <w:p>
            <w:pPr>
              <w:pStyle w:val="TableContents"/>
              <w:bidi w:val="0"/>
              <w:spacing w:before="0" w:after="0"/>
              <w:jc w:val="left"/>
              <w:rPr/>
            </w:pPr>
            <w:r>
              <w:rPr/>
              <w:t>101.INS</w:t>
            </w:r>
          </w:p>
          <w:p>
            <w:pPr>
              <w:pStyle w:val="TableContents"/>
              <w:bidi w:val="0"/>
              <w:spacing w:before="0" w:after="0"/>
              <w:jc w:val="left"/>
              <w:rPr>
                <w:sz w:val="12"/>
              </w:rPr>
            </w:pPr>
            <w:r>
              <w:rPr>
                <w:sz w:val="12"/>
              </w:rPr>
              <w:t>#</w:t>
            </w:r>
          </w:p>
        </w:tc>
        <w:tc>
          <w:tcPr>
            <w:tcW w:w="120" w:type="dxa"/>
            <w:tcBorders/>
            <w:vAlign w:val="center"/>
          </w:tcPr>
          <w:p>
            <w:pPr>
              <w:pStyle w:val="TableContents"/>
              <w:bidi w:val="0"/>
              <w:spacing w:before="0" w:after="283"/>
              <w:jc w:val="left"/>
              <w:rPr/>
            </w:pPr>
            <w:r>
              <w:rPr/>
              <w:t>  </w:t>
            </w:r>
          </w:p>
        </w:tc>
        <w:tc>
          <w:tcPr>
            <w:tcW w:w="9269" w:type="dxa"/>
            <w:tcBorders/>
            <w:vAlign w:val="center"/>
          </w:tcPr>
          <w:p>
            <w:pPr>
              <w:pStyle w:val="TableContents"/>
              <w:bidi w:val="0"/>
              <w:spacing w:before="0" w:after="283"/>
              <w:jc w:val="left"/>
              <w:rPr/>
            </w:pPr>
            <w:r>
              <w:rPr/>
              <w:t>Inline XBRL Instance Document.</w:t>
            </w:r>
          </w:p>
        </w:tc>
      </w:tr>
      <w:tr>
        <w:trPr/>
        <w:tc>
          <w:tcPr>
            <w:tcW w:w="816" w:type="dxa"/>
            <w:tcBorders/>
            <w:vAlign w:val="center"/>
          </w:tcPr>
          <w:p>
            <w:pPr>
              <w:pStyle w:val="TableContents"/>
              <w:bidi w:val="0"/>
              <w:spacing w:before="0" w:after="283"/>
              <w:jc w:val="left"/>
              <w:rPr/>
            </w:pPr>
            <w:r>
              <w:rPr/>
              <w:t> </w:t>
            </w:r>
          </w:p>
        </w:tc>
        <w:tc>
          <w:tcPr>
            <w:tcW w:w="9389" w:type="dxa"/>
            <w:gridSpan w:val="2"/>
            <w:tcBorders/>
            <w:vAlign w:val="center"/>
          </w:tcPr>
          <w:p>
            <w:pPr>
              <w:pStyle w:val="TableContents"/>
              <w:bidi w:val="0"/>
              <w:spacing w:before="0" w:after="283"/>
              <w:jc w:val="left"/>
              <w:rPr/>
            </w:pPr>
            <w:r>
              <w:rPr/>
              <w:t> </w:t>
            </w:r>
          </w:p>
        </w:tc>
      </w:tr>
      <w:tr>
        <w:trPr/>
        <w:tc>
          <w:tcPr>
            <w:tcW w:w="816" w:type="dxa"/>
            <w:tcBorders/>
            <w:vAlign w:val="center"/>
          </w:tcPr>
          <w:p>
            <w:pPr>
              <w:pStyle w:val="TableContents"/>
              <w:bidi w:val="0"/>
              <w:spacing w:before="0" w:after="0"/>
              <w:jc w:val="left"/>
              <w:rPr/>
            </w:pPr>
            <w:r>
              <w:rPr/>
              <w:t>101.SCH</w:t>
            </w:r>
          </w:p>
          <w:p>
            <w:pPr>
              <w:pStyle w:val="TableContents"/>
              <w:bidi w:val="0"/>
              <w:spacing w:before="0" w:after="0"/>
              <w:jc w:val="left"/>
              <w:rPr>
                <w:sz w:val="12"/>
              </w:rPr>
            </w:pPr>
            <w:r>
              <w:rPr>
                <w:sz w:val="12"/>
              </w:rPr>
              <w:t>#</w:t>
            </w:r>
          </w:p>
        </w:tc>
        <w:tc>
          <w:tcPr>
            <w:tcW w:w="120" w:type="dxa"/>
            <w:tcBorders/>
            <w:vAlign w:val="center"/>
          </w:tcPr>
          <w:p>
            <w:pPr>
              <w:pStyle w:val="TableContents"/>
              <w:bidi w:val="0"/>
              <w:spacing w:before="0" w:after="283"/>
              <w:jc w:val="left"/>
              <w:rPr/>
            </w:pPr>
            <w:r>
              <w:rPr/>
              <w:t>  </w:t>
            </w:r>
          </w:p>
        </w:tc>
        <w:tc>
          <w:tcPr>
            <w:tcW w:w="9269" w:type="dxa"/>
            <w:tcBorders/>
            <w:vAlign w:val="center"/>
          </w:tcPr>
          <w:p>
            <w:pPr>
              <w:pStyle w:val="TableContents"/>
              <w:bidi w:val="0"/>
              <w:spacing w:before="0" w:after="283"/>
              <w:jc w:val="left"/>
              <w:rPr/>
            </w:pPr>
            <w:r>
              <w:rPr/>
              <w:t>Inline XBRL Taxonomy Extension Schema Document.</w:t>
            </w:r>
          </w:p>
        </w:tc>
      </w:tr>
      <w:tr>
        <w:trPr/>
        <w:tc>
          <w:tcPr>
            <w:tcW w:w="816" w:type="dxa"/>
            <w:tcBorders/>
            <w:vAlign w:val="center"/>
          </w:tcPr>
          <w:p>
            <w:pPr>
              <w:pStyle w:val="TableContents"/>
              <w:bidi w:val="0"/>
              <w:spacing w:before="0" w:after="283"/>
              <w:jc w:val="left"/>
              <w:rPr/>
            </w:pPr>
            <w:r>
              <w:rPr/>
              <w:t> </w:t>
            </w:r>
          </w:p>
        </w:tc>
        <w:tc>
          <w:tcPr>
            <w:tcW w:w="9389" w:type="dxa"/>
            <w:gridSpan w:val="2"/>
            <w:tcBorders/>
            <w:vAlign w:val="center"/>
          </w:tcPr>
          <w:p>
            <w:pPr>
              <w:pStyle w:val="TableContents"/>
              <w:bidi w:val="0"/>
              <w:spacing w:before="0" w:after="283"/>
              <w:jc w:val="left"/>
              <w:rPr/>
            </w:pPr>
            <w:r>
              <w:rPr/>
              <w:t> </w:t>
            </w:r>
          </w:p>
        </w:tc>
      </w:tr>
      <w:tr>
        <w:trPr/>
        <w:tc>
          <w:tcPr>
            <w:tcW w:w="816" w:type="dxa"/>
            <w:tcBorders/>
            <w:vAlign w:val="center"/>
          </w:tcPr>
          <w:p>
            <w:pPr>
              <w:pStyle w:val="TableContents"/>
              <w:bidi w:val="0"/>
              <w:spacing w:before="0" w:after="0"/>
              <w:jc w:val="left"/>
              <w:rPr/>
            </w:pPr>
            <w:r>
              <w:rPr/>
              <w:t>101.CAL</w:t>
            </w:r>
          </w:p>
          <w:p>
            <w:pPr>
              <w:pStyle w:val="TableContents"/>
              <w:bidi w:val="0"/>
              <w:spacing w:before="0" w:after="0"/>
              <w:jc w:val="left"/>
              <w:rPr>
                <w:sz w:val="12"/>
              </w:rPr>
            </w:pPr>
            <w:r>
              <w:rPr>
                <w:sz w:val="12"/>
              </w:rPr>
              <w:t>#</w:t>
            </w:r>
          </w:p>
        </w:tc>
        <w:tc>
          <w:tcPr>
            <w:tcW w:w="120" w:type="dxa"/>
            <w:tcBorders/>
            <w:vAlign w:val="center"/>
          </w:tcPr>
          <w:p>
            <w:pPr>
              <w:pStyle w:val="TableContents"/>
              <w:bidi w:val="0"/>
              <w:spacing w:before="0" w:after="283"/>
              <w:jc w:val="left"/>
              <w:rPr/>
            </w:pPr>
            <w:r>
              <w:rPr/>
              <w:t>  </w:t>
            </w:r>
          </w:p>
        </w:tc>
        <w:tc>
          <w:tcPr>
            <w:tcW w:w="9269" w:type="dxa"/>
            <w:tcBorders/>
            <w:vAlign w:val="center"/>
          </w:tcPr>
          <w:p>
            <w:pPr>
              <w:pStyle w:val="TableContents"/>
              <w:bidi w:val="0"/>
              <w:spacing w:before="0" w:after="283"/>
              <w:jc w:val="left"/>
              <w:rPr/>
            </w:pPr>
            <w:r>
              <w:rPr/>
              <w:t>Inline XBRL Taxonomy Extension Calculation Linkbase Document.</w:t>
            </w:r>
          </w:p>
        </w:tc>
      </w:tr>
      <w:tr>
        <w:trPr/>
        <w:tc>
          <w:tcPr>
            <w:tcW w:w="816" w:type="dxa"/>
            <w:tcBorders/>
            <w:vAlign w:val="center"/>
          </w:tcPr>
          <w:p>
            <w:pPr>
              <w:pStyle w:val="TableContents"/>
              <w:bidi w:val="0"/>
              <w:spacing w:before="0" w:after="283"/>
              <w:jc w:val="left"/>
              <w:rPr/>
            </w:pPr>
            <w:r>
              <w:rPr/>
              <w:t> </w:t>
            </w:r>
          </w:p>
        </w:tc>
        <w:tc>
          <w:tcPr>
            <w:tcW w:w="9389" w:type="dxa"/>
            <w:gridSpan w:val="2"/>
            <w:tcBorders/>
            <w:vAlign w:val="center"/>
          </w:tcPr>
          <w:p>
            <w:pPr>
              <w:pStyle w:val="TableContents"/>
              <w:bidi w:val="0"/>
              <w:spacing w:before="0" w:after="283"/>
              <w:jc w:val="left"/>
              <w:rPr/>
            </w:pPr>
            <w:r>
              <w:rPr/>
              <w:t> </w:t>
            </w:r>
          </w:p>
        </w:tc>
      </w:tr>
      <w:tr>
        <w:trPr/>
        <w:tc>
          <w:tcPr>
            <w:tcW w:w="816" w:type="dxa"/>
            <w:tcBorders/>
            <w:vAlign w:val="center"/>
          </w:tcPr>
          <w:p>
            <w:pPr>
              <w:pStyle w:val="TableContents"/>
              <w:bidi w:val="0"/>
              <w:spacing w:before="0" w:after="0"/>
              <w:jc w:val="left"/>
              <w:rPr/>
            </w:pPr>
            <w:r>
              <w:rPr/>
              <w:t>101.DEF</w:t>
            </w:r>
          </w:p>
          <w:p>
            <w:pPr>
              <w:pStyle w:val="TableContents"/>
              <w:bidi w:val="0"/>
              <w:spacing w:before="0" w:after="0"/>
              <w:jc w:val="left"/>
              <w:rPr>
                <w:sz w:val="12"/>
              </w:rPr>
            </w:pPr>
            <w:r>
              <w:rPr>
                <w:sz w:val="12"/>
              </w:rPr>
              <w:t>#</w:t>
            </w:r>
          </w:p>
        </w:tc>
        <w:tc>
          <w:tcPr>
            <w:tcW w:w="120" w:type="dxa"/>
            <w:tcBorders/>
            <w:vAlign w:val="center"/>
          </w:tcPr>
          <w:p>
            <w:pPr>
              <w:pStyle w:val="TableContents"/>
              <w:bidi w:val="0"/>
              <w:spacing w:before="0" w:after="283"/>
              <w:jc w:val="left"/>
              <w:rPr/>
            </w:pPr>
            <w:r>
              <w:rPr/>
              <w:t>  </w:t>
            </w:r>
          </w:p>
        </w:tc>
        <w:tc>
          <w:tcPr>
            <w:tcW w:w="9269" w:type="dxa"/>
            <w:tcBorders/>
            <w:vAlign w:val="center"/>
          </w:tcPr>
          <w:p>
            <w:pPr>
              <w:pStyle w:val="TableContents"/>
              <w:bidi w:val="0"/>
              <w:spacing w:before="0" w:after="283"/>
              <w:jc w:val="left"/>
              <w:rPr/>
            </w:pPr>
            <w:r>
              <w:rPr/>
              <w:t>Inline XBRL Taxonomy Extension Definition Linkbase Document.</w:t>
            </w:r>
          </w:p>
        </w:tc>
      </w:tr>
      <w:tr>
        <w:trPr/>
        <w:tc>
          <w:tcPr>
            <w:tcW w:w="816" w:type="dxa"/>
            <w:tcBorders/>
            <w:vAlign w:val="center"/>
          </w:tcPr>
          <w:p>
            <w:pPr>
              <w:pStyle w:val="TableContents"/>
              <w:bidi w:val="0"/>
              <w:spacing w:before="0" w:after="283"/>
              <w:jc w:val="left"/>
              <w:rPr/>
            </w:pPr>
            <w:r>
              <w:rPr/>
              <w:t> </w:t>
            </w:r>
          </w:p>
        </w:tc>
        <w:tc>
          <w:tcPr>
            <w:tcW w:w="9389" w:type="dxa"/>
            <w:gridSpan w:val="2"/>
            <w:tcBorders/>
            <w:vAlign w:val="center"/>
          </w:tcPr>
          <w:p>
            <w:pPr>
              <w:pStyle w:val="TableContents"/>
              <w:bidi w:val="0"/>
              <w:spacing w:before="0" w:after="283"/>
              <w:jc w:val="left"/>
              <w:rPr/>
            </w:pPr>
            <w:r>
              <w:rPr/>
              <w:t> </w:t>
            </w:r>
          </w:p>
        </w:tc>
      </w:tr>
      <w:tr>
        <w:trPr/>
        <w:tc>
          <w:tcPr>
            <w:tcW w:w="816" w:type="dxa"/>
            <w:tcBorders/>
            <w:vAlign w:val="center"/>
          </w:tcPr>
          <w:p>
            <w:pPr>
              <w:pStyle w:val="TableContents"/>
              <w:bidi w:val="0"/>
              <w:spacing w:before="0" w:after="0"/>
              <w:jc w:val="left"/>
              <w:rPr/>
            </w:pPr>
            <w:r>
              <w:rPr/>
              <w:t>101.LAB</w:t>
            </w:r>
          </w:p>
          <w:p>
            <w:pPr>
              <w:pStyle w:val="TableContents"/>
              <w:bidi w:val="0"/>
              <w:spacing w:before="0" w:after="0"/>
              <w:jc w:val="left"/>
              <w:rPr>
                <w:sz w:val="12"/>
              </w:rPr>
            </w:pPr>
            <w:r>
              <w:rPr>
                <w:sz w:val="12"/>
              </w:rPr>
              <w:t>#</w:t>
            </w:r>
          </w:p>
        </w:tc>
        <w:tc>
          <w:tcPr>
            <w:tcW w:w="120" w:type="dxa"/>
            <w:tcBorders/>
            <w:vAlign w:val="center"/>
          </w:tcPr>
          <w:p>
            <w:pPr>
              <w:pStyle w:val="TableContents"/>
              <w:bidi w:val="0"/>
              <w:spacing w:before="0" w:after="283"/>
              <w:jc w:val="left"/>
              <w:rPr/>
            </w:pPr>
            <w:r>
              <w:rPr/>
              <w:t>  </w:t>
            </w:r>
          </w:p>
        </w:tc>
        <w:tc>
          <w:tcPr>
            <w:tcW w:w="9269" w:type="dxa"/>
            <w:tcBorders/>
            <w:vAlign w:val="center"/>
          </w:tcPr>
          <w:p>
            <w:pPr>
              <w:pStyle w:val="TableContents"/>
              <w:bidi w:val="0"/>
              <w:spacing w:before="0" w:after="283"/>
              <w:jc w:val="left"/>
              <w:rPr/>
            </w:pPr>
            <w:r>
              <w:rPr/>
              <w:t>Inline XBRL Taxonomy Extension Label Linkbase Document.</w:t>
            </w:r>
          </w:p>
        </w:tc>
      </w:tr>
      <w:tr>
        <w:trPr/>
        <w:tc>
          <w:tcPr>
            <w:tcW w:w="816" w:type="dxa"/>
            <w:tcBorders/>
            <w:vAlign w:val="center"/>
          </w:tcPr>
          <w:p>
            <w:pPr>
              <w:pStyle w:val="TableContents"/>
              <w:bidi w:val="0"/>
              <w:spacing w:before="0" w:after="283"/>
              <w:jc w:val="left"/>
              <w:rPr/>
            </w:pPr>
            <w:r>
              <w:rPr/>
              <w:t> </w:t>
            </w:r>
          </w:p>
        </w:tc>
        <w:tc>
          <w:tcPr>
            <w:tcW w:w="9389" w:type="dxa"/>
            <w:gridSpan w:val="2"/>
            <w:tcBorders/>
            <w:vAlign w:val="center"/>
          </w:tcPr>
          <w:p>
            <w:pPr>
              <w:pStyle w:val="TableContents"/>
              <w:bidi w:val="0"/>
              <w:spacing w:before="0" w:after="283"/>
              <w:jc w:val="left"/>
              <w:rPr/>
            </w:pPr>
            <w:r>
              <w:rPr/>
              <w:t> </w:t>
            </w:r>
          </w:p>
        </w:tc>
      </w:tr>
      <w:tr>
        <w:trPr/>
        <w:tc>
          <w:tcPr>
            <w:tcW w:w="816" w:type="dxa"/>
            <w:tcBorders/>
            <w:vAlign w:val="center"/>
          </w:tcPr>
          <w:p>
            <w:pPr>
              <w:pStyle w:val="TableContents"/>
              <w:bidi w:val="0"/>
              <w:spacing w:before="0" w:after="0"/>
              <w:jc w:val="left"/>
              <w:rPr/>
            </w:pPr>
            <w:r>
              <w:rPr/>
              <w:t>101.PRE</w:t>
            </w:r>
          </w:p>
          <w:p>
            <w:pPr>
              <w:pStyle w:val="TableContents"/>
              <w:bidi w:val="0"/>
              <w:spacing w:before="0" w:after="0"/>
              <w:jc w:val="left"/>
              <w:rPr>
                <w:sz w:val="12"/>
              </w:rPr>
            </w:pPr>
            <w:r>
              <w:rPr>
                <w:sz w:val="12"/>
              </w:rPr>
              <w:t>#</w:t>
            </w:r>
          </w:p>
        </w:tc>
        <w:tc>
          <w:tcPr>
            <w:tcW w:w="120" w:type="dxa"/>
            <w:tcBorders/>
            <w:vAlign w:val="center"/>
          </w:tcPr>
          <w:p>
            <w:pPr>
              <w:pStyle w:val="TableContents"/>
              <w:bidi w:val="0"/>
              <w:spacing w:before="0" w:after="283"/>
              <w:jc w:val="left"/>
              <w:rPr/>
            </w:pPr>
            <w:r>
              <w:rPr/>
              <w:t>  </w:t>
            </w:r>
          </w:p>
        </w:tc>
        <w:tc>
          <w:tcPr>
            <w:tcW w:w="9269" w:type="dxa"/>
            <w:tcBorders/>
            <w:vAlign w:val="center"/>
          </w:tcPr>
          <w:p>
            <w:pPr>
              <w:pStyle w:val="TableContents"/>
              <w:bidi w:val="0"/>
              <w:spacing w:before="0" w:after="283"/>
              <w:jc w:val="left"/>
              <w:rPr/>
            </w:pPr>
            <w:r>
              <w:rPr/>
              <w:t>Inline XBRL Taxonomy Extension Presentation Linkbase Document.</w:t>
            </w:r>
          </w:p>
        </w:tc>
      </w:tr>
      <w:tr>
        <w:trPr/>
        <w:tc>
          <w:tcPr>
            <w:tcW w:w="816" w:type="dxa"/>
            <w:tcBorders/>
            <w:vAlign w:val="center"/>
          </w:tcPr>
          <w:p>
            <w:pPr>
              <w:pStyle w:val="TableContents"/>
              <w:bidi w:val="0"/>
              <w:spacing w:before="0" w:after="283"/>
              <w:jc w:val="left"/>
              <w:rPr/>
            </w:pPr>
            <w:r>
              <w:rPr/>
              <w:t> </w:t>
            </w:r>
          </w:p>
        </w:tc>
        <w:tc>
          <w:tcPr>
            <w:tcW w:w="9389" w:type="dxa"/>
            <w:gridSpan w:val="2"/>
            <w:tcBorders/>
            <w:vAlign w:val="center"/>
          </w:tcPr>
          <w:p>
            <w:pPr>
              <w:pStyle w:val="TableContents"/>
              <w:bidi w:val="0"/>
              <w:spacing w:before="0" w:after="283"/>
              <w:jc w:val="left"/>
              <w:rPr/>
            </w:pPr>
            <w:r>
              <w:rPr/>
              <w:t> </w:t>
            </w:r>
          </w:p>
        </w:tc>
      </w:tr>
      <w:tr>
        <w:trPr/>
        <w:tc>
          <w:tcPr>
            <w:tcW w:w="816"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69"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Footnotes: </w:t>
      </w:r>
    </w:p>
    <w:p>
      <w:pPr>
        <w:pStyle w:val="TextBody"/>
        <w:bidi w:val="0"/>
        <w:spacing w:before="0" w:after="0"/>
        <w:jc w:val="left"/>
        <w:rPr>
          <w:spacing w:val="0"/>
        </w:rPr>
      </w:pPr>
      <w:r>
        <w:rPr>
          <w:spacing w:val="0"/>
        </w:rPr>
        <w:t> </w:t>
      </w:r>
    </w:p>
    <w:tbl>
      <w:tblPr>
        <w:tblW w:w="1345" w:type="dxa"/>
        <w:jc w:val="left"/>
        <w:tblInd w:w="0" w:type="dxa"/>
        <w:tblLayout w:type="fixed"/>
        <w:tblCellMar>
          <w:top w:w="0" w:type="dxa"/>
          <w:left w:w="0" w:type="dxa"/>
          <w:bottom w:w="0" w:type="dxa"/>
          <w:right w:w="0" w:type="dxa"/>
        </w:tblCellMar>
      </w:tblPr>
      <w:tblGrid>
        <w:gridCol w:w="95"/>
        <w:gridCol w:w="1250"/>
      </w:tblGrid>
      <w:tr>
        <w:trPr/>
        <w:tc>
          <w:tcPr>
            <w:tcW w:w="95" w:type="dxa"/>
            <w:tcBorders/>
            <w:vAlign w:val="center"/>
          </w:tcPr>
          <w:p>
            <w:pPr>
              <w:pStyle w:val="TableContents"/>
              <w:bidi w:val="0"/>
              <w:spacing w:before="0" w:after="0"/>
              <w:jc w:val="left"/>
              <w:rPr>
                <w:sz w:val="12"/>
              </w:rPr>
            </w:pPr>
            <w:r>
              <w:rPr>
                <w:sz w:val="12"/>
              </w:rPr>
              <w:t>#</w:t>
            </w:r>
          </w:p>
        </w:tc>
        <w:tc>
          <w:tcPr>
            <w:tcW w:w="12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Filed herewith </w:t>
            </w:r>
          </w:p>
        </w:tc>
      </w:tr>
    </w:tbl>
    <w:tbl>
      <w:tblPr>
        <w:tblW w:w="1795" w:type="dxa"/>
        <w:jc w:val="left"/>
        <w:tblInd w:w="0" w:type="dxa"/>
        <w:tblLayout w:type="fixed"/>
        <w:tblCellMar>
          <w:top w:w="0" w:type="dxa"/>
          <w:left w:w="0" w:type="dxa"/>
          <w:bottom w:w="0" w:type="dxa"/>
          <w:right w:w="0" w:type="dxa"/>
        </w:tblCellMar>
      </w:tblPr>
      <w:tblGrid>
        <w:gridCol w:w="155"/>
        <w:gridCol w:w="1640"/>
      </w:tblGrid>
      <w:tr>
        <w:trPr/>
        <w:tc>
          <w:tcPr>
            <w:tcW w:w="155"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Furnished herewith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48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SIGNATURES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ind w:left="0" w:right="0" w:hanging="0"/>
        <w:jc w:val="left"/>
        <w:rPr>
          <w:spacing w:val="0"/>
        </w:rPr>
      </w:pPr>
      <w:r>
        <w:rPr>
          <w:spacing w:val="0"/>
        </w:rPr>
        <w:t> </w:t>
      </w:r>
    </w:p>
    <w:tbl>
      <w:tblPr>
        <w:tblW w:w="8145" w:type="dxa"/>
        <w:jc w:val="left"/>
        <w:tblInd w:w="0" w:type="dxa"/>
        <w:tblLayout w:type="fixed"/>
        <w:tblCellMar>
          <w:top w:w="0" w:type="dxa"/>
          <w:left w:w="0" w:type="dxa"/>
          <w:bottom w:w="0" w:type="dxa"/>
          <w:right w:w="0" w:type="dxa"/>
        </w:tblCellMar>
      </w:tblPr>
      <w:tblGrid>
        <w:gridCol w:w="2510"/>
        <w:gridCol w:w="60"/>
        <w:gridCol w:w="60"/>
        <w:gridCol w:w="60"/>
        <w:gridCol w:w="365"/>
        <w:gridCol w:w="60"/>
        <w:gridCol w:w="503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3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5" w:type="dxa"/>
            <w:gridSpan w:val="3"/>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MAGNACHIP SEMICONDUCTOR CORPORATION</w:t>
            </w:r>
          </w:p>
          <w:p>
            <w:pPr>
              <w:pStyle w:val="TableContents"/>
              <w:bidi w:val="0"/>
              <w:spacing w:before="0" w:after="20"/>
              <w:jc w:val="left"/>
              <w:rPr>
                <w:rFonts w:ascii="Times New Roman" w:hAnsi="Times New Roman"/>
                <w:spacing w:val="0"/>
                <w:sz w:val="20"/>
              </w:rPr>
            </w:pPr>
            <w:r>
              <w:rPr>
                <w:rFonts w:ascii="Times New Roman" w:hAnsi="Times New Roman"/>
                <w:spacing w:val="0"/>
                <w:sz w:val="20"/>
              </w:rPr>
              <w:t>(Registrant)</w:t>
            </w:r>
          </w:p>
        </w:tc>
      </w:tr>
      <w:tr>
        <w:trPr/>
        <w:tc>
          <w:tcPr>
            <w:tcW w:w="251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425" w:type="dxa"/>
            <w:gridSpan w:val="2"/>
            <w:tcBorders/>
            <w:vAlign w:val="center"/>
          </w:tcPr>
          <w:p>
            <w:pPr>
              <w:pStyle w:val="TableContents"/>
              <w:bidi w:val="0"/>
              <w:spacing w:before="0" w:after="283"/>
              <w:jc w:val="left"/>
              <w:rPr/>
            </w:pPr>
            <w:r>
              <w:rPr/>
              <w:t> </w:t>
            </w:r>
          </w:p>
        </w:tc>
        <w:tc>
          <w:tcPr>
            <w:tcW w:w="5090" w:type="dxa"/>
            <w:gridSpan w:val="2"/>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Dated: November 8,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0"/>
              <w:jc w:val="left"/>
              <w:rPr>
                <w:rFonts w:ascii="Times New Roman" w:hAnsi="Times New Roman"/>
                <w:spacing w:val="0"/>
                <w:sz w:val="20"/>
                <w:bdr w:val="single" w:sz="2" w:space="1" w:color="000000"/>
              </w:rPr>
            </w:pPr>
            <w:r>
              <w:rPr>
                <w:rFonts w:ascii="Times New Roman" w:hAnsi="Times New Roman"/>
                <w:spacing w:val="0"/>
                <w:sz w:val="20"/>
                <w:bdr w:val="single" w:sz="2" w:space="1" w:color="000000"/>
              </w:rPr>
              <w:t>/s/ Young-Joon Kim</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Young-Joon Kim</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Chief Executive Officer</w:t>
            </w:r>
          </w:p>
          <w:p>
            <w:pPr>
              <w:pStyle w:val="TableContents"/>
              <w:bidi w:val="0"/>
              <w:spacing w:before="0" w:after="20"/>
              <w:jc w:val="left"/>
              <w:rPr>
                <w:rFonts w:ascii="Times New Roman" w:hAnsi="Times New Roman"/>
                <w:spacing w:val="0"/>
                <w:sz w:val="20"/>
              </w:rPr>
            </w:pPr>
            <w:r>
              <w:rPr>
                <w:rFonts w:ascii="Times New Roman" w:hAnsi="Times New Roman"/>
                <w:spacing w:val="0"/>
                <w:sz w:val="20"/>
              </w:rPr>
              <w:t>(Principal Executive Officer)</w:t>
            </w:r>
          </w:p>
        </w:tc>
      </w:tr>
      <w:tr>
        <w:trPr/>
        <w:tc>
          <w:tcPr>
            <w:tcW w:w="2510" w:type="dxa"/>
            <w:tcBorders/>
            <w:vAlign w:val="center"/>
          </w:tcPr>
          <w:p>
            <w:pPr>
              <w:pStyle w:val="TableContents"/>
              <w:bidi w:val="0"/>
              <w:spacing w:before="0" w:after="283"/>
              <w:jc w:val="left"/>
              <w:rPr/>
            </w:pPr>
            <w:r>
              <w:rPr/>
              <w:t> </w:t>
            </w:r>
          </w:p>
        </w:tc>
        <w:tc>
          <w:tcPr>
            <w:tcW w:w="120" w:type="dxa"/>
            <w:gridSpan w:val="2"/>
            <w:tcBorders/>
            <w:vAlign w:val="center"/>
          </w:tcPr>
          <w:p>
            <w:pPr>
              <w:pStyle w:val="TableContents"/>
              <w:bidi w:val="0"/>
              <w:spacing w:before="0" w:after="283"/>
              <w:jc w:val="left"/>
              <w:rPr/>
            </w:pPr>
            <w:r>
              <w:rPr/>
              <w:t> </w:t>
            </w:r>
          </w:p>
        </w:tc>
        <w:tc>
          <w:tcPr>
            <w:tcW w:w="425" w:type="dxa"/>
            <w:gridSpan w:val="2"/>
            <w:tcBorders/>
            <w:vAlign w:val="center"/>
          </w:tcPr>
          <w:p>
            <w:pPr>
              <w:pStyle w:val="TableContents"/>
              <w:bidi w:val="0"/>
              <w:spacing w:before="0" w:after="283"/>
              <w:jc w:val="left"/>
              <w:rPr/>
            </w:pPr>
            <w:r>
              <w:rPr/>
              <w:t> </w:t>
            </w:r>
          </w:p>
        </w:tc>
        <w:tc>
          <w:tcPr>
            <w:tcW w:w="5090" w:type="dxa"/>
            <w:gridSpan w:val="2"/>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Dated: November 8,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0"/>
              <w:jc w:val="left"/>
              <w:rPr>
                <w:rFonts w:ascii="Times New Roman" w:hAnsi="Times New Roman"/>
                <w:spacing w:val="0"/>
                <w:sz w:val="20"/>
                <w:bdr w:val="single" w:sz="2" w:space="1" w:color="000000"/>
              </w:rPr>
            </w:pPr>
            <w:r>
              <w:rPr>
                <w:rFonts w:ascii="Times New Roman" w:hAnsi="Times New Roman"/>
                <w:spacing w:val="0"/>
                <w:sz w:val="20"/>
                <w:bdr w:val="single" w:sz="2" w:space="1" w:color="000000"/>
              </w:rPr>
              <w:t>/s/ Shin Young Park</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Shin Young Park</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Chief Financial Officer</w:t>
            </w:r>
          </w:p>
          <w:p>
            <w:pPr>
              <w:pStyle w:val="TableContents"/>
              <w:bidi w:val="0"/>
              <w:spacing w:before="0" w:after="20"/>
              <w:jc w:val="left"/>
              <w:rPr>
                <w:rFonts w:ascii="Times New Roman" w:hAnsi="Times New Roman"/>
                <w:spacing w:val="0"/>
                <w:sz w:val="20"/>
              </w:rPr>
            </w:pPr>
            <w:r>
              <w:rPr>
                <w:rFonts w:ascii="Times New Roman" w:hAnsi="Times New Roman"/>
                <w:spacing w:val="0"/>
                <w:sz w:val="20"/>
              </w:rPr>
              <w:t>(Principal Financial Officer and Principal Accounting Officer)</w:t>
            </w:r>
          </w:p>
        </w:tc>
      </w:tr>
    </w:tbl>
    <w:p>
      <w:pPr>
        <w:pStyle w:val="TextBody"/>
        <w:bidi w:val="0"/>
        <w:spacing w:before="0" w:after="0"/>
        <w:ind w:left="0" w:right="0" w:hanging="0"/>
        <w:jc w:val="left"/>
        <w:rPr>
          <w:spacing w:val="0"/>
        </w:rPr>
      </w:pPr>
      <w:r>
        <w:rPr>
          <w:spacing w:val="0"/>
        </w:rPr>
        <w:t> </w:t>
      </w:r>
    </w:p>
    <w:p>
      <w:pPr>
        <w:pStyle w:val="TextBody"/>
        <w:bidi w:val="0"/>
        <w:ind w:left="0" w:right="0" w:hanging="0"/>
        <w:jc w:val="center"/>
        <w:rPr>
          <w:rFonts w:ascii="Times New Roman" w:hAnsi="Times New Roman"/>
          <w:spacing w:val="0"/>
          <w:sz w:val="20"/>
        </w:rPr>
      </w:pPr>
      <w:r>
        <w:rPr>
          <w:rFonts w:ascii="Times New Roman" w:hAnsi="Times New Roman"/>
          <w:spacing w:val="0"/>
          <w:sz w:val="20"/>
        </w:rPr>
        <w:t xml:space="preserve">49 </w:t>
      </w:r>
    </w:p>
    <w:p>
      <w:pPr>
        <w:pStyle w:val="TextBody"/>
        <w:bidi w:val="0"/>
        <w:spacing w:before="0" w:after="0"/>
        <w:jc w:val="right"/>
        <w:rPr>
          <w:rFonts w:ascii="Times New Roman" w:hAnsi="Times New Roman"/>
          <w:b/>
          <w:sz w:val="20"/>
        </w:rPr>
      </w:pPr>
      <w:bookmarkStart w:id="14" w:name="d546648dex311.htm"/>
      <w:bookmarkStart w:id="15" w:name="ksd546648dex311"/>
      <w:bookmarkEnd w:id="14"/>
      <w:bookmarkEnd w:id="15"/>
      <w:r>
        <w:rPr>
          <w:rFonts w:ascii="Times New Roman" w:hAnsi="Times New Roman"/>
          <w:b/>
          <w:sz w:val="20"/>
        </w:rPr>
        <w:t xml:space="preserve">Exhibit 31.1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PRINCIPAL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302 OF THE </w:t>
      </w:r>
    </w:p>
    <w:p>
      <w:pPr>
        <w:pStyle w:val="TextBody"/>
        <w:bidi w:val="0"/>
        <w:spacing w:before="0" w:after="0"/>
        <w:jc w:val="center"/>
        <w:rPr>
          <w:rFonts w:ascii="Times New Roman" w:hAnsi="Times New Roman"/>
          <w:b/>
          <w:sz w:val="20"/>
        </w:rPr>
      </w:pPr>
      <w:r>
        <w:rPr>
          <w:rFonts w:ascii="Times New Roman" w:hAnsi="Times New Roman"/>
          <w:b/>
          <w:sz w:val="20"/>
        </w:rPr>
        <w:t xml:space="preserve">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Young-Joon Kim,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I have reviewed this quarterly report on Form 10-Q of Magnachip Semiconductor Corporation; </w:t>
      </w:r>
    </w:p>
    <w:p>
      <w:pPr>
        <w:pStyle w:val="TextBody"/>
        <w:bidi w:val="0"/>
        <w:spacing w:before="24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jc w:val="left"/>
        <w:rPr>
          <w:rFonts w:ascii="Times New Roman" w:hAnsi="Times New Roman"/>
          <w:sz w:val="20"/>
        </w:rPr>
      </w:pPr>
      <w:r>
        <w:rPr>
          <w:rFonts w:ascii="Times New Roman" w:hAnsi="Times New Roman"/>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0"/>
        <w:jc w:val="left"/>
        <w:rPr>
          <w:rFonts w:ascii="Times New Roman" w:hAnsi="Times New Roman"/>
          <w:sz w:val="20"/>
        </w:rPr>
      </w:pPr>
      <w:r>
        <w:rPr>
          <w:rFonts w:ascii="Times New Roman" w:hAnsi="Times New Roman"/>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Dated: November 8, 2023</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Young-Joon Kim</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Young-Joon Kim</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(Principal Executive Officer)</w:t>
            </w:r>
          </w:p>
        </w:tc>
      </w:tr>
    </w:tbl>
    <w:p>
      <w:pPr>
        <w:pStyle w:val="TextBody"/>
        <w:bidi w:val="0"/>
        <w:spacing w:before="0" w:after="0"/>
        <w:jc w:val="right"/>
        <w:rPr>
          <w:rFonts w:ascii="Times New Roman" w:hAnsi="Times New Roman"/>
          <w:b/>
          <w:sz w:val="20"/>
        </w:rPr>
      </w:pPr>
      <w:bookmarkStart w:id="16" w:name="d546648dex312.htm"/>
      <w:bookmarkStart w:id="17" w:name="ksd546648dex312"/>
      <w:bookmarkEnd w:id="16"/>
      <w:bookmarkEnd w:id="17"/>
      <w:r>
        <w:rPr>
          <w:rFonts w:ascii="Times New Roman" w:hAnsi="Times New Roman"/>
          <w:b/>
          <w:sz w:val="20"/>
        </w:rPr>
        <w:t xml:space="preserve">Exhibit 31.2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PRINCIPAL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302 OF THE </w:t>
      </w:r>
    </w:p>
    <w:p>
      <w:pPr>
        <w:pStyle w:val="TextBody"/>
        <w:bidi w:val="0"/>
        <w:spacing w:before="0" w:after="0"/>
        <w:jc w:val="center"/>
        <w:rPr>
          <w:rFonts w:ascii="Times New Roman" w:hAnsi="Times New Roman"/>
          <w:b/>
          <w:sz w:val="20"/>
        </w:rPr>
      </w:pPr>
      <w:r>
        <w:rPr>
          <w:rFonts w:ascii="Times New Roman" w:hAnsi="Times New Roman"/>
          <w:b/>
          <w:sz w:val="20"/>
        </w:rPr>
        <w:t xml:space="preserve">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Shin Young Park, certify that: </w:t>
      </w:r>
    </w:p>
    <w:p>
      <w:pPr>
        <w:pStyle w:val="TextBody"/>
        <w:bidi w:val="0"/>
        <w:spacing w:before="240" w:after="0"/>
        <w:jc w:val="left"/>
        <w:rPr>
          <w:rFonts w:ascii="Times New Roman" w:hAnsi="Times New Roman"/>
          <w:sz w:val="20"/>
        </w:rPr>
      </w:pPr>
      <w:r>
        <w:rPr>
          <w:rFonts w:ascii="Times New Roman" w:hAnsi="Times New Roman"/>
          <w:sz w:val="20"/>
        </w:rPr>
        <w:t xml:space="preserve">1. I have reviewed this quarterly report on Form 10-Q of Magnachip Semiconductor Corporation; </w:t>
      </w:r>
    </w:p>
    <w:p>
      <w:pPr>
        <w:pStyle w:val="TextBody"/>
        <w:bidi w:val="0"/>
        <w:spacing w:before="24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0"/>
        <w:jc w:val="left"/>
        <w:rPr>
          <w:rFonts w:ascii="Times New Roman" w:hAnsi="Times New Roman"/>
          <w:sz w:val="20"/>
        </w:rPr>
      </w:pPr>
      <w:r>
        <w:rPr>
          <w:rFonts w:ascii="Times New Roman" w:hAnsi="Times New Roman"/>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0"/>
        <w:jc w:val="left"/>
        <w:rPr>
          <w:rFonts w:ascii="Times New Roman" w:hAnsi="Times New Roman"/>
          <w:sz w:val="20"/>
        </w:rPr>
      </w:pPr>
      <w:r>
        <w:rPr>
          <w:rFonts w:ascii="Times New Roman" w:hAnsi="Times New Roman"/>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Dated: November 8, 2023</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Shin Young Park</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Shin Young Park</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 and Principal Accounting Officer)</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18" w:name="d546648dex321.htm"/>
      <w:bookmarkStart w:id="19" w:name="ksd546648dex321"/>
      <w:bookmarkEnd w:id="18"/>
      <w:bookmarkEnd w:id="19"/>
      <w:r>
        <w:rPr>
          <w:rFonts w:ascii="Times New Roman" w:hAnsi="Times New Roman"/>
          <w:b/>
          <w:sz w:val="20"/>
        </w:rPr>
        <w:t xml:space="preserve">Exhibit 32.1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Pursuant to 18 U.S.C. § 1350, as adopted pursuant to Section 906 of the Sarbanes-Oxley Act of 2002, the undersigned officer of Magnachip Semiconductor Corporation (the </w:t>
      </w:r>
      <w:r>
        <w:rPr>
          <w:rFonts w:ascii="Times New Roman" w:hAnsi="Times New Roman"/>
          <w:b/>
          <w:sz w:val="20"/>
        </w:rPr>
        <w:t>Company</w:t>
      </w:r>
      <w:r>
        <w:rPr>
          <w:rFonts w:ascii="Times New Roman" w:hAnsi="Times New Roman"/>
          <w:sz w:val="20"/>
        </w:rPr>
        <w:t xml:space="preserve">) hereby certifies, to such officers knowledge, that: </w:t>
      </w:r>
    </w:p>
    <w:p>
      <w:pPr>
        <w:pStyle w:val="TextBody"/>
        <w:bidi w:val="0"/>
        <w:spacing w:before="240" w:after="0"/>
        <w:jc w:val="left"/>
        <w:rPr>
          <w:rFonts w:ascii="Times New Roman" w:hAnsi="Times New Roman"/>
          <w:sz w:val="20"/>
        </w:rPr>
      </w:pPr>
      <w:r>
        <w:rPr>
          <w:rFonts w:ascii="Times New Roman" w:hAnsi="Times New Roman"/>
          <w:sz w:val="20"/>
        </w:rPr>
        <w:t>(i) the Quarterly Report on Form 10-Q of the Company for the quarterly period ended September 30, 2023 as filed with the Securities and Exchange Commission on the date hereof (the </w:t>
      </w:r>
      <w:r>
        <w:rPr>
          <w:rFonts w:ascii="Times New Roman" w:hAnsi="Times New Roman"/>
          <w:b/>
          <w:sz w:val="20"/>
        </w:rPr>
        <w:t>Report</w:t>
      </w:r>
      <w:r>
        <w:rPr>
          <w:rFonts w:ascii="Times New Roman" w:hAnsi="Times New Roman"/>
          <w:sz w:val="20"/>
        </w:rPr>
        <w:t xml:space="preserve">) fully complies with the requirements of Section 13(a) or Section 15(d), as applicable, of the Securities Exchange Act of 1934, as amended; and </w:t>
      </w:r>
    </w:p>
    <w:p>
      <w:pPr>
        <w:pStyle w:val="TextBody"/>
        <w:bidi w:val="0"/>
        <w:spacing w:before="240" w:after="0"/>
        <w:jc w:val="left"/>
        <w:rPr>
          <w:rFonts w:ascii="Times New Roman" w:hAnsi="Times New Roman"/>
          <w:sz w:val="20"/>
        </w:rPr>
      </w:pPr>
      <w:r>
        <w:rPr>
          <w:rFonts w:ascii="Times New Roman" w:hAnsi="Times New Roman"/>
          <w:sz w:val="20"/>
        </w:rPr>
        <w:t xml:space="preserve">(ii) the information contained in the Report fairly presents, in all material respects, the financial condition and results of operations of the Company as of the dates and for the periods expressed in the Report.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0"/>
        <w:gridCol w:w="5002"/>
      </w:tblGrid>
      <w:tr>
        <w:trPr/>
        <w:tc>
          <w:tcPr>
            <w:tcW w:w="5103"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5002" w:type="dxa"/>
            <w:tcBorders/>
            <w:vAlign w:val="center"/>
          </w:tcPr>
          <w:p>
            <w:pPr>
              <w:pStyle w:val="TableContents"/>
              <w:bidi w:val="0"/>
              <w:spacing w:before="0" w:after="283"/>
              <w:jc w:val="left"/>
              <w:rPr>
                <w:sz w:val="4"/>
                <w:szCs w:val="4"/>
              </w:rPr>
            </w:pPr>
            <w:r>
              <w:rPr>
                <w:sz w:val="4"/>
                <w:szCs w:val="4"/>
              </w:rPr>
            </w:r>
          </w:p>
        </w:tc>
      </w:tr>
      <w:tr>
        <w:trPr/>
        <w:tc>
          <w:tcPr>
            <w:tcW w:w="5103" w:type="dxa"/>
            <w:tcBorders/>
            <w:vAlign w:val="bottom"/>
          </w:tcPr>
          <w:p>
            <w:pPr>
              <w:pStyle w:val="TableContents"/>
              <w:bidi w:val="0"/>
              <w:spacing w:before="0" w:after="283"/>
              <w:jc w:val="left"/>
              <w:rPr/>
            </w:pPr>
            <w:r>
              <w:rPr/>
              <w:t>Dated: November 8, 2023</w:t>
            </w:r>
          </w:p>
        </w:tc>
        <w:tc>
          <w:tcPr>
            <w:tcW w:w="100" w:type="dxa"/>
            <w:tcBorders/>
            <w:vAlign w:val="bottom"/>
          </w:tcPr>
          <w:p>
            <w:pPr>
              <w:pStyle w:val="TableContents"/>
              <w:bidi w:val="0"/>
              <w:spacing w:before="0" w:after="283"/>
              <w:jc w:val="left"/>
              <w:rPr/>
            </w:pPr>
            <w:r>
              <w:rPr/>
              <w:t> </w:t>
            </w:r>
          </w:p>
        </w:tc>
        <w:tc>
          <w:tcPr>
            <w:tcW w:w="5002"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Young-Joon Kim</w:t>
            </w:r>
          </w:p>
        </w:tc>
      </w:tr>
      <w:tr>
        <w:trPr/>
        <w:tc>
          <w:tcPr>
            <w:tcW w:w="5103"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50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Young-Joon Kim</w:t>
            </w:r>
          </w:p>
        </w:tc>
      </w:tr>
      <w:tr>
        <w:trPr/>
        <w:tc>
          <w:tcPr>
            <w:tcW w:w="5103"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50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r>
        <w:trPr/>
        <w:tc>
          <w:tcPr>
            <w:tcW w:w="5103"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50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(Principal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Securities and Exchange Commission or its staff upon request.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20" w:name="d546648dex322.htm"/>
      <w:bookmarkStart w:id="21" w:name="ksd546648dex322"/>
      <w:bookmarkEnd w:id="20"/>
      <w:bookmarkEnd w:id="21"/>
      <w:r>
        <w:rPr>
          <w:rFonts w:ascii="Times New Roman" w:hAnsi="Times New Roman"/>
          <w:b/>
          <w:sz w:val="20"/>
        </w:rPr>
        <w:t xml:space="preserve">Exhibit 32.2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CHIEF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18 U.S.C. SECTION 1350, </w:t>
      </w:r>
    </w:p>
    <w:p>
      <w:pPr>
        <w:pStyle w:val="TextBody"/>
        <w:bidi w:val="0"/>
        <w:spacing w:before="0" w:after="0"/>
        <w:jc w:val="center"/>
        <w:rPr>
          <w:rFonts w:ascii="Times New Roman" w:hAnsi="Times New Roman"/>
          <w:b/>
          <w:sz w:val="20"/>
        </w:rPr>
      </w:pPr>
      <w:r>
        <w:rPr>
          <w:rFonts w:ascii="Times New Roman" w:hAnsi="Times New Roman"/>
          <w:b/>
          <w:sz w:val="20"/>
        </w:rPr>
        <w:t xml:space="preserve">AS ADOPTED 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Pursuant to 18 U.S.C. § 1350, as adopted pursuant to Section 906 of the Sarbanes-Oxley Act of 2002, the undersigned officer of Magnachip Semiconductor Corporation (the </w:t>
      </w:r>
      <w:r>
        <w:rPr>
          <w:rFonts w:ascii="Times New Roman" w:hAnsi="Times New Roman"/>
          <w:b/>
          <w:sz w:val="20"/>
        </w:rPr>
        <w:t>Company</w:t>
      </w:r>
      <w:r>
        <w:rPr>
          <w:rFonts w:ascii="Times New Roman" w:hAnsi="Times New Roman"/>
          <w:sz w:val="20"/>
        </w:rPr>
        <w:t xml:space="preserve">) hereby certifies, to such officers knowledge, that: </w:t>
      </w:r>
    </w:p>
    <w:p>
      <w:pPr>
        <w:pStyle w:val="TextBody"/>
        <w:bidi w:val="0"/>
        <w:spacing w:before="240" w:after="0"/>
        <w:jc w:val="left"/>
        <w:rPr>
          <w:rFonts w:ascii="Times New Roman" w:hAnsi="Times New Roman"/>
          <w:sz w:val="20"/>
        </w:rPr>
      </w:pPr>
      <w:r>
        <w:rPr>
          <w:rFonts w:ascii="Times New Roman" w:hAnsi="Times New Roman"/>
          <w:sz w:val="20"/>
        </w:rPr>
        <w:t>(i) the Quarterly Report on Form 10-Q of the Company for the quarterly period ended September 30, 2023 as filed with the Securities and Exchange Commission on the date hereof (the </w:t>
      </w:r>
      <w:r>
        <w:rPr>
          <w:rFonts w:ascii="Times New Roman" w:hAnsi="Times New Roman"/>
          <w:b/>
          <w:sz w:val="20"/>
        </w:rPr>
        <w:t>Report</w:t>
      </w:r>
      <w:r>
        <w:rPr>
          <w:rFonts w:ascii="Times New Roman" w:hAnsi="Times New Roman"/>
          <w:sz w:val="20"/>
        </w:rPr>
        <w:t xml:space="preserve">) fully complies with the requirements of Section 13(a) or Section 15(d), as applicable, of the Securities Exchange Act of 1934, as amended; and </w:t>
      </w:r>
    </w:p>
    <w:p>
      <w:pPr>
        <w:pStyle w:val="TextBody"/>
        <w:bidi w:val="0"/>
        <w:spacing w:before="240" w:after="0"/>
        <w:jc w:val="left"/>
        <w:rPr>
          <w:rFonts w:ascii="Times New Roman" w:hAnsi="Times New Roman"/>
          <w:sz w:val="20"/>
        </w:rPr>
      </w:pPr>
      <w:r>
        <w:rPr>
          <w:rFonts w:ascii="Times New Roman" w:hAnsi="Times New Roman"/>
          <w:sz w:val="20"/>
        </w:rPr>
        <w:t xml:space="preserve">(ii) the information contained in the Report fairly presents, in all material respects, the financial condition and results of operations of the Company as of the dates and for the periods expressed in the Report.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3" w:type="dxa"/>
            <w:tcBorders/>
            <w:vAlign w:val="bottom"/>
          </w:tcPr>
          <w:p>
            <w:pPr>
              <w:pStyle w:val="TableContents"/>
              <w:bidi w:val="0"/>
              <w:spacing w:before="0" w:after="283"/>
              <w:jc w:val="left"/>
              <w:rPr/>
            </w:pPr>
            <w:r>
              <w:rPr/>
              <w:t>Dated: November 8, 2023</w:t>
            </w:r>
          </w:p>
        </w:tc>
        <w:tc>
          <w:tcPr>
            <w:tcW w:w="101" w:type="dxa"/>
            <w:tcBorders/>
            <w:vAlign w:val="bottom"/>
          </w:tcPr>
          <w:p>
            <w:pPr>
              <w:pStyle w:val="TableContents"/>
              <w:bidi w:val="0"/>
              <w:spacing w:before="0" w:after="283"/>
              <w:jc w:val="left"/>
              <w:rPr/>
            </w:pPr>
            <w:r>
              <w:rPr/>
              <w:t> </w:t>
            </w:r>
          </w:p>
        </w:tc>
        <w:tc>
          <w:tcPr>
            <w:tcW w:w="500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Shin Young Park</w:t>
            </w:r>
          </w:p>
        </w:tc>
      </w:tr>
      <w:tr>
        <w:trPr/>
        <w:tc>
          <w:tcPr>
            <w:tcW w:w="5103"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Shin Young Park</w:t>
            </w:r>
          </w:p>
        </w:tc>
      </w:tr>
      <w:tr>
        <w:trPr/>
        <w:tc>
          <w:tcPr>
            <w:tcW w:w="5103"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 and Principal Accounting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A signed original of this written statement required by Section 906 has been provided to the Company and will be retained by the Company and furnished to the Securities and Exchange Commission or its staff upon request.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22909</Words>
  <Characters>123877</Characters>
  <CharactersWithSpaces>152818</CharactersWithSpaces>
  <Paragraphs>11063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EX-32.2</dc:title>
</cp:coreProperties>
</file>