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8"/>
          <w:szCs w:val="18"/>
          <w:b w:val="1"/>
          <w:bCs w:val="1"/>
          <w:color w:val="auto"/>
        </w:rPr>
        <w:t>As filed with the Securities and Exchange Commission on June 23, 2023</w:t>
      </w:r>
    </w:p>
    <w:p>
      <w:pPr>
        <w:spacing w:after="0" w:line="27" w:lineRule="exact"/>
        <w:rPr>
          <w:sz w:val="24"/>
          <w:szCs w:val="24"/>
          <w:color w:val="auto"/>
        </w:rPr>
      </w:pPr>
    </w:p>
    <w:p>
      <w:pPr>
        <w:ind w:left="884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4"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S-8</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REGISTRATION STATEMENT</w:t>
      </w:r>
    </w:p>
    <w:p>
      <w:pPr>
        <w:jc w:val="center"/>
        <w:ind w:right="-39"/>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201295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MAGNACHIP SEMICONDUCTOR CORPORATION</w:t>
      </w:r>
    </w:p>
    <w:p>
      <w:pPr>
        <w:spacing w:after="0" w:line="5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210185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tbl>
      <w:tblPr>
        <w:tblLayout w:type="fixed"/>
        <w:tblInd w:w="1840" w:type="dxa"/>
        <w:tblCellMar>
          <w:top w:w="0" w:type="dxa"/>
          <w:left w:w="0" w:type="dxa"/>
          <w:bottom w:w="0" w:type="dxa"/>
          <w:right w:w="0" w:type="dxa"/>
        </w:tblCellMar>
      </w:tblPr>
      <w:tr>
        <w:trPr>
          <w:trHeight w:val="212"/>
        </w:trPr>
        <w:tc>
          <w:tcPr>
            <w:tcW w:w="3900" w:type="dxa"/>
            <w:vAlign w:val="bottom"/>
          </w:tcPr>
          <w:p>
            <w:pPr>
              <w:jc w:val="center"/>
              <w:ind w:right="1942"/>
              <w:spacing w:after="0"/>
              <w:rPr>
                <w:sz w:val="20"/>
                <w:szCs w:val="20"/>
                <w:color w:val="auto"/>
              </w:rPr>
            </w:pPr>
            <w:r>
              <w:rPr>
                <w:rFonts w:ascii="Arial" w:cs="Arial" w:eastAsia="Arial" w:hAnsi="Arial"/>
                <w:sz w:val="18"/>
                <w:szCs w:val="18"/>
                <w:b w:val="1"/>
                <w:bCs w:val="1"/>
                <w:color w:val="auto"/>
                <w:w w:val="91"/>
              </w:rPr>
              <w:t>Delaware</w:t>
            </w:r>
          </w:p>
        </w:tc>
        <w:tc>
          <w:tcPr>
            <w:tcW w:w="3160" w:type="dxa"/>
            <w:vAlign w:val="bottom"/>
          </w:tcPr>
          <w:p>
            <w:pPr>
              <w:jc w:val="center"/>
              <w:ind w:left="1962"/>
              <w:spacing w:after="0"/>
              <w:rPr>
                <w:sz w:val="20"/>
                <w:szCs w:val="20"/>
                <w:color w:val="auto"/>
              </w:rPr>
            </w:pPr>
            <w:r>
              <w:rPr>
                <w:rFonts w:ascii="Arial" w:cs="Arial" w:eastAsia="Arial" w:hAnsi="Arial"/>
                <w:sz w:val="18"/>
                <w:szCs w:val="18"/>
                <w:b w:val="1"/>
                <w:bCs w:val="1"/>
                <w:color w:val="auto"/>
                <w:w w:val="91"/>
              </w:rPr>
              <w:t>83-0406195</w:t>
            </w:r>
          </w:p>
        </w:tc>
      </w:tr>
      <w:tr>
        <w:trPr>
          <w:trHeight w:val="148"/>
        </w:trPr>
        <w:tc>
          <w:tcPr>
            <w:tcW w:w="3900" w:type="dxa"/>
            <w:vAlign w:val="bottom"/>
          </w:tcPr>
          <w:p>
            <w:pPr>
              <w:jc w:val="center"/>
              <w:ind w:right="194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160" w:type="dxa"/>
            <w:vAlign w:val="bottom"/>
          </w:tcPr>
          <w:p>
            <w:pPr>
              <w:jc w:val="center"/>
              <w:ind w:left="196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900" w:type="dxa"/>
            <w:vAlign w:val="bottom"/>
          </w:tcPr>
          <w:p>
            <w:pPr>
              <w:jc w:val="center"/>
              <w:ind w:right="1942"/>
              <w:spacing w:after="0"/>
              <w:rPr>
                <w:sz w:val="20"/>
                <w:szCs w:val="20"/>
                <w:color w:val="auto"/>
              </w:rPr>
            </w:pPr>
            <w:r>
              <w:rPr>
                <w:rFonts w:ascii="Arial" w:cs="Arial" w:eastAsia="Arial" w:hAnsi="Arial"/>
                <w:sz w:val="14"/>
                <w:szCs w:val="14"/>
                <w:b w:val="1"/>
                <w:bCs w:val="1"/>
                <w:color w:val="auto"/>
                <w:w w:val="94"/>
              </w:rPr>
              <w:t>incorporation or organization)</w:t>
            </w:r>
          </w:p>
        </w:tc>
        <w:tc>
          <w:tcPr>
            <w:tcW w:w="3160" w:type="dxa"/>
            <w:vAlign w:val="bottom"/>
          </w:tcPr>
          <w:p>
            <w:pPr>
              <w:jc w:val="center"/>
              <w:ind w:left="1962"/>
              <w:spacing w:after="0"/>
              <w:rPr>
                <w:sz w:val="20"/>
                <w:szCs w:val="20"/>
                <w:color w:val="auto"/>
              </w:rPr>
            </w:pPr>
            <w:r>
              <w:rPr>
                <w:rFonts w:ascii="Arial" w:cs="Arial" w:eastAsia="Arial" w:hAnsi="Arial"/>
                <w:sz w:val="14"/>
                <w:szCs w:val="14"/>
                <w:b w:val="1"/>
                <w:bCs w:val="1"/>
                <w:color w:val="auto"/>
                <w:w w:val="94"/>
              </w:rPr>
              <w:t>Identification No.)</w:t>
            </w:r>
          </w:p>
        </w:tc>
      </w:tr>
    </w:tbl>
    <w:p>
      <w:pPr>
        <w:spacing w:after="0" w:line="16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 Magnachip Semiconductor, Ltd.</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15F, 76 Jikji-daero 436beon-gil, Heungdeok-gu</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Cheongju-si, Chungcheongbuk-do, 28581, Republic of Korea</w:t>
      </w:r>
    </w:p>
    <w:p>
      <w:pPr>
        <w:spacing w:after="0" w:line="2"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15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AMENDED AND RESTATED 2020 EQUITY AND INCENTIVE</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COMPENSATION PLAN</w:t>
      </w:r>
    </w:p>
    <w:p>
      <w:pPr>
        <w:spacing w:after="0" w:line="2"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(Full title of the plan)</w:t>
      </w:r>
    </w:p>
    <w:p>
      <w:pPr>
        <w:spacing w:after="0" w:line="15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+82 (2) 6903-3000</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201930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Copies to:</w:t>
      </w:r>
    </w:p>
    <w:p>
      <w:pPr>
        <w:spacing w:after="0" w:line="11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Micheal J. Reagan, Esq.</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 Stuart Ogg, Esq.</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Goodwin Procter LLP</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601 Marshall Street</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Redwood City, CA 94063</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Tel: (650) 739-3939</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Fax: (650) 739-3900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211455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8" w:lineRule="exact"/>
        <w:rPr>
          <w:sz w:val="24"/>
          <w:szCs w:val="24"/>
          <w:color w:val="auto"/>
        </w:rPr>
      </w:pPr>
    </w:p>
    <w:p>
      <w:pPr>
        <w:ind w:right="8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9"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800" w:type="dxa"/>
            <w:vAlign w:val="bottom"/>
          </w:tcPr>
          <w:p>
            <w:pPr>
              <w:spacing w:after="0"/>
              <w:rPr>
                <w:sz w:val="20"/>
                <w:szCs w:val="20"/>
                <w:color w:val="auto"/>
              </w:rPr>
            </w:pPr>
            <w:r>
              <w:rPr>
                <w:rFonts w:ascii="Arial" w:cs="Arial" w:eastAsia="Arial" w:hAnsi="Arial"/>
                <w:sz w:val="18"/>
                <w:szCs w:val="18"/>
                <w:color w:val="auto"/>
                <w:w w:val="99"/>
              </w:rPr>
              <w:t>Large accelerated filer</w:t>
            </w:r>
          </w:p>
        </w:tc>
        <w:tc>
          <w:tcPr>
            <w:tcW w:w="350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80"/>
              <w:spacing w:after="0"/>
              <w:rPr>
                <w:sz w:val="20"/>
                <w:szCs w:val="20"/>
                <w:color w:val="auto"/>
              </w:rPr>
            </w:pPr>
            <w:r>
              <w:rPr>
                <w:rFonts w:ascii="Arial" w:cs="Arial" w:eastAsia="Arial" w:hAnsi="Arial"/>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4"/>
        </w:trPr>
        <w:tc>
          <w:tcPr>
            <w:tcW w:w="1800" w:type="dxa"/>
            <w:vAlign w:val="bottom"/>
          </w:tcPr>
          <w:p>
            <w:pPr>
              <w:spacing w:after="0"/>
              <w:rPr>
                <w:sz w:val="20"/>
                <w:szCs w:val="20"/>
                <w:color w:val="auto"/>
              </w:rPr>
            </w:pPr>
            <w:r>
              <w:rPr>
                <w:rFonts w:ascii="Arial" w:cs="Arial" w:eastAsia="Arial" w:hAnsi="Arial"/>
                <w:sz w:val="18"/>
                <w:szCs w:val="18"/>
                <w:color w:val="auto"/>
              </w:rPr>
              <w:t>Non-accelerated filer</w:t>
            </w:r>
          </w:p>
        </w:tc>
        <w:tc>
          <w:tcPr>
            <w:tcW w:w="350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80"/>
              <w:spacing w:after="0"/>
              <w:rPr>
                <w:sz w:val="20"/>
                <w:szCs w:val="20"/>
                <w:color w:val="auto"/>
              </w:rPr>
            </w:pPr>
            <w:r>
              <w:rPr>
                <w:rFonts w:ascii="Arial" w:cs="Arial" w:eastAsia="Arial" w:hAnsi="Arial"/>
                <w:sz w:val="18"/>
                <w:szCs w:val="18"/>
                <w:color w:val="auto"/>
                <w:w w:val="98"/>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18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5320" w:type="dxa"/>
            <w:vAlign w:val="bottom"/>
          </w:tcPr>
          <w:p>
            <w:pPr>
              <w:ind w:left="3180"/>
              <w:spacing w:after="0"/>
              <w:rPr>
                <w:sz w:val="20"/>
                <w:szCs w:val="20"/>
                <w:color w:val="auto"/>
              </w:rPr>
            </w:pPr>
            <w:r>
              <w:rPr>
                <w:rFonts w:ascii="Arial" w:cs="Arial" w:eastAsia="Arial" w:hAnsi="Arial"/>
                <w:sz w:val="18"/>
                <w:szCs w:val="18"/>
                <w:color w:val="auto"/>
                <w:w w:val="99"/>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33" w:lineRule="exact"/>
        <w:rPr>
          <w:sz w:val="24"/>
          <w:szCs w:val="24"/>
          <w:color w:val="auto"/>
        </w:rPr>
      </w:pPr>
    </w:p>
    <w:p>
      <w:pPr>
        <w:ind w:right="24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93980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136525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60"/>
          </w:cols>
          <w:pgMar w:left="440" w:top="229" w:right="49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EXPLANATORY NOTE</w:t>
      </w:r>
    </w:p>
    <w:p>
      <w:pPr>
        <w:spacing w:after="0" w:line="229" w:lineRule="exact"/>
        <w:rPr>
          <w:sz w:val="20"/>
          <w:szCs w:val="20"/>
          <w:color w:val="auto"/>
        </w:rPr>
      </w:pPr>
    </w:p>
    <w:p>
      <w:pPr>
        <w:ind w:right="400"/>
        <w:spacing w:after="0" w:line="275" w:lineRule="auto"/>
        <w:rPr>
          <w:sz w:val="20"/>
          <w:szCs w:val="20"/>
          <w:color w:val="auto"/>
        </w:rPr>
      </w:pPr>
      <w:r>
        <w:rPr>
          <w:rFonts w:ascii="Arial" w:cs="Arial" w:eastAsia="Arial" w:hAnsi="Arial"/>
          <w:sz w:val="17"/>
          <w:szCs w:val="17"/>
          <w:color w:val="auto"/>
        </w:rPr>
        <w:t>Magnachip Semiconductor Corporation, a Delaware corporation (the “Registrant”) is filing this Registration Statement to register an additional 1,990,000 shares of its common stock, par value $0.01 per share (“Common Stock”), for issuance under the Registrant’s 2020 Equity and Incentive Compensation Plan (the “2020 Plan”). On April 14, 2023, the Registrant’s Board of Directors amended and restated the 2020 Plan, subject to stockholder approval, in order to increase the aggregate number of shares of the Registrant’s Common Stock available for issuance thereunder by 1,990,000 shares, and such amendment was approved by the Registrant’s stockholders on May 18, 2023.</w:t>
      </w:r>
    </w:p>
    <w:p>
      <w:pPr>
        <w:spacing w:after="0" w:line="176"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This Registration Statement is being filed for the purpose of increasing the number of securities of the same class as other securities for which a Registration Statement on Form S-8 relating to the same benefit plan is effective pursuant to the amendment to the 2020 Plan described above. The Registrant previously registered shares of its Common Stock for issuance under the 2020 Plan under a Registration Statement on Form S-8 filed with the Securities and Exchange Commission (“SEC”) on July 15, 2020 (File No. 333-239872). Pursuant to General Instruction E to Form S-8, this Registration Statement hereby incorporates by reference the contents of the Registration Statements referenced above with respect to the shares of Common Stock registered under the 2020 Plan, except to the extent supplemented or amended or superseded by the information set forth or incorporated herein.</w:t>
      </w:r>
    </w:p>
    <w:p>
      <w:pPr>
        <w:sectPr>
          <w:pgSz w:w="11900" w:h="16838" w:orient="portrait"/>
          <w:cols w:equalWidth="0" w:num="1">
            <w:col w:w="11000"/>
          </w:cols>
          <w:pgMar w:left="440" w:top="486" w:right="4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0800"/>
                    </a:xfrm>
                    <a:prstGeom prst="rect">
                      <a:avLst/>
                    </a:prstGeom>
                    <a:noFill/>
                  </pic:spPr>
                </pic:pic>
              </a:graphicData>
            </a:graphic>
          </wp:anchor>
        </w:drawing>
        <w:t>PART II</w:t>
      </w:r>
    </w:p>
    <w:p>
      <w:pPr>
        <w:spacing w:after="0" w:line="225"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Exhibits.</w:t>
      </w:r>
    </w:p>
    <w:p>
      <w:pPr>
        <w:spacing w:after="0" w:line="2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120"/>
        <w:spacing w:after="0"/>
        <w:tabs>
          <w:tab w:leader="none" w:pos="760" w:val="left"/>
        </w:tabs>
        <w:rPr>
          <w:sz w:val="20"/>
          <w:szCs w:val="20"/>
          <w:color w:val="auto"/>
        </w:rPr>
      </w:pPr>
      <w:r>
        <w:rPr>
          <w:rFonts w:ascii="Arial" w:cs="Arial" w:eastAsia="Arial" w:hAnsi="Arial"/>
          <w:sz w:val="14"/>
          <w:szCs w:val="14"/>
          <w:b w:val="1"/>
          <w:bCs w:val="1"/>
          <w:u w:val="single" w:color="auto"/>
          <w:color w:val="auto"/>
        </w:rPr>
        <w:t>No.</w:t>
      </w:r>
      <w:r>
        <w:rPr>
          <w:sz w:val="20"/>
          <w:szCs w:val="20"/>
          <w:color w:val="auto"/>
        </w:rPr>
        <w:tab/>
      </w:r>
      <w:r>
        <w:rPr>
          <w:rFonts w:ascii="Arial" w:cs="Arial" w:eastAsia="Arial" w:hAnsi="Arial"/>
          <w:sz w:val="14"/>
          <w:szCs w:val="14"/>
          <w:b w:val="1"/>
          <w:bCs w:val="1"/>
          <w:color w:val="auto"/>
        </w:rPr>
        <w:t>Description</w:t>
      </w:r>
    </w:p>
    <w:p>
      <w:pPr>
        <w:spacing w:after="0" w:line="101" w:lineRule="exact"/>
        <w:rPr>
          <w:sz w:val="20"/>
          <w:szCs w:val="20"/>
          <w:color w:val="auto"/>
        </w:rPr>
      </w:pPr>
    </w:p>
    <w:p>
      <w:pPr>
        <w:ind w:left="180"/>
        <w:spacing w:after="0"/>
        <w:tabs>
          <w:tab w:leader="none" w:pos="76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7"/>
          <w:szCs w:val="17"/>
          <w:u w:val="single" w:color="auto"/>
          <w:color w:val="0000EE"/>
        </w:rPr>
        <w:t>Opinion of Goodwin Procter*</w:t>
      </w:r>
    </w:p>
    <w:p>
      <w:pPr>
        <w:spacing w:after="0" w:line="117" w:lineRule="exact"/>
        <w:rPr>
          <w:sz w:val="20"/>
          <w:szCs w:val="20"/>
          <w:color w:val="auto"/>
        </w:rPr>
      </w:pPr>
    </w:p>
    <w:p>
      <w:pPr>
        <w:ind w:left="780" w:hanging="695"/>
        <w:spacing w:after="0" w:line="277"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10.1</w:t>
      </w:r>
      <w:r>
        <w:rPr>
          <w:sz w:val="20"/>
          <w:szCs w:val="20"/>
          <w:color w:val="auto"/>
        </w:rPr>
        <w:tab/>
      </w:r>
      <w:hyperlink r:id="rId19">
        <w:r>
          <w:rPr>
            <w:rFonts w:ascii="Arial" w:cs="Arial" w:eastAsia="Arial" w:hAnsi="Arial"/>
            <w:sz w:val="18"/>
            <w:szCs w:val="18"/>
            <w:u w:val="single" w:color="auto"/>
            <w:color w:val="0000EE"/>
          </w:rPr>
          <w:t>Amended and Restated 2020 Equity and Incentive Compensation Plan (Incorporated by reference to Appendix A to our Definitive Proxy</w:t>
        </w:r>
      </w:hyperlink>
      <w:r>
        <w:rPr>
          <w:rFonts w:ascii="Arial" w:cs="Arial" w:eastAsia="Arial" w:hAnsi="Arial"/>
          <w:sz w:val="18"/>
          <w:szCs w:val="18"/>
          <w:u w:val="single" w:color="auto"/>
          <w:color w:val="0000EE"/>
        </w:rPr>
        <w:t xml:space="preserve"> </w:t>
      </w:r>
      <w:hyperlink r:id="rId19">
        <w:r>
          <w:rPr>
            <w:rFonts w:ascii="Arial" w:cs="Arial" w:eastAsia="Arial" w:hAnsi="Arial"/>
            <w:sz w:val="18"/>
            <w:szCs w:val="18"/>
            <w:u w:val="single" w:color="auto"/>
            <w:color w:val="0000EE"/>
          </w:rPr>
          <w:t>Statement on Schedule 14A filed with the Commission on April 17, 2023)</w:t>
        </w:r>
      </w:hyperlink>
    </w:p>
    <w:p>
      <w:pPr>
        <w:spacing w:after="0" w:line="62" w:lineRule="exact"/>
        <w:rPr>
          <w:sz w:val="20"/>
          <w:szCs w:val="20"/>
          <w:color w:val="auto"/>
        </w:rPr>
      </w:pPr>
    </w:p>
    <w:p>
      <w:pPr>
        <w:ind w:left="80"/>
        <w:spacing w:after="0"/>
        <w:tabs>
          <w:tab w:leader="none" w:pos="76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u w:val="single" w:color="auto"/>
          <w:color w:val="0000EE"/>
        </w:rPr>
        <w:t>Consent of Goodwin Procter (included in Exhibit 5.1 above)</w:t>
      </w:r>
    </w:p>
    <w:p>
      <w:pPr>
        <w:spacing w:after="0" w:line="117" w:lineRule="exact"/>
        <w:rPr>
          <w:sz w:val="20"/>
          <w:szCs w:val="20"/>
          <w:color w:val="auto"/>
        </w:rPr>
      </w:pPr>
    </w:p>
    <w:p>
      <w:pPr>
        <w:ind w:left="80"/>
        <w:spacing w:after="0"/>
        <w:tabs>
          <w:tab w:leader="none" w:pos="76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u w:val="single" w:color="auto"/>
          <w:color w:val="0000EE"/>
        </w:rPr>
        <w:t>Consent of Samil PricewaterhouseCoopers, the Registrant’s independent registered public accounting firm*</w:t>
      </w:r>
    </w:p>
    <w:p>
      <w:pPr>
        <w:spacing w:after="0" w:line="117" w:lineRule="exact"/>
        <w:rPr>
          <w:sz w:val="20"/>
          <w:szCs w:val="20"/>
          <w:color w:val="auto"/>
        </w:rPr>
      </w:pPr>
    </w:p>
    <w:p>
      <w:pPr>
        <w:ind w:left="80"/>
        <w:spacing w:after="0"/>
        <w:tabs>
          <w:tab w:leader="none" w:pos="76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6"/>
          <w:szCs w:val="16"/>
          <w:u w:val="single" w:color="auto"/>
          <w:color w:val="0000EE"/>
        </w:rPr>
        <w:t>Power of Attorney (included on the signature page)</w:t>
      </w:r>
    </w:p>
    <w:p>
      <w:pPr>
        <w:spacing w:after="0" w:line="117" w:lineRule="exact"/>
        <w:rPr>
          <w:sz w:val="20"/>
          <w:szCs w:val="20"/>
          <w:color w:val="auto"/>
        </w:rPr>
      </w:pPr>
    </w:p>
    <w:p>
      <w:pPr>
        <w:ind w:left="780" w:hanging="649"/>
        <w:spacing w:after="0"/>
        <w:tabs>
          <w:tab w:leader="none" w:pos="780" w:val="left"/>
        </w:tabs>
        <w:numPr>
          <w:ilvl w:val="1"/>
          <w:numId w:val="1"/>
        </w:numPr>
        <w:rPr>
          <w:rFonts w:ascii="Arial" w:cs="Arial" w:eastAsia="Arial" w:hAnsi="Arial"/>
          <w:sz w:val="18"/>
          <w:szCs w:val="18"/>
          <w:color w:val="auto"/>
        </w:rPr>
      </w:pPr>
      <w:r>
        <w:rPr>
          <w:rFonts w:ascii="Arial" w:cs="Arial" w:eastAsia="Arial" w:hAnsi="Arial"/>
          <w:sz w:val="18"/>
          <w:szCs w:val="18"/>
          <w:u w:val="single" w:color="auto"/>
          <w:color w:val="0000EE"/>
        </w:rPr>
        <w:t>Filing fee table*</w:t>
      </w:r>
    </w:p>
    <w:p>
      <w:pPr>
        <w:spacing w:after="0" w:line="19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-147320</wp:posOffset>
            </wp:positionV>
            <wp:extent cx="7715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ectPr>
          <w:pgSz w:w="11900" w:h="16838" w:orient="portrait"/>
          <w:cols w:equalWidth="0" w:num="1">
            <w:col w:w="10620"/>
          </w:cols>
          <w:pgMar w:left="440" w:top="486" w:right="8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74865" cy="50800"/>
                    </a:xfrm>
                    <a:prstGeom prst="rect">
                      <a:avLst/>
                    </a:prstGeom>
                    <a:noFill/>
                  </pic:spPr>
                </pic:pic>
              </a:graphicData>
            </a:graphic>
          </wp:anchor>
        </w:drawing>
        <w:t>SIGNATURES</w:t>
      </w:r>
    </w:p>
    <w:p>
      <w:pPr>
        <w:spacing w:after="0" w:line="229"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Seoul, Republic of Korea on June 23, 2023.</w:t>
      </w:r>
    </w:p>
    <w:p>
      <w:pPr>
        <w:spacing w:after="0" w:line="207"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MAGNACHIP SEMICONDUCTOR CORPORATION</w:t>
      </w:r>
    </w:p>
    <w:p>
      <w:pPr>
        <w:spacing w:after="0" w:line="229"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By: /s/ Young-Joon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4386580</wp:posOffset>
            </wp:positionH>
            <wp:positionV relativeFrom="paragraph">
              <wp:posOffset>14605</wp:posOffset>
            </wp:positionV>
            <wp:extent cx="260604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17"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Young-Joon Kim</w:t>
      </w:r>
    </w:p>
    <w:p>
      <w:pPr>
        <w:spacing w:after="0" w:line="9"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KNOW ALL PERSONS BY THESE PRESENTS, that each person whose signature appears below constitutes and appoints Young-Joon Kim and Theodore S. Kim and each or either of them, as his or her true and lawful attorney-in-fact and agent, with full power of substitution and resubstitution, for him or her and in his or her name, place and stead, in any and all capacities, to sign any and all amendments to this registration statement on Form S-8, including any and all post-effective amendments and amendments thereto, and to file the same, with all exhibits thereto and other documents in connection therewith, with the Securities and Exchange Commission, granting unto said attorney-in-fact and agent, full power and authority to do and perform each and every act and thing requisite and necessary to be done in connection therewith, as fully to all intents and purposes as he or she might or could do in person, hereby ratifying and confirming all that said attorney-in-fact and agent, or their or his or her substitutes or substitute, may lawfully do or cause to be done by virtue hereof.</w:t>
      </w:r>
    </w:p>
    <w:p>
      <w:pPr>
        <w:spacing w:after="0" w:line="17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on Form S-8 has been signed below by the following persons on behalf of Magnachip Semiconductor Corporation and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80" w:type="dxa"/>
            <w:vAlign w:val="bottom"/>
          </w:tcPr>
          <w:p>
            <w:pPr>
              <w:spacing w:after="0"/>
              <w:rPr>
                <w:sz w:val="16"/>
                <w:szCs w:val="16"/>
                <w:color w:val="auto"/>
              </w:rPr>
            </w:pPr>
          </w:p>
        </w:tc>
        <w:tc>
          <w:tcPr>
            <w:tcW w:w="4860" w:type="dxa"/>
            <w:vAlign w:val="bottom"/>
          </w:tcPr>
          <w:p>
            <w:pPr>
              <w:jc w:val="center"/>
              <w:ind w:left="133"/>
              <w:spacing w:after="0"/>
              <w:rPr>
                <w:sz w:val="20"/>
                <w:szCs w:val="20"/>
                <w:color w:val="auto"/>
              </w:rPr>
            </w:pPr>
            <w:r>
              <w:rPr>
                <w:rFonts w:ascii="Arial" w:cs="Arial" w:eastAsia="Arial" w:hAnsi="Arial"/>
                <w:sz w:val="14"/>
                <w:szCs w:val="14"/>
                <w:b w:val="1"/>
                <w:bCs w:val="1"/>
                <w:color w:val="auto"/>
                <w:w w:val="97"/>
              </w:rPr>
              <w:t>Title</w:t>
            </w:r>
          </w:p>
        </w:tc>
        <w:tc>
          <w:tcPr>
            <w:tcW w:w="1600" w:type="dxa"/>
            <w:vAlign w:val="bottom"/>
          </w:tcPr>
          <w:p>
            <w:pPr>
              <w:jc w:val="center"/>
              <w:ind w:left="494"/>
              <w:spacing w:after="0"/>
              <w:rPr>
                <w:sz w:val="20"/>
                <w:szCs w:val="20"/>
                <w:color w:val="auto"/>
              </w:rPr>
            </w:pPr>
            <w:r>
              <w:rPr>
                <w:rFonts w:ascii="Arial" w:cs="Arial" w:eastAsia="Arial" w:hAnsi="Arial"/>
                <w:sz w:val="14"/>
                <w:szCs w:val="14"/>
                <w:b w:val="1"/>
                <w:bCs w:val="1"/>
                <w:color w:val="auto"/>
                <w:w w:val="98"/>
              </w:rPr>
              <w:t>Date</w:t>
            </w:r>
          </w:p>
        </w:tc>
      </w:tr>
      <w:tr>
        <w:trPr>
          <w:trHeight w:val="417"/>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Young-joon Kim</w:t>
            </w:r>
          </w:p>
        </w:tc>
        <w:tc>
          <w:tcPr>
            <w:tcW w:w="4860" w:type="dxa"/>
            <w:vAlign w:val="bottom"/>
          </w:tcPr>
          <w:p>
            <w:pPr>
              <w:jc w:val="center"/>
              <w:ind w:left="113"/>
              <w:spacing w:after="0"/>
              <w:rPr>
                <w:sz w:val="20"/>
                <w:szCs w:val="20"/>
                <w:color w:val="auto"/>
              </w:rPr>
            </w:pPr>
            <w:r>
              <w:rPr>
                <w:rFonts w:ascii="Arial" w:cs="Arial" w:eastAsia="Arial" w:hAnsi="Arial"/>
                <w:sz w:val="18"/>
                <w:szCs w:val="18"/>
                <w:color w:val="auto"/>
                <w:w w:val="94"/>
              </w:rPr>
              <w:t>Chief Executive Officer, Interim Chief Financial</w:t>
            </w:r>
          </w:p>
        </w:tc>
        <w:tc>
          <w:tcPr>
            <w:tcW w:w="1600" w:type="dxa"/>
            <w:vAlign w:val="bottom"/>
          </w:tcPr>
          <w:p>
            <w:pPr>
              <w:jc w:val="center"/>
              <w:ind w:left="494"/>
              <w:spacing w:after="0"/>
              <w:rPr>
                <w:sz w:val="20"/>
                <w:szCs w:val="20"/>
                <w:color w:val="auto"/>
              </w:rPr>
            </w:pPr>
            <w:r>
              <w:rPr>
                <w:rFonts w:ascii="Arial" w:cs="Arial" w:eastAsia="Arial" w:hAnsi="Arial"/>
                <w:sz w:val="18"/>
                <w:szCs w:val="18"/>
                <w:color w:val="auto"/>
                <w:w w:val="89"/>
              </w:rPr>
              <w:t>June 23, 2023</w:t>
            </w:r>
          </w:p>
        </w:tc>
      </w:tr>
      <w:tr>
        <w:trPr>
          <w:trHeight w:val="224"/>
        </w:trPr>
        <w:tc>
          <w:tcPr>
            <w:tcW w:w="4180" w:type="dxa"/>
            <w:vAlign w:val="bottom"/>
          </w:tcPr>
          <w:p>
            <w:pPr>
              <w:spacing w:after="0"/>
              <w:rPr>
                <w:sz w:val="20"/>
                <w:szCs w:val="20"/>
                <w:color w:val="auto"/>
              </w:rPr>
            </w:pPr>
            <w:r>
              <w:rPr>
                <w:rFonts w:ascii="Arial" w:cs="Arial" w:eastAsia="Arial" w:hAnsi="Arial"/>
                <w:sz w:val="18"/>
                <w:szCs w:val="18"/>
                <w:color w:val="auto"/>
              </w:rPr>
              <w:t>Young-Joon Kim</w:t>
            </w:r>
          </w:p>
        </w:tc>
        <w:tc>
          <w:tcPr>
            <w:tcW w:w="4860" w:type="dxa"/>
            <w:vAlign w:val="bottom"/>
          </w:tcPr>
          <w:p>
            <w:pPr>
              <w:jc w:val="center"/>
              <w:ind w:left="133"/>
              <w:spacing w:after="0"/>
              <w:rPr>
                <w:sz w:val="20"/>
                <w:szCs w:val="20"/>
                <w:color w:val="auto"/>
              </w:rPr>
            </w:pPr>
            <w:r>
              <w:rPr>
                <w:rFonts w:ascii="Arial" w:cs="Arial" w:eastAsia="Arial" w:hAnsi="Arial"/>
                <w:sz w:val="18"/>
                <w:szCs w:val="18"/>
                <w:color w:val="auto"/>
                <w:w w:val="95"/>
              </w:rPr>
              <w:t>Officer, Director</w:t>
            </w:r>
          </w:p>
        </w:tc>
        <w:tc>
          <w:tcPr>
            <w:tcW w:w="160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Theodore Kim</w:t>
            </w:r>
          </w:p>
        </w:tc>
        <w:tc>
          <w:tcPr>
            <w:tcW w:w="4860" w:type="dxa"/>
            <w:vAlign w:val="bottom"/>
          </w:tcPr>
          <w:p>
            <w:pPr>
              <w:jc w:val="center"/>
              <w:ind w:left="113"/>
              <w:spacing w:after="0"/>
              <w:rPr>
                <w:sz w:val="20"/>
                <w:szCs w:val="20"/>
                <w:color w:val="auto"/>
              </w:rPr>
            </w:pPr>
            <w:r>
              <w:rPr>
                <w:rFonts w:ascii="Arial" w:cs="Arial" w:eastAsia="Arial" w:hAnsi="Arial"/>
                <w:sz w:val="18"/>
                <w:szCs w:val="18"/>
                <w:color w:val="auto"/>
                <w:w w:val="91"/>
              </w:rPr>
              <w:t>Chief Compliance Officer, General Counsel and</w:t>
            </w:r>
          </w:p>
        </w:tc>
        <w:tc>
          <w:tcPr>
            <w:tcW w:w="1600" w:type="dxa"/>
            <w:vAlign w:val="bottom"/>
          </w:tcPr>
          <w:p>
            <w:pPr>
              <w:jc w:val="center"/>
              <w:ind w:left="494"/>
              <w:spacing w:after="0"/>
              <w:rPr>
                <w:sz w:val="20"/>
                <w:szCs w:val="20"/>
                <w:color w:val="auto"/>
              </w:rPr>
            </w:pPr>
            <w:r>
              <w:rPr>
                <w:rFonts w:ascii="Arial" w:cs="Arial" w:eastAsia="Arial" w:hAnsi="Arial"/>
                <w:sz w:val="18"/>
                <w:szCs w:val="18"/>
                <w:color w:val="auto"/>
                <w:w w:val="89"/>
              </w:rPr>
              <w:t>June 23, 2023</w:t>
            </w:r>
          </w:p>
        </w:tc>
      </w:tr>
      <w:tr>
        <w:trPr>
          <w:trHeight w:val="224"/>
        </w:trPr>
        <w:tc>
          <w:tcPr>
            <w:tcW w:w="4180" w:type="dxa"/>
            <w:vAlign w:val="bottom"/>
          </w:tcPr>
          <w:p>
            <w:pPr>
              <w:spacing w:after="0"/>
              <w:rPr>
                <w:sz w:val="20"/>
                <w:szCs w:val="20"/>
                <w:color w:val="auto"/>
              </w:rPr>
            </w:pPr>
            <w:r>
              <w:rPr>
                <w:rFonts w:ascii="Arial" w:cs="Arial" w:eastAsia="Arial" w:hAnsi="Arial"/>
                <w:sz w:val="18"/>
                <w:szCs w:val="18"/>
                <w:color w:val="auto"/>
              </w:rPr>
              <w:t>Theodore Kim</w:t>
            </w:r>
          </w:p>
        </w:tc>
        <w:tc>
          <w:tcPr>
            <w:tcW w:w="4860" w:type="dxa"/>
            <w:vAlign w:val="bottom"/>
          </w:tcPr>
          <w:p>
            <w:pPr>
              <w:jc w:val="center"/>
              <w:ind w:left="133"/>
              <w:spacing w:after="0"/>
              <w:rPr>
                <w:sz w:val="20"/>
                <w:szCs w:val="20"/>
                <w:color w:val="auto"/>
              </w:rPr>
            </w:pPr>
            <w:r>
              <w:rPr>
                <w:rFonts w:ascii="Arial" w:cs="Arial" w:eastAsia="Arial" w:hAnsi="Arial"/>
                <w:sz w:val="18"/>
                <w:szCs w:val="18"/>
                <w:color w:val="auto"/>
                <w:w w:val="88"/>
              </w:rPr>
              <w:t>Secretary</w:t>
            </w:r>
          </w:p>
        </w:tc>
        <w:tc>
          <w:tcPr>
            <w:tcW w:w="1600" w:type="dxa"/>
            <w:vAlign w:val="bottom"/>
          </w:tcPr>
          <w:p>
            <w:pPr>
              <w:spacing w:after="0"/>
              <w:rPr>
                <w:sz w:val="19"/>
                <w:szCs w:val="19"/>
                <w:color w:val="auto"/>
              </w:rPr>
            </w:pPr>
          </w:p>
        </w:tc>
      </w:tr>
      <w:tr>
        <w:trPr>
          <w:trHeight w:val="445"/>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Melvin Keating</w:t>
            </w:r>
          </w:p>
        </w:tc>
        <w:tc>
          <w:tcPr>
            <w:tcW w:w="4860" w:type="dxa"/>
            <w:vAlign w:val="bottom"/>
          </w:tcPr>
          <w:p>
            <w:pPr>
              <w:jc w:val="center"/>
              <w:ind w:left="133"/>
              <w:spacing w:after="0"/>
              <w:rPr>
                <w:sz w:val="20"/>
                <w:szCs w:val="20"/>
                <w:color w:val="auto"/>
              </w:rPr>
            </w:pPr>
            <w:r>
              <w:rPr>
                <w:rFonts w:ascii="Arial" w:cs="Arial" w:eastAsia="Arial" w:hAnsi="Arial"/>
                <w:sz w:val="18"/>
                <w:szCs w:val="18"/>
                <w:color w:val="auto"/>
                <w:w w:val="95"/>
              </w:rPr>
              <w:t>Director</w:t>
            </w:r>
          </w:p>
        </w:tc>
        <w:tc>
          <w:tcPr>
            <w:tcW w:w="1600" w:type="dxa"/>
            <w:vAlign w:val="bottom"/>
          </w:tcPr>
          <w:p>
            <w:pPr>
              <w:jc w:val="center"/>
              <w:ind w:left="494"/>
              <w:spacing w:after="0"/>
              <w:rPr>
                <w:sz w:val="20"/>
                <w:szCs w:val="20"/>
                <w:color w:val="auto"/>
              </w:rPr>
            </w:pPr>
            <w:r>
              <w:rPr>
                <w:rFonts w:ascii="Arial" w:cs="Arial" w:eastAsia="Arial" w:hAnsi="Arial"/>
                <w:sz w:val="18"/>
                <w:szCs w:val="18"/>
                <w:color w:val="auto"/>
                <w:w w:val="89"/>
              </w:rPr>
              <w:t>June 23, 2023</w:t>
            </w:r>
          </w:p>
        </w:tc>
      </w:tr>
      <w:tr>
        <w:trPr>
          <w:trHeight w:val="224"/>
        </w:trPr>
        <w:tc>
          <w:tcPr>
            <w:tcW w:w="4180" w:type="dxa"/>
            <w:vAlign w:val="bottom"/>
          </w:tcPr>
          <w:p>
            <w:pPr>
              <w:spacing w:after="0"/>
              <w:rPr>
                <w:sz w:val="20"/>
                <w:szCs w:val="20"/>
                <w:color w:val="auto"/>
              </w:rPr>
            </w:pPr>
            <w:r>
              <w:rPr>
                <w:rFonts w:ascii="Arial" w:cs="Arial" w:eastAsia="Arial" w:hAnsi="Arial"/>
                <w:sz w:val="18"/>
                <w:szCs w:val="18"/>
                <w:color w:val="auto"/>
              </w:rPr>
              <w:t>Melvin Keating</w:t>
            </w:r>
          </w:p>
        </w:tc>
        <w:tc>
          <w:tcPr>
            <w:tcW w:w="486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Ilbok Lee</w:t>
            </w:r>
          </w:p>
        </w:tc>
        <w:tc>
          <w:tcPr>
            <w:tcW w:w="4860" w:type="dxa"/>
            <w:vAlign w:val="bottom"/>
          </w:tcPr>
          <w:p>
            <w:pPr>
              <w:jc w:val="center"/>
              <w:ind w:left="133"/>
              <w:spacing w:after="0"/>
              <w:rPr>
                <w:sz w:val="20"/>
                <w:szCs w:val="20"/>
                <w:color w:val="auto"/>
              </w:rPr>
            </w:pPr>
            <w:r>
              <w:rPr>
                <w:rFonts w:ascii="Arial" w:cs="Arial" w:eastAsia="Arial" w:hAnsi="Arial"/>
                <w:sz w:val="18"/>
                <w:szCs w:val="18"/>
                <w:color w:val="auto"/>
                <w:w w:val="95"/>
              </w:rPr>
              <w:t>Director</w:t>
            </w:r>
          </w:p>
        </w:tc>
        <w:tc>
          <w:tcPr>
            <w:tcW w:w="1600" w:type="dxa"/>
            <w:vAlign w:val="bottom"/>
          </w:tcPr>
          <w:p>
            <w:pPr>
              <w:jc w:val="center"/>
              <w:ind w:left="494"/>
              <w:spacing w:after="0"/>
              <w:rPr>
                <w:sz w:val="20"/>
                <w:szCs w:val="20"/>
                <w:color w:val="auto"/>
              </w:rPr>
            </w:pPr>
            <w:r>
              <w:rPr>
                <w:rFonts w:ascii="Arial" w:cs="Arial" w:eastAsia="Arial" w:hAnsi="Arial"/>
                <w:sz w:val="18"/>
                <w:szCs w:val="18"/>
                <w:color w:val="auto"/>
                <w:w w:val="89"/>
              </w:rPr>
              <w:t>June 23, 2023</w:t>
            </w:r>
          </w:p>
        </w:tc>
      </w:tr>
      <w:tr>
        <w:trPr>
          <w:trHeight w:val="224"/>
        </w:trPr>
        <w:tc>
          <w:tcPr>
            <w:tcW w:w="4180" w:type="dxa"/>
            <w:vAlign w:val="bottom"/>
          </w:tcPr>
          <w:p>
            <w:pPr>
              <w:spacing w:after="0"/>
              <w:rPr>
                <w:sz w:val="20"/>
                <w:szCs w:val="20"/>
                <w:color w:val="auto"/>
              </w:rPr>
            </w:pPr>
            <w:r>
              <w:rPr>
                <w:rFonts w:ascii="Arial" w:cs="Arial" w:eastAsia="Arial" w:hAnsi="Arial"/>
                <w:sz w:val="18"/>
                <w:szCs w:val="18"/>
                <w:color w:val="auto"/>
              </w:rPr>
              <w:t>Ilbok Lee</w:t>
            </w:r>
          </w:p>
        </w:tc>
        <w:tc>
          <w:tcPr>
            <w:tcW w:w="4860" w:type="dxa"/>
            <w:vAlign w:val="bottom"/>
          </w:tcPr>
          <w:p>
            <w:pPr>
              <w:spacing w:after="0"/>
              <w:rPr>
                <w:sz w:val="19"/>
                <w:szCs w:val="19"/>
                <w:color w:val="auto"/>
              </w:rPr>
            </w:pPr>
          </w:p>
        </w:tc>
        <w:tc>
          <w:tcPr>
            <w:tcW w:w="1600" w:type="dxa"/>
            <w:vAlign w:val="bottom"/>
          </w:tcPr>
          <w:p>
            <w:pPr>
              <w:spacing w:after="0"/>
              <w:rPr>
                <w:sz w:val="19"/>
                <w:szCs w:val="19"/>
                <w:color w:val="auto"/>
              </w:rPr>
            </w:pPr>
          </w:p>
        </w:tc>
      </w:tr>
    </w:tbl>
    <w:p>
      <w:pPr>
        <w:sectPr>
          <w:pgSz w:w="11900" w:h="16838" w:orient="portrait"/>
          <w:cols w:equalWidth="0" w:num="1">
            <w:col w:w="11000"/>
          </w:cols>
          <w:pgMar w:left="440" w:top="486" w:right="459" w:bottom="1440" w:gutter="0" w:footer="0" w:header="0"/>
        </w:sectPr>
      </w:pPr>
    </w:p>
    <w:bookmarkStart w:id="4" w:name="page5"/>
    <w:bookmarkEnd w:id="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74865" cy="508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Gary Tanner</w:t>
            </w:r>
          </w:p>
        </w:tc>
        <w:tc>
          <w:tcPr>
            <w:tcW w:w="4140" w:type="dxa"/>
            <w:vAlign w:val="bottom"/>
          </w:tcPr>
          <w:p>
            <w:pPr>
              <w:ind w:left="2240"/>
              <w:spacing w:after="0"/>
              <w:rPr>
                <w:sz w:val="20"/>
                <w:szCs w:val="20"/>
                <w:color w:val="auto"/>
              </w:rPr>
            </w:pPr>
            <w:r>
              <w:rPr>
                <w:rFonts w:ascii="Arial" w:cs="Arial" w:eastAsia="Arial" w:hAnsi="Arial"/>
                <w:sz w:val="18"/>
                <w:szCs w:val="18"/>
                <w:color w:val="auto"/>
              </w:rPr>
              <w:t>Director</w:t>
            </w:r>
          </w:p>
        </w:tc>
        <w:tc>
          <w:tcPr>
            <w:tcW w:w="2320" w:type="dxa"/>
            <w:vAlign w:val="bottom"/>
          </w:tcPr>
          <w:p>
            <w:pPr>
              <w:ind w:left="1300"/>
              <w:spacing w:after="0"/>
              <w:rPr>
                <w:sz w:val="20"/>
                <w:szCs w:val="20"/>
                <w:color w:val="auto"/>
              </w:rPr>
            </w:pPr>
            <w:r>
              <w:rPr>
                <w:rFonts w:ascii="Arial" w:cs="Arial" w:eastAsia="Arial" w:hAnsi="Arial"/>
                <w:sz w:val="18"/>
                <w:szCs w:val="18"/>
                <w:color w:val="auto"/>
                <w:w w:val="87"/>
              </w:rPr>
              <w:t>June 23, 2023</w:t>
            </w:r>
          </w:p>
        </w:tc>
      </w:tr>
      <w:tr>
        <w:trPr>
          <w:trHeight w:val="224"/>
        </w:trPr>
        <w:tc>
          <w:tcPr>
            <w:tcW w:w="4180" w:type="dxa"/>
            <w:vAlign w:val="bottom"/>
          </w:tcPr>
          <w:p>
            <w:pPr>
              <w:spacing w:after="0"/>
              <w:rPr>
                <w:sz w:val="20"/>
                <w:szCs w:val="20"/>
                <w:color w:val="auto"/>
              </w:rPr>
            </w:pPr>
            <w:r>
              <w:rPr>
                <w:rFonts w:ascii="Arial" w:cs="Arial" w:eastAsia="Arial" w:hAnsi="Arial"/>
                <w:sz w:val="18"/>
                <w:szCs w:val="18"/>
                <w:color w:val="auto"/>
              </w:rPr>
              <w:t>Gary Tanner</w:t>
            </w:r>
          </w:p>
        </w:tc>
        <w:tc>
          <w:tcPr>
            <w:tcW w:w="4140" w:type="dxa"/>
            <w:vAlign w:val="bottom"/>
          </w:tcPr>
          <w:p>
            <w:pPr>
              <w:spacing w:after="0"/>
              <w:rPr>
                <w:sz w:val="19"/>
                <w:szCs w:val="19"/>
                <w:color w:val="auto"/>
              </w:rPr>
            </w:pPr>
          </w:p>
        </w:tc>
        <w:tc>
          <w:tcPr>
            <w:tcW w:w="232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Liz Chung</w:t>
            </w:r>
          </w:p>
        </w:tc>
        <w:tc>
          <w:tcPr>
            <w:tcW w:w="4140" w:type="dxa"/>
            <w:vAlign w:val="bottom"/>
          </w:tcPr>
          <w:p>
            <w:pPr>
              <w:ind w:left="2240"/>
              <w:spacing w:after="0"/>
              <w:rPr>
                <w:sz w:val="20"/>
                <w:szCs w:val="20"/>
                <w:color w:val="auto"/>
              </w:rPr>
            </w:pPr>
            <w:r>
              <w:rPr>
                <w:rFonts w:ascii="Arial" w:cs="Arial" w:eastAsia="Arial" w:hAnsi="Arial"/>
                <w:sz w:val="18"/>
                <w:szCs w:val="18"/>
                <w:color w:val="auto"/>
              </w:rPr>
              <w:t>Director</w:t>
            </w:r>
          </w:p>
        </w:tc>
        <w:tc>
          <w:tcPr>
            <w:tcW w:w="2320" w:type="dxa"/>
            <w:vAlign w:val="bottom"/>
          </w:tcPr>
          <w:p>
            <w:pPr>
              <w:ind w:left="1300"/>
              <w:spacing w:after="0"/>
              <w:rPr>
                <w:sz w:val="20"/>
                <w:szCs w:val="20"/>
                <w:color w:val="auto"/>
              </w:rPr>
            </w:pPr>
            <w:r>
              <w:rPr>
                <w:rFonts w:ascii="Arial" w:cs="Arial" w:eastAsia="Arial" w:hAnsi="Arial"/>
                <w:sz w:val="18"/>
                <w:szCs w:val="18"/>
                <w:color w:val="auto"/>
                <w:w w:val="87"/>
              </w:rPr>
              <w:t>June 23, 2023</w:t>
            </w:r>
          </w:p>
        </w:tc>
      </w:tr>
      <w:tr>
        <w:trPr>
          <w:trHeight w:val="224"/>
        </w:trPr>
        <w:tc>
          <w:tcPr>
            <w:tcW w:w="4180" w:type="dxa"/>
            <w:vAlign w:val="bottom"/>
          </w:tcPr>
          <w:p>
            <w:pPr>
              <w:spacing w:after="0"/>
              <w:rPr>
                <w:sz w:val="20"/>
                <w:szCs w:val="20"/>
                <w:color w:val="auto"/>
              </w:rPr>
            </w:pPr>
            <w:r>
              <w:rPr>
                <w:rFonts w:ascii="Arial" w:cs="Arial" w:eastAsia="Arial" w:hAnsi="Arial"/>
                <w:sz w:val="18"/>
                <w:szCs w:val="18"/>
                <w:color w:val="auto"/>
              </w:rPr>
              <w:t>Liz Chung</w:t>
            </w:r>
          </w:p>
        </w:tc>
        <w:tc>
          <w:tcPr>
            <w:tcW w:w="4140" w:type="dxa"/>
            <w:vAlign w:val="bottom"/>
          </w:tcPr>
          <w:p>
            <w:pPr>
              <w:spacing w:after="0"/>
              <w:rPr>
                <w:sz w:val="19"/>
                <w:szCs w:val="19"/>
                <w:color w:val="auto"/>
              </w:rPr>
            </w:pPr>
          </w:p>
        </w:tc>
        <w:tc>
          <w:tcPr>
            <w:tcW w:w="2320" w:type="dxa"/>
            <w:vAlign w:val="bottom"/>
          </w:tcPr>
          <w:p>
            <w:pPr>
              <w:spacing w:after="0"/>
              <w:rPr>
                <w:sz w:val="19"/>
                <w:szCs w:val="19"/>
                <w:color w:val="auto"/>
              </w:rPr>
            </w:pPr>
          </w:p>
        </w:tc>
      </w:tr>
      <w:tr>
        <w:trPr>
          <w:trHeight w:val="445"/>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Camillo Martino</w:t>
            </w:r>
          </w:p>
        </w:tc>
        <w:tc>
          <w:tcPr>
            <w:tcW w:w="4140" w:type="dxa"/>
            <w:vAlign w:val="bottom"/>
          </w:tcPr>
          <w:p>
            <w:pPr>
              <w:ind w:left="2240"/>
              <w:spacing w:after="0"/>
              <w:rPr>
                <w:sz w:val="20"/>
                <w:szCs w:val="20"/>
                <w:color w:val="auto"/>
              </w:rPr>
            </w:pPr>
            <w:r>
              <w:rPr>
                <w:rFonts w:ascii="Arial" w:cs="Arial" w:eastAsia="Arial" w:hAnsi="Arial"/>
                <w:sz w:val="18"/>
                <w:szCs w:val="18"/>
                <w:color w:val="auto"/>
              </w:rPr>
              <w:t>Director</w:t>
            </w:r>
          </w:p>
        </w:tc>
        <w:tc>
          <w:tcPr>
            <w:tcW w:w="2320" w:type="dxa"/>
            <w:vAlign w:val="bottom"/>
          </w:tcPr>
          <w:p>
            <w:pPr>
              <w:ind w:left="1300"/>
              <w:spacing w:after="0"/>
              <w:rPr>
                <w:sz w:val="20"/>
                <w:szCs w:val="20"/>
                <w:color w:val="auto"/>
              </w:rPr>
            </w:pPr>
            <w:r>
              <w:rPr>
                <w:rFonts w:ascii="Arial" w:cs="Arial" w:eastAsia="Arial" w:hAnsi="Arial"/>
                <w:sz w:val="18"/>
                <w:szCs w:val="18"/>
                <w:color w:val="auto"/>
                <w:w w:val="87"/>
              </w:rPr>
              <w:t>June 23, 2023</w:t>
            </w:r>
          </w:p>
        </w:tc>
      </w:tr>
      <w:tr>
        <w:trPr>
          <w:trHeight w:val="224"/>
        </w:trPr>
        <w:tc>
          <w:tcPr>
            <w:tcW w:w="4180" w:type="dxa"/>
            <w:vAlign w:val="bottom"/>
          </w:tcPr>
          <w:p>
            <w:pPr>
              <w:spacing w:after="0"/>
              <w:rPr>
                <w:sz w:val="20"/>
                <w:szCs w:val="20"/>
                <w:color w:val="auto"/>
              </w:rPr>
            </w:pPr>
            <w:r>
              <w:rPr>
                <w:rFonts w:ascii="Arial" w:cs="Arial" w:eastAsia="Arial" w:hAnsi="Arial"/>
                <w:sz w:val="18"/>
                <w:szCs w:val="18"/>
                <w:color w:val="auto"/>
              </w:rPr>
              <w:t>Camillo Martino</w:t>
            </w:r>
          </w:p>
        </w:tc>
        <w:tc>
          <w:tcPr>
            <w:tcW w:w="4140" w:type="dxa"/>
            <w:vAlign w:val="bottom"/>
          </w:tcPr>
          <w:p>
            <w:pPr>
              <w:spacing w:after="0"/>
              <w:rPr>
                <w:sz w:val="19"/>
                <w:szCs w:val="19"/>
                <w:color w:val="auto"/>
              </w:rPr>
            </w:pPr>
          </w:p>
        </w:tc>
        <w:tc>
          <w:tcPr>
            <w:tcW w:w="232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Gilbert Nathan</w:t>
            </w:r>
          </w:p>
        </w:tc>
        <w:tc>
          <w:tcPr>
            <w:tcW w:w="4140" w:type="dxa"/>
            <w:vAlign w:val="bottom"/>
          </w:tcPr>
          <w:p>
            <w:pPr>
              <w:ind w:left="2240"/>
              <w:spacing w:after="0"/>
              <w:rPr>
                <w:sz w:val="20"/>
                <w:szCs w:val="20"/>
                <w:color w:val="auto"/>
              </w:rPr>
            </w:pPr>
            <w:r>
              <w:rPr>
                <w:rFonts w:ascii="Arial" w:cs="Arial" w:eastAsia="Arial" w:hAnsi="Arial"/>
                <w:sz w:val="18"/>
                <w:szCs w:val="18"/>
                <w:color w:val="auto"/>
              </w:rPr>
              <w:t>Director</w:t>
            </w:r>
          </w:p>
        </w:tc>
        <w:tc>
          <w:tcPr>
            <w:tcW w:w="2320" w:type="dxa"/>
            <w:vAlign w:val="bottom"/>
          </w:tcPr>
          <w:p>
            <w:pPr>
              <w:ind w:left="1300"/>
              <w:spacing w:after="0"/>
              <w:rPr>
                <w:sz w:val="20"/>
                <w:szCs w:val="20"/>
                <w:color w:val="auto"/>
              </w:rPr>
            </w:pPr>
            <w:r>
              <w:rPr>
                <w:rFonts w:ascii="Arial" w:cs="Arial" w:eastAsia="Arial" w:hAnsi="Arial"/>
                <w:sz w:val="18"/>
                <w:szCs w:val="18"/>
                <w:color w:val="auto"/>
                <w:w w:val="87"/>
              </w:rPr>
              <w:t>June 23, 2023</w:t>
            </w:r>
          </w:p>
        </w:tc>
      </w:tr>
      <w:tr>
        <w:trPr>
          <w:trHeight w:val="224"/>
        </w:trPr>
        <w:tc>
          <w:tcPr>
            <w:tcW w:w="4180" w:type="dxa"/>
            <w:vAlign w:val="bottom"/>
          </w:tcPr>
          <w:p>
            <w:pPr>
              <w:spacing w:after="0"/>
              <w:rPr>
                <w:sz w:val="20"/>
                <w:szCs w:val="20"/>
                <w:color w:val="auto"/>
              </w:rPr>
            </w:pPr>
            <w:r>
              <w:rPr>
                <w:rFonts w:ascii="Arial" w:cs="Arial" w:eastAsia="Arial" w:hAnsi="Arial"/>
                <w:sz w:val="18"/>
                <w:szCs w:val="18"/>
                <w:color w:val="auto"/>
              </w:rPr>
              <w:t>Gilbert Nathan</w:t>
            </w:r>
          </w:p>
        </w:tc>
        <w:tc>
          <w:tcPr>
            <w:tcW w:w="4140" w:type="dxa"/>
            <w:vAlign w:val="bottom"/>
          </w:tcPr>
          <w:p>
            <w:pPr>
              <w:spacing w:after="0"/>
              <w:rPr>
                <w:sz w:val="19"/>
                <w:szCs w:val="19"/>
                <w:color w:val="auto"/>
              </w:rPr>
            </w:pPr>
          </w:p>
        </w:tc>
        <w:tc>
          <w:tcPr>
            <w:tcW w:w="2320" w:type="dxa"/>
            <w:vAlign w:val="bottom"/>
          </w:tcPr>
          <w:p>
            <w:pPr>
              <w:spacing w:after="0"/>
              <w:rPr>
                <w:sz w:val="19"/>
                <w:szCs w:val="19"/>
                <w:color w:val="auto"/>
              </w:rPr>
            </w:pPr>
          </w:p>
        </w:tc>
      </w:tr>
    </w:tbl>
    <w:p>
      <w:pPr>
        <w:sectPr>
          <w:pgSz w:w="11900" w:h="16838" w:orient="portrait"/>
          <w:cols w:equalWidth="0" w:num="1">
            <w:col w:w="10640"/>
          </w:cols>
          <w:pgMar w:left="440" w:top="490" w:right="81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5.1</w:t>
      </w:r>
    </w:p>
    <w:p>
      <w:pPr>
        <w:spacing w:after="0" w:line="256" w:lineRule="exact"/>
        <w:rPr>
          <w:sz w:val="20"/>
          <w:szCs w:val="20"/>
          <w:color w:val="auto"/>
        </w:rPr>
      </w:pPr>
    </w:p>
    <w:p>
      <w:pPr>
        <w:ind w:left="7600"/>
        <w:spacing w:after="0"/>
        <w:rPr>
          <w:sz w:val="20"/>
          <w:szCs w:val="20"/>
          <w:color w:val="auto"/>
        </w:rPr>
      </w:pPr>
      <w:r>
        <w:rPr>
          <w:rFonts w:ascii="Arial" w:cs="Arial" w:eastAsia="Arial" w:hAnsi="Arial"/>
          <w:sz w:val="18"/>
          <w:szCs w:val="18"/>
          <w:color w:val="auto"/>
        </w:rPr>
        <w:t>Goodwin Procter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1791335" cy="4972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1791335" cy="497205"/>
                    </a:xfrm>
                    <a:prstGeom prst="rect">
                      <a:avLst/>
                    </a:prstGeom>
                    <a:noFill/>
                  </pic:spPr>
                </pic:pic>
              </a:graphicData>
            </a:graphic>
          </wp:anchor>
        </w:drawing>
      </w:r>
    </w:p>
    <w:p>
      <w:pPr>
        <w:spacing w:after="0" w:line="3" w:lineRule="exact"/>
        <w:rPr>
          <w:sz w:val="20"/>
          <w:szCs w:val="20"/>
          <w:color w:val="auto"/>
        </w:rPr>
      </w:pPr>
    </w:p>
    <w:p>
      <w:pPr>
        <w:ind w:left="7600"/>
        <w:spacing w:after="0"/>
        <w:rPr>
          <w:sz w:val="20"/>
          <w:szCs w:val="20"/>
          <w:color w:val="auto"/>
        </w:rPr>
      </w:pPr>
      <w:r>
        <w:rPr>
          <w:rFonts w:ascii="Arial" w:cs="Arial" w:eastAsia="Arial" w:hAnsi="Arial"/>
          <w:sz w:val="18"/>
          <w:szCs w:val="18"/>
          <w:color w:val="auto"/>
        </w:rPr>
        <w:t>601 Marshall St.</w:t>
      </w:r>
    </w:p>
    <w:p>
      <w:pPr>
        <w:spacing w:after="0" w:line="9" w:lineRule="exact"/>
        <w:rPr>
          <w:sz w:val="20"/>
          <w:szCs w:val="20"/>
          <w:color w:val="auto"/>
        </w:rPr>
      </w:pPr>
    </w:p>
    <w:p>
      <w:pPr>
        <w:ind w:left="7600"/>
        <w:spacing w:after="0"/>
        <w:rPr>
          <w:sz w:val="20"/>
          <w:szCs w:val="20"/>
          <w:color w:val="auto"/>
        </w:rPr>
      </w:pPr>
      <w:r>
        <w:rPr>
          <w:rFonts w:ascii="Arial" w:cs="Arial" w:eastAsia="Arial" w:hAnsi="Arial"/>
          <w:sz w:val="18"/>
          <w:szCs w:val="18"/>
          <w:color w:val="auto"/>
        </w:rPr>
        <w:t>Redwood City, CA 94063</w:t>
      </w:r>
    </w:p>
    <w:p>
      <w:pPr>
        <w:spacing w:after="0" w:line="130" w:lineRule="exact"/>
        <w:rPr>
          <w:sz w:val="20"/>
          <w:szCs w:val="20"/>
          <w:color w:val="auto"/>
        </w:rPr>
      </w:pPr>
    </w:p>
    <w:p>
      <w:pPr>
        <w:ind w:left="7600"/>
        <w:spacing w:after="0"/>
        <w:rPr>
          <w:sz w:val="20"/>
          <w:szCs w:val="20"/>
          <w:color w:val="auto"/>
        </w:rPr>
      </w:pPr>
      <w:r>
        <w:rPr>
          <w:rFonts w:ascii="Arial" w:cs="Arial" w:eastAsia="Arial" w:hAnsi="Arial"/>
          <w:sz w:val="18"/>
          <w:szCs w:val="18"/>
          <w:color w:val="auto"/>
        </w:rPr>
        <w:t>goodwinlaw.com</w:t>
      </w:r>
    </w:p>
    <w:p>
      <w:pPr>
        <w:spacing w:after="0" w:line="23" w:lineRule="exact"/>
        <w:rPr>
          <w:sz w:val="20"/>
          <w:szCs w:val="20"/>
          <w:color w:val="auto"/>
        </w:rPr>
      </w:pPr>
    </w:p>
    <w:p>
      <w:pPr>
        <w:ind w:left="7600"/>
        <w:spacing w:after="0"/>
        <w:rPr>
          <w:sz w:val="20"/>
          <w:szCs w:val="20"/>
          <w:color w:val="auto"/>
        </w:rPr>
      </w:pPr>
      <w:r>
        <w:rPr>
          <w:rFonts w:ascii="Arial" w:cs="Arial" w:eastAsia="Arial" w:hAnsi="Arial"/>
          <w:sz w:val="18"/>
          <w:szCs w:val="18"/>
          <w:color w:val="auto"/>
        </w:rPr>
        <w:t>+1 650 752 3100</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June 23,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Magnachip Semiconductor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15F, 76 Jikji-daero 436beon-gil, Heungdeok-gu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Cheongju-si, Chungcheongbuk-do, 28581, Republic of Korea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Securities Being Registered under Registration Statement on Form S-8</w:t>
      </w:r>
    </w:p>
    <w:p>
      <w:pPr>
        <w:spacing w:after="0" w:line="225"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color w:val="auto"/>
        </w:rPr>
        <w:t>We have acted as counsel to you in connection with your filing of a Registration Statement on Form S-8 (the “Registration Statement”) pursuant to the Securities Act of 1933, as amended (the “Securities Act”), on or about the date hereof relating to an aggregate of 1,990,000 shares (the “Shares”) of Common Stock, $0.01 par value per share (“Common Stock”), of Magnachip Semiconductor Corporation, a Delaware corporation (the “Company”), that may be issued pursuant to the Company’s Amended and Restated 2020 Equity and Incentive Compensation Plan (the “Plan”).</w:t>
      </w:r>
    </w:p>
    <w:p>
      <w:pPr>
        <w:spacing w:after="0" w:line="15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We have reviewed such documents and made such examination of law as we have deemed appropriate to give the opinions set forth below. We have relied, without independent verification, on certificates of public officials and, as to matters of fact material to the opinion set forth below, on certificates of officers of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opinion set forth below is limited to the Delaware General Corporation Law.</w:t>
      </w:r>
    </w:p>
    <w:p>
      <w:pPr>
        <w:spacing w:after="0" w:line="225"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For purposes of the opinion set forth below, we have assumed that no event occurs that causes the number of authorized shares of Common Stock available for issuance by the Company to be less than the number of then unissued Shares.</w:t>
      </w:r>
    </w:p>
    <w:p>
      <w:pPr>
        <w:spacing w:after="0" w:line="17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Based on the foregoing, we are of the opinion that the Shares have been duly authorized and, upon issuance and delivery against payment therefor in accordance with the terms of the Plan, will be validly issued, fully paid and nonassessable.</w:t>
      </w:r>
    </w:p>
    <w:p>
      <w:pPr>
        <w:spacing w:after="0" w:line="1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 xml:space="preserve">This opinion letter and the opinion it contains shall be interpreted in accordance with the Core Opinion Principles as published in 74 </w:t>
      </w:r>
      <w:r>
        <w:rPr>
          <w:rFonts w:ascii="Arial" w:cs="Arial" w:eastAsia="Arial" w:hAnsi="Arial"/>
          <w:sz w:val="18"/>
          <w:szCs w:val="18"/>
          <w:i w:val="1"/>
          <w:iCs w:val="1"/>
          <w:color w:val="auto"/>
        </w:rPr>
        <w:t>Business Lawyer</w:t>
      </w:r>
      <w:r>
        <w:rPr>
          <w:rFonts w:ascii="Arial" w:cs="Arial" w:eastAsia="Arial" w:hAnsi="Arial"/>
          <w:sz w:val="18"/>
          <w:szCs w:val="18"/>
          <w:color w:val="auto"/>
        </w:rPr>
        <w:t xml:space="preserve"> 815 (Summer 2019).</w:t>
      </w:r>
    </w:p>
    <w:p>
      <w:pPr>
        <w:spacing w:after="0" w:line="170"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We hereby consent to the inclusion of this opinion as Exhibit 5.1 to the Registration Statement. In giving our consent, we do not admit that we are in the category of persons whose consent is required under Section 7 of the Securities Act or the rules and regulations thereunder.</w:t>
      </w:r>
    </w:p>
    <w:p>
      <w:pPr>
        <w:spacing w:after="0" w:line="17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/s/ Goodwin Procter LLP</w:t>
      </w:r>
    </w:p>
    <w:p>
      <w:pPr>
        <w:spacing w:after="0" w:line="225"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GOODWIN PROCTER LLP</w:t>
      </w:r>
    </w:p>
    <w:p>
      <w:pPr>
        <w:sectPr>
          <w:pgSz w:w="11900" w:h="16838" w:orient="portrait"/>
          <w:cols w:equalWidth="0" w:num="1">
            <w:col w:w="11020"/>
          </w:cols>
          <w:pgMar w:left="440" w:top="121" w:right="4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23.2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We hereby consent to the incorporation by reference in this Registration Statement on Form S-8 of Magnachip Semiconductor Corporation of our report dated February 22, 2023 relating to the financial statements and the effectiveness of internal control over financial reporting, which appears in Magnachip Semiconductor Corporation’s Annual Report on Form 10-K for the year ended December 31, 2022.</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/s/ Samil PricewaterhouseCoopers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Seoul, Republic of Korea</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June 23, 2023</w:t>
      </w:r>
    </w:p>
    <w:p>
      <w:pPr>
        <w:sectPr>
          <w:pgSz w:w="11900" w:h="16838" w:orient="portrait"/>
          <w:cols w:equalWidth="0" w:num="1">
            <w:col w:w="11020"/>
          </w:cols>
          <w:pgMar w:left="440" w:top="121" w:right="4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107</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Calculation of Filing Fee Tables</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Form S-8</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(Form Type)</w:t>
      </w:r>
    </w:p>
    <w:p>
      <w:pPr>
        <w:spacing w:after="0" w:line="20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Magnachip Semiconductor Corporation</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(Exact Name of Registrant as Specified in its Charter)</w:t>
      </w:r>
    </w:p>
    <w:p>
      <w:pPr>
        <w:spacing w:after="0" w:line="20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Table 1: Newly Registered Securities</w:t>
      </w:r>
    </w:p>
    <w:p>
      <w:pPr>
        <w:spacing w:after="0" w:line="250" w:lineRule="exact"/>
        <w:rPr>
          <w:sz w:val="20"/>
          <w:szCs w:val="20"/>
          <w:color w:val="auto"/>
        </w:rPr>
      </w:pPr>
    </w:p>
    <w:tbl>
      <w:tblPr>
        <w:tblLayout w:type="fixed"/>
        <w:tblInd w:w="1334" w:type="dxa"/>
        <w:tblCellMar>
          <w:top w:w="0" w:type="dxa"/>
          <w:left w:w="0" w:type="dxa"/>
          <w:bottom w:w="0" w:type="dxa"/>
          <w:right w:w="0" w:type="dxa"/>
        </w:tblCellMar>
      </w:tblPr>
      <w:tr>
        <w:trPr>
          <w:trHeight w:val="144"/>
        </w:trPr>
        <w:tc>
          <w:tcPr>
            <w:tcW w:w="1300" w:type="dxa"/>
            <w:vAlign w:val="bottom"/>
            <w:tcBorders>
              <w:top w:val="single" w:sz="8" w:color="auto"/>
              <w:left w:val="single" w:sz="8" w:color="auto"/>
            </w:tcBorders>
          </w:tcPr>
          <w:p>
            <w:pPr>
              <w:spacing w:after="0"/>
              <w:rPr>
                <w:sz w:val="12"/>
                <w:szCs w:val="12"/>
                <w:color w:val="auto"/>
              </w:rPr>
            </w:pPr>
          </w:p>
        </w:tc>
        <w:tc>
          <w:tcPr>
            <w:tcW w:w="320" w:type="dxa"/>
            <w:vAlign w:val="bottom"/>
            <w:tcBorders>
              <w:top w:val="single" w:sz="8" w:color="auto"/>
              <w:right w:val="single" w:sz="8" w:color="auto"/>
            </w:tcBorders>
          </w:tcPr>
          <w:p>
            <w:pPr>
              <w:spacing w:after="0"/>
              <w:rPr>
                <w:sz w:val="12"/>
                <w:szCs w:val="12"/>
                <w:color w:val="auto"/>
              </w:rPr>
            </w:pPr>
          </w:p>
        </w:tc>
        <w:tc>
          <w:tcPr>
            <w:tcW w:w="820" w:type="dxa"/>
            <w:vAlign w:val="bottom"/>
            <w:tcBorders>
              <w:top w:val="single" w:sz="8" w:color="auto"/>
              <w:right w:val="single" w:sz="8" w:color="auto"/>
            </w:tcBorders>
          </w:tcPr>
          <w:p>
            <w:pPr>
              <w:spacing w:after="0"/>
              <w:rPr>
                <w:sz w:val="12"/>
                <w:szCs w:val="12"/>
                <w:color w:val="auto"/>
              </w:rPr>
            </w:pPr>
          </w:p>
        </w:tc>
        <w:tc>
          <w:tcPr>
            <w:tcW w:w="760" w:type="dxa"/>
            <w:vAlign w:val="bottom"/>
            <w:tcBorders>
              <w:top w:val="single" w:sz="8" w:color="auto"/>
              <w:right w:val="single" w:sz="8" w:color="auto"/>
            </w:tcBorders>
          </w:tcPr>
          <w:p>
            <w:pPr>
              <w:spacing w:after="0"/>
              <w:rPr>
                <w:sz w:val="12"/>
                <w:szCs w:val="12"/>
                <w:color w:val="auto"/>
              </w:rPr>
            </w:pPr>
          </w:p>
        </w:tc>
        <w:tc>
          <w:tcPr>
            <w:tcW w:w="1080" w:type="dxa"/>
            <w:vAlign w:val="bottom"/>
            <w:tcBorders>
              <w:top w:val="single" w:sz="8" w:color="auto"/>
              <w:right w:val="single" w:sz="8" w:color="auto"/>
            </w:tcBorders>
          </w:tcPr>
          <w:p>
            <w:pPr>
              <w:spacing w:after="0"/>
              <w:rPr>
                <w:sz w:val="12"/>
                <w:szCs w:val="12"/>
                <w:color w:val="auto"/>
              </w:rPr>
            </w:pPr>
          </w:p>
        </w:tc>
        <w:tc>
          <w:tcPr>
            <w:tcW w:w="840" w:type="dxa"/>
            <w:vAlign w:val="bottom"/>
            <w:tcBorders>
              <w:top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w w:val="83"/>
              </w:rPr>
              <w:t>Proposed</w:t>
            </w:r>
          </w:p>
        </w:tc>
        <w:tc>
          <w:tcPr>
            <w:tcW w:w="1340" w:type="dxa"/>
            <w:vAlign w:val="bottom"/>
            <w:tcBorders>
              <w:top w:val="single" w:sz="8" w:color="auto"/>
              <w:right w:val="single" w:sz="8" w:color="auto"/>
            </w:tcBorders>
          </w:tcPr>
          <w:p>
            <w:pPr>
              <w:spacing w:after="0"/>
              <w:rPr>
                <w:sz w:val="12"/>
                <w:szCs w:val="12"/>
                <w:color w:val="auto"/>
              </w:rPr>
            </w:pPr>
          </w:p>
        </w:tc>
        <w:tc>
          <w:tcPr>
            <w:tcW w:w="1000" w:type="dxa"/>
            <w:vAlign w:val="bottom"/>
            <w:tcBorders>
              <w:top w:val="single" w:sz="8" w:color="auto"/>
              <w:right w:val="single" w:sz="8" w:color="auto"/>
            </w:tcBorders>
          </w:tcPr>
          <w:p>
            <w:pPr>
              <w:spacing w:after="0"/>
              <w:rPr>
                <w:sz w:val="12"/>
                <w:szCs w:val="12"/>
                <w:color w:val="auto"/>
              </w:rPr>
            </w:pPr>
          </w:p>
        </w:tc>
        <w:tc>
          <w:tcPr>
            <w:tcW w:w="920" w:type="dxa"/>
            <w:vAlign w:val="bottom"/>
            <w:tcBorders>
              <w:top w:val="single" w:sz="8" w:color="auto"/>
              <w:right w:val="single" w:sz="8" w:color="auto"/>
            </w:tcBorders>
          </w:tcPr>
          <w:p>
            <w:pPr>
              <w:spacing w:after="0"/>
              <w:rPr>
                <w:sz w:val="12"/>
                <w:szCs w:val="12"/>
                <w:color w:val="auto"/>
              </w:rPr>
            </w:pPr>
          </w:p>
        </w:tc>
      </w:tr>
      <w:tr>
        <w:trPr>
          <w:trHeight w:val="135"/>
        </w:trPr>
        <w:tc>
          <w:tcPr>
            <w:tcW w:w="1300" w:type="dxa"/>
            <w:vAlign w:val="bottom"/>
            <w:tcBorders>
              <w:left w:val="single" w:sz="8" w:color="auto"/>
            </w:tcBorders>
          </w:tcPr>
          <w:p>
            <w:pPr>
              <w:spacing w:after="0"/>
              <w:rPr>
                <w:sz w:val="11"/>
                <w:szCs w:val="11"/>
                <w:color w:val="auto"/>
              </w:rPr>
            </w:pPr>
          </w:p>
        </w:tc>
        <w:tc>
          <w:tcPr>
            <w:tcW w:w="32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108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3"/>
              </w:rPr>
              <w:t>Maximum</w:t>
            </w:r>
          </w:p>
        </w:tc>
        <w:tc>
          <w:tcPr>
            <w:tcW w:w="13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9"/>
              </w:rPr>
              <w:t>Maximum</w:t>
            </w:r>
          </w:p>
        </w:tc>
        <w:tc>
          <w:tcPr>
            <w:tcW w:w="100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r>
      <w:tr>
        <w:trPr>
          <w:trHeight w:val="135"/>
        </w:trPr>
        <w:tc>
          <w:tcPr>
            <w:tcW w:w="1300" w:type="dxa"/>
            <w:vAlign w:val="bottom"/>
            <w:tcBorders>
              <w:left w:val="single" w:sz="8" w:color="auto"/>
            </w:tcBorders>
          </w:tcPr>
          <w:p>
            <w:pPr>
              <w:spacing w:after="0"/>
              <w:rPr>
                <w:sz w:val="11"/>
                <w:szCs w:val="11"/>
                <w:color w:val="auto"/>
              </w:rPr>
            </w:pPr>
          </w:p>
        </w:tc>
        <w:tc>
          <w:tcPr>
            <w:tcW w:w="32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9"/>
              </w:rPr>
              <w:t>Security</w:t>
            </w:r>
          </w:p>
        </w:tc>
        <w:tc>
          <w:tcPr>
            <w:tcW w:w="7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9"/>
              </w:rPr>
              <w:t>Fee</w:t>
            </w:r>
          </w:p>
        </w:tc>
        <w:tc>
          <w:tcPr>
            <w:tcW w:w="108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0"/>
              </w:rPr>
              <w:t>Offering</w:t>
            </w:r>
          </w:p>
        </w:tc>
        <w:tc>
          <w:tcPr>
            <w:tcW w:w="13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3"/>
              </w:rPr>
              <w:t>Aggregate</w:t>
            </w:r>
          </w:p>
        </w:tc>
        <w:tc>
          <w:tcPr>
            <w:tcW w:w="100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9"/>
              </w:rPr>
              <w:t>Amount of</w:t>
            </w:r>
          </w:p>
        </w:tc>
      </w:tr>
      <w:tr>
        <w:trPr>
          <w:trHeight w:val="135"/>
        </w:trPr>
        <w:tc>
          <w:tcPr>
            <w:tcW w:w="1300" w:type="dxa"/>
            <w:vAlign w:val="bottom"/>
            <w:tcBorders>
              <w:left w:val="single" w:sz="8" w:color="auto"/>
            </w:tcBorders>
          </w:tcPr>
          <w:p>
            <w:pPr>
              <w:spacing w:after="0"/>
              <w:rPr>
                <w:sz w:val="11"/>
                <w:szCs w:val="11"/>
                <w:color w:val="auto"/>
              </w:rPr>
            </w:pPr>
          </w:p>
        </w:tc>
        <w:tc>
          <w:tcPr>
            <w:tcW w:w="32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6"/>
              </w:rPr>
              <w:t>Class</w:t>
            </w:r>
          </w:p>
        </w:tc>
        <w:tc>
          <w:tcPr>
            <w:tcW w:w="7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8"/>
              </w:rPr>
              <w:t>Calculation</w:t>
            </w:r>
          </w:p>
        </w:tc>
        <w:tc>
          <w:tcPr>
            <w:tcW w:w="1080" w:type="dxa"/>
            <w:vAlign w:val="bottom"/>
            <w:tcBorders>
              <w:right w:val="single" w:sz="8" w:color="auto"/>
            </w:tcBorders>
          </w:tcPr>
          <w:p>
            <w:pPr>
              <w:ind w:left="340"/>
              <w:spacing w:after="0" w:line="135" w:lineRule="exact"/>
              <w:rPr>
                <w:sz w:val="20"/>
                <w:szCs w:val="20"/>
                <w:color w:val="auto"/>
              </w:rPr>
            </w:pPr>
            <w:r>
              <w:rPr>
                <w:rFonts w:ascii="Arial" w:cs="Arial" w:eastAsia="Arial" w:hAnsi="Arial"/>
                <w:sz w:val="13"/>
                <w:szCs w:val="13"/>
                <w:b w:val="1"/>
                <w:bCs w:val="1"/>
                <w:color w:val="auto"/>
              </w:rPr>
              <w:t>Amount</w:t>
            </w:r>
          </w:p>
        </w:tc>
        <w:tc>
          <w:tcPr>
            <w:tcW w:w="8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8"/>
              </w:rPr>
              <w:t>Price Per</w:t>
            </w:r>
          </w:p>
        </w:tc>
        <w:tc>
          <w:tcPr>
            <w:tcW w:w="13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0"/>
              </w:rPr>
              <w:t>Offering</w:t>
            </w:r>
          </w:p>
        </w:tc>
        <w:tc>
          <w:tcPr>
            <w:tcW w:w="10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9"/>
              </w:rPr>
              <w:t>Fee</w:t>
            </w:r>
          </w:p>
        </w:tc>
        <w:tc>
          <w:tcPr>
            <w:tcW w:w="9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6"/>
              </w:rPr>
              <w:t>Registration</w:t>
            </w:r>
          </w:p>
        </w:tc>
      </w:tr>
      <w:tr>
        <w:trPr>
          <w:trHeight w:val="187"/>
        </w:trPr>
        <w:tc>
          <w:tcPr>
            <w:tcW w:w="1300" w:type="dxa"/>
            <w:vAlign w:val="bottom"/>
            <w:tcBorders>
              <w:left w:val="single" w:sz="8" w:color="auto"/>
              <w:bottom w:val="single" w:sz="8" w:color="auto"/>
            </w:tcBorders>
          </w:tcPr>
          <w:p>
            <w:pPr>
              <w:jc w:val="center"/>
              <w:ind w:left="364"/>
              <w:spacing w:after="0"/>
              <w:rPr>
                <w:sz w:val="20"/>
                <w:szCs w:val="20"/>
                <w:color w:val="auto"/>
              </w:rPr>
            </w:pPr>
            <w:r>
              <w:rPr>
                <w:rFonts w:ascii="Arial" w:cs="Arial" w:eastAsia="Arial" w:hAnsi="Arial"/>
                <w:sz w:val="13"/>
                <w:szCs w:val="13"/>
                <w:b w:val="1"/>
                <w:bCs w:val="1"/>
                <w:color w:val="auto"/>
                <w:w w:val="86"/>
              </w:rPr>
              <w:t>Security Type</w:t>
            </w:r>
          </w:p>
        </w:tc>
        <w:tc>
          <w:tcPr>
            <w:tcW w:w="32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Title</w:t>
            </w:r>
          </w:p>
        </w:tc>
        <w:tc>
          <w:tcPr>
            <w:tcW w:w="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Rule</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Registered(1)</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Unit</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1"/>
              </w:rPr>
              <w:t>Price</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Rate</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Fee</w:t>
            </w:r>
          </w:p>
        </w:tc>
      </w:tr>
      <w:tr>
        <w:trPr>
          <w:trHeight w:val="215"/>
        </w:trPr>
        <w:tc>
          <w:tcPr>
            <w:tcW w:w="1300" w:type="dxa"/>
            <w:vAlign w:val="bottom"/>
            <w:tcBorders>
              <w:left w:val="single" w:sz="8" w:color="auto"/>
            </w:tcBorders>
          </w:tcPr>
          <w:p>
            <w:pPr>
              <w:jc w:val="center"/>
              <w:ind w:left="384"/>
              <w:spacing w:after="0"/>
              <w:rPr>
                <w:sz w:val="20"/>
                <w:szCs w:val="20"/>
                <w:color w:val="auto"/>
              </w:rPr>
            </w:pPr>
            <w:r>
              <w:rPr>
                <w:rFonts w:ascii="Arial" w:cs="Arial" w:eastAsia="Arial" w:hAnsi="Arial"/>
                <w:sz w:val="18"/>
                <w:szCs w:val="18"/>
                <w:color w:val="auto"/>
                <w:w w:val="95"/>
              </w:rPr>
              <w:t>Equity</w:t>
            </w:r>
          </w:p>
        </w:tc>
        <w:tc>
          <w:tcPr>
            <w:tcW w:w="32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Common</w:t>
            </w:r>
          </w:p>
        </w:tc>
        <w:tc>
          <w:tcPr>
            <w:tcW w:w="76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r>
      <w:tr>
        <w:trPr>
          <w:trHeight w:val="216"/>
        </w:trPr>
        <w:tc>
          <w:tcPr>
            <w:tcW w:w="1300" w:type="dxa"/>
            <w:vAlign w:val="bottom"/>
            <w:tcBorders>
              <w:left w:val="single" w:sz="8" w:color="auto"/>
            </w:tcBorders>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stock,</w:t>
            </w:r>
          </w:p>
        </w:tc>
        <w:tc>
          <w:tcPr>
            <w:tcW w:w="76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r>
      <w:tr>
        <w:trPr>
          <w:trHeight w:val="216"/>
        </w:trPr>
        <w:tc>
          <w:tcPr>
            <w:tcW w:w="1300" w:type="dxa"/>
            <w:vAlign w:val="bottom"/>
            <w:tcBorders>
              <w:left w:val="single" w:sz="8" w:color="auto"/>
            </w:tcBorders>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par value</w:t>
            </w:r>
          </w:p>
        </w:tc>
        <w:tc>
          <w:tcPr>
            <w:tcW w:w="76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r>
      <w:tr>
        <w:trPr>
          <w:trHeight w:val="216"/>
        </w:trPr>
        <w:tc>
          <w:tcPr>
            <w:tcW w:w="1300" w:type="dxa"/>
            <w:vAlign w:val="bottom"/>
            <w:tcBorders>
              <w:left w:val="single" w:sz="8" w:color="auto"/>
            </w:tcBorders>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$0.01 per</w:t>
            </w:r>
          </w:p>
        </w:tc>
        <w:tc>
          <w:tcPr>
            <w:tcW w:w="76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r>
      <w:tr>
        <w:trPr>
          <w:trHeight w:val="251"/>
        </w:trPr>
        <w:tc>
          <w:tcPr>
            <w:tcW w:w="1300" w:type="dxa"/>
            <w:vAlign w:val="bottom"/>
            <w:tcBorders>
              <w:left w:val="single" w:sz="8" w:color="auto"/>
              <w:bottom w:val="single" w:sz="8" w:color="auto"/>
            </w:tcBorders>
          </w:tcPr>
          <w:p>
            <w:pPr>
              <w:spacing w:after="0"/>
              <w:rPr>
                <w:sz w:val="21"/>
                <w:szCs w:val="21"/>
                <w:color w:val="auto"/>
              </w:rPr>
            </w:pPr>
          </w:p>
        </w:tc>
        <w:tc>
          <w:tcPr>
            <w:tcW w:w="320" w:type="dxa"/>
            <w:vAlign w:val="bottom"/>
            <w:tcBorders>
              <w:bottom w:val="single" w:sz="8" w:color="auto"/>
              <w:right w:val="single" w:sz="8" w:color="auto"/>
            </w:tcBorders>
          </w:tcPr>
          <w:p>
            <w:pPr>
              <w:spacing w:after="0"/>
              <w:rPr>
                <w:sz w:val="21"/>
                <w:szCs w:val="21"/>
                <w:color w:val="auto"/>
              </w:rPr>
            </w:pP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4"/>
              </w:rPr>
              <w:t>share</w:t>
            </w:r>
          </w:p>
        </w:tc>
        <w:tc>
          <w:tcPr>
            <w:tcW w:w="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Other(2)</w:t>
            </w:r>
          </w:p>
        </w:tc>
        <w:tc>
          <w:tcPr>
            <w:tcW w:w="10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w w:val="97"/>
              </w:rPr>
              <w:t>1,990,000(3)</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$11.16(2)</w:t>
            </w:r>
          </w:p>
        </w:tc>
        <w:tc>
          <w:tcPr>
            <w:tcW w:w="134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8"/>
                <w:szCs w:val="18"/>
                <w:color w:val="auto"/>
                <w:w w:val="99"/>
              </w:rPr>
              <w:t>$22,208,400(2)</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0.00011020</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$2,447.37</w:t>
            </w:r>
          </w:p>
        </w:tc>
      </w:tr>
      <w:tr>
        <w:trPr>
          <w:trHeight w:val="230"/>
        </w:trPr>
        <w:tc>
          <w:tcPr>
            <w:tcW w:w="1300" w:type="dxa"/>
            <w:vAlign w:val="bottom"/>
            <w:tcBorders>
              <w:left w:val="single" w:sz="8" w:color="auto"/>
            </w:tcBorders>
          </w:tcPr>
          <w:p>
            <w:pPr>
              <w:spacing w:after="0"/>
              <w:rPr>
                <w:sz w:val="20"/>
                <w:szCs w:val="20"/>
                <w:color w:val="auto"/>
              </w:rPr>
            </w:pPr>
          </w:p>
        </w:tc>
        <w:tc>
          <w:tcPr>
            <w:tcW w:w="1900" w:type="dxa"/>
            <w:vAlign w:val="bottom"/>
            <w:gridSpan w:val="3"/>
          </w:tcPr>
          <w:p>
            <w:pPr>
              <w:jc w:val="center"/>
              <w:ind w:right="30"/>
              <w:spacing w:after="0"/>
              <w:rPr>
                <w:sz w:val="20"/>
                <w:szCs w:val="20"/>
                <w:color w:val="auto"/>
              </w:rPr>
            </w:pPr>
            <w:r>
              <w:rPr>
                <w:rFonts w:ascii="Arial" w:cs="Arial" w:eastAsia="Arial" w:hAnsi="Arial"/>
                <w:sz w:val="18"/>
                <w:szCs w:val="18"/>
                <w:color w:val="auto"/>
                <w:w w:val="92"/>
              </w:rPr>
              <w:t>Total Offering Amounts</w:t>
            </w:r>
          </w:p>
        </w:tc>
        <w:tc>
          <w:tcPr>
            <w:tcW w:w="1080" w:type="dxa"/>
            <w:vAlign w:val="bottom"/>
            <w:tcBorders>
              <w:right w:val="single" w:sz="8" w:color="auto"/>
            </w:tcBorders>
          </w:tcPr>
          <w:p>
            <w:pPr>
              <w:spacing w:after="0"/>
              <w:rPr>
                <w:sz w:val="20"/>
                <w:szCs w:val="20"/>
                <w:color w:val="auto"/>
              </w:rPr>
            </w:pPr>
          </w:p>
        </w:tc>
        <w:tc>
          <w:tcPr>
            <w:tcW w:w="840" w:type="dxa"/>
            <w:vAlign w:val="bottom"/>
            <w:tcBorders>
              <w:right w:val="single" w:sz="8" w:color="auto"/>
            </w:tcBorders>
          </w:tcPr>
          <w:p>
            <w:pPr>
              <w:spacing w:after="0"/>
              <w:rPr>
                <w:sz w:val="20"/>
                <w:szCs w:val="20"/>
                <w:color w:val="auto"/>
              </w:rPr>
            </w:pPr>
          </w:p>
        </w:tc>
        <w:tc>
          <w:tcPr>
            <w:tcW w:w="1340" w:type="dxa"/>
            <w:vAlign w:val="bottom"/>
            <w:tcBorders>
              <w:right w:val="single" w:sz="8" w:color="auto"/>
            </w:tcBorders>
          </w:tcPr>
          <w:p>
            <w:pPr>
              <w:jc w:val="right"/>
              <w:ind w:right="128"/>
              <w:spacing w:after="0"/>
              <w:rPr>
                <w:sz w:val="20"/>
                <w:szCs w:val="20"/>
                <w:color w:val="auto"/>
              </w:rPr>
            </w:pPr>
            <w:r>
              <w:rPr>
                <w:rFonts w:ascii="Arial" w:cs="Arial" w:eastAsia="Arial" w:hAnsi="Arial"/>
                <w:sz w:val="18"/>
                <w:szCs w:val="18"/>
                <w:color w:val="auto"/>
              </w:rPr>
              <w:t>$22,208,400</w:t>
            </w:r>
          </w:p>
        </w:tc>
        <w:tc>
          <w:tcPr>
            <w:tcW w:w="1000" w:type="dxa"/>
            <w:vAlign w:val="bottom"/>
            <w:tcBorders>
              <w:right w:val="single" w:sz="8" w:color="auto"/>
            </w:tcBorders>
          </w:tcPr>
          <w:p>
            <w:pPr>
              <w:spacing w:after="0"/>
              <w:rPr>
                <w:sz w:val="20"/>
                <w:szCs w:val="20"/>
                <w:color w:val="auto"/>
              </w:rPr>
            </w:pP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$2,447.37</w:t>
            </w:r>
          </w:p>
        </w:tc>
      </w:tr>
      <w:tr>
        <w:trPr>
          <w:trHeight w:val="26"/>
        </w:trPr>
        <w:tc>
          <w:tcPr>
            <w:tcW w:w="1300" w:type="dxa"/>
            <w:vAlign w:val="bottom"/>
            <w:tcBorders>
              <w:left w:val="single" w:sz="8" w:color="auto"/>
              <w:bottom w:val="single" w:sz="8" w:color="auto"/>
            </w:tcBorders>
          </w:tcPr>
          <w:p>
            <w:pPr>
              <w:spacing w:after="0"/>
              <w:rPr>
                <w:sz w:val="2"/>
                <w:szCs w:val="2"/>
                <w:color w:val="auto"/>
              </w:rPr>
            </w:pPr>
          </w:p>
        </w:tc>
        <w:tc>
          <w:tcPr>
            <w:tcW w:w="190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r>
      <w:tr>
        <w:trPr>
          <w:trHeight w:val="230"/>
        </w:trPr>
        <w:tc>
          <w:tcPr>
            <w:tcW w:w="1300" w:type="dxa"/>
            <w:vAlign w:val="bottom"/>
            <w:tcBorders>
              <w:left w:val="single" w:sz="8" w:color="auto"/>
              <w:bottom w:val="single" w:sz="8" w:color="auto"/>
            </w:tcBorders>
          </w:tcPr>
          <w:p>
            <w:pPr>
              <w:spacing w:after="0"/>
              <w:rPr>
                <w:sz w:val="20"/>
                <w:szCs w:val="20"/>
                <w:color w:val="auto"/>
              </w:rPr>
            </w:pPr>
          </w:p>
        </w:tc>
        <w:tc>
          <w:tcPr>
            <w:tcW w:w="1900" w:type="dxa"/>
            <w:vAlign w:val="bottom"/>
            <w:tcBorders>
              <w:bottom w:val="single" w:sz="8" w:color="auto"/>
            </w:tcBorders>
            <w:gridSpan w:val="3"/>
          </w:tcPr>
          <w:p>
            <w:pPr>
              <w:jc w:val="center"/>
              <w:ind w:right="10"/>
              <w:spacing w:after="0"/>
              <w:rPr>
                <w:sz w:val="20"/>
                <w:szCs w:val="20"/>
                <w:color w:val="auto"/>
              </w:rPr>
            </w:pPr>
            <w:r>
              <w:rPr>
                <w:rFonts w:ascii="Arial" w:cs="Arial" w:eastAsia="Arial" w:hAnsi="Arial"/>
                <w:sz w:val="18"/>
                <w:szCs w:val="18"/>
                <w:color w:val="auto"/>
                <w:w w:val="88"/>
              </w:rPr>
              <w:t>Total Fee Offsets</w:t>
            </w:r>
          </w:p>
        </w:tc>
        <w:tc>
          <w:tcPr>
            <w:tcW w:w="108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$0</w:t>
            </w:r>
          </w:p>
        </w:tc>
      </w:tr>
      <w:tr>
        <w:trPr>
          <w:trHeight w:val="236"/>
        </w:trPr>
        <w:tc>
          <w:tcPr>
            <w:tcW w:w="1300" w:type="dxa"/>
            <w:vAlign w:val="bottom"/>
            <w:tcBorders>
              <w:left w:val="single" w:sz="8" w:color="auto"/>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2"/>
          </w:tcPr>
          <w:p>
            <w:pPr>
              <w:jc w:val="center"/>
              <w:ind w:right="330"/>
              <w:spacing w:after="0"/>
              <w:rPr>
                <w:sz w:val="20"/>
                <w:szCs w:val="20"/>
                <w:color w:val="auto"/>
              </w:rPr>
            </w:pPr>
            <w:r>
              <w:rPr>
                <w:rFonts w:ascii="Arial" w:cs="Arial" w:eastAsia="Arial" w:hAnsi="Arial"/>
                <w:sz w:val="18"/>
                <w:szCs w:val="18"/>
                <w:color w:val="auto"/>
                <w:w w:val="88"/>
              </w:rPr>
              <w:t>Net Fee Due</w:t>
            </w:r>
          </w:p>
        </w:tc>
        <w:tc>
          <w:tcPr>
            <w:tcW w:w="108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$2,447.37</w:t>
            </w:r>
          </w:p>
        </w:tc>
      </w:tr>
    </w:tbl>
    <w:p>
      <w:pPr>
        <w:spacing w:after="0" w:line="229" w:lineRule="exact"/>
        <w:rPr>
          <w:sz w:val="20"/>
          <w:szCs w:val="20"/>
          <w:color w:val="auto"/>
        </w:rPr>
      </w:pPr>
    </w:p>
    <w:p>
      <w:pPr>
        <w:ind w:left="444" w:right="280" w:hanging="444"/>
        <w:spacing w:after="0" w:line="269" w:lineRule="auto"/>
        <w:tabs>
          <w:tab w:leader="none" w:pos="444" w:val="left"/>
        </w:tabs>
        <w:numPr>
          <w:ilvl w:val="0"/>
          <w:numId w:val="2"/>
        </w:numPr>
        <w:rPr>
          <w:rFonts w:ascii="Arial" w:cs="Arial" w:eastAsia="Arial" w:hAnsi="Arial"/>
          <w:sz w:val="17"/>
          <w:szCs w:val="17"/>
          <w:color w:val="auto"/>
        </w:rPr>
      </w:pPr>
      <w:r>
        <w:rPr>
          <w:rFonts w:ascii="Arial" w:cs="Arial" w:eastAsia="Arial" w:hAnsi="Arial"/>
          <w:sz w:val="17"/>
          <w:szCs w:val="17"/>
          <w:color w:val="auto"/>
        </w:rPr>
        <w:t>In accordance with Rule 416 under the Securities Act of 1933, as amended (the “Securities Act”), this registration statement shall be deemed to cover any additional securities that may from time to time be offered or issued under the Magnachip Semiconductor Corporation Amended and Restated 2020 Equity and Incentive Compensation Plan (the “Plan”) to prevent dilution resulting from stock splits, stock dividends, recapitalization or similar transactions that result in an increase in the number of outstanding securities.</w:t>
      </w:r>
    </w:p>
    <w:p>
      <w:pPr>
        <w:spacing w:after="0" w:line="1" w:lineRule="exact"/>
        <w:rPr>
          <w:rFonts w:ascii="Arial" w:cs="Arial" w:eastAsia="Arial" w:hAnsi="Arial"/>
          <w:sz w:val="17"/>
          <w:szCs w:val="17"/>
          <w:color w:val="auto"/>
        </w:rPr>
      </w:pPr>
    </w:p>
    <w:p>
      <w:pPr>
        <w:ind w:left="444" w:right="60" w:hanging="444"/>
        <w:spacing w:after="0" w:line="281" w:lineRule="auto"/>
        <w:tabs>
          <w:tab w:leader="none" w:pos="444" w:val="left"/>
        </w:tabs>
        <w:numPr>
          <w:ilvl w:val="0"/>
          <w:numId w:val="2"/>
        </w:numPr>
        <w:rPr>
          <w:rFonts w:ascii="Arial" w:cs="Arial" w:eastAsia="Arial" w:hAnsi="Arial"/>
          <w:sz w:val="16"/>
          <w:szCs w:val="16"/>
          <w:color w:val="auto"/>
        </w:rPr>
      </w:pPr>
      <w:r>
        <w:rPr>
          <w:rFonts w:ascii="Arial" w:cs="Arial" w:eastAsia="Arial" w:hAnsi="Arial"/>
          <w:sz w:val="16"/>
          <w:szCs w:val="16"/>
          <w:color w:val="auto"/>
        </w:rPr>
        <w:t>Estimated in accordance with Rules 457(c) and 457(h) under the Securities Act, solely for the purpose of computing the amount of the registration fee, on the basis of the average of the high and low prices of shares of Magnachip Semiconductor Corporation’s common stock, par value $0.01 per share (“Common Stock”), reported on the New York Stock Exchange on June 16, 2023, which is within five business days of this filing.</w:t>
      </w:r>
    </w:p>
    <w:p>
      <w:pPr>
        <w:spacing w:after="0" w:line="1" w:lineRule="exact"/>
        <w:rPr>
          <w:rFonts w:ascii="Arial" w:cs="Arial" w:eastAsia="Arial" w:hAnsi="Arial"/>
          <w:sz w:val="16"/>
          <w:szCs w:val="16"/>
          <w:color w:val="auto"/>
        </w:rPr>
      </w:pPr>
    </w:p>
    <w:p>
      <w:pPr>
        <w:ind w:left="444" w:hanging="444"/>
        <w:spacing w:after="0"/>
        <w:tabs>
          <w:tab w:leader="none" w:pos="444" w:val="left"/>
        </w:tabs>
        <w:numPr>
          <w:ilvl w:val="0"/>
          <w:numId w:val="2"/>
        </w:numPr>
        <w:rPr>
          <w:rFonts w:ascii="Arial" w:cs="Arial" w:eastAsia="Arial" w:hAnsi="Arial"/>
          <w:sz w:val="18"/>
          <w:szCs w:val="18"/>
          <w:color w:val="auto"/>
        </w:rPr>
      </w:pPr>
      <w:r>
        <w:rPr>
          <w:rFonts w:ascii="Arial" w:cs="Arial" w:eastAsia="Arial" w:hAnsi="Arial"/>
          <w:sz w:val="18"/>
          <w:szCs w:val="18"/>
          <w:color w:val="auto"/>
        </w:rPr>
        <w:t>Represents 1,990,000 additional shares of Common Stock for future issuance under the Plan.</w:t>
      </w:r>
    </w:p>
    <w:sectPr>
      <w:pgSz w:w="11900" w:h="16838" w:orient="portrait"/>
      <w:cols w:equalWidth="0" w:num="1">
        <w:col w:w="11024"/>
      </w:cols>
      <w:pgMar w:left="436"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lvl w:ilvl="1">
      <w:lvlJc w:val="left"/>
      <w:lvlText w:val="%2"/>
      <w:numFmt w:val="decimal"/>
      <w:start w:val="107"/>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jpeg"/><Relationship Id="rId19" Type="http://schemas.openxmlformats.org/officeDocument/2006/relationships/hyperlink" Target="http://www.sec.gov/ix?doc=/Archives/edgar/data/0001325702/000114036123018669/ny20007211x2_def14a.htm#tAPPA"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2023-06-23T16:26:31Z</dcterms:created>
  <dcterms:modified xsi:type="dcterms:W3CDTF">2023-06-23T16:26:31Z</dcterms:modified>
</cp:coreProperties>
</file>