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2020, as presented in a press release dated July 30, 2020.</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20, 2020, MagnaChip Semiconductor Corporation’s Fab 3 facility in Gumi, South Korea experienced a temporary power outage for approximately 9 hours and 15 minutes as a result of an accident involving branches of a nearby tree falling onto cables connecting one of the electricity pylons that supplies power to the Gumi plant. We are nearly fully operational in our Fab 3 facility as of the date of this report. The accident caused damage to our work-in-process wafers with an estimated total cost of up to approximately $2.3 million. The related impact to our revenue from continuing operations is expected to be negligible. We are currently evaluating potential insurance and other claims that we may have for the above loss and damages.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report and the accompanying press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third quarter 2020 revenue and gross profit margin expectations, the evaluation and expectation of costs and related revenue impact and timing as a result of the power outage, and the impact of the COVID-19 pandemic and escalated trade tensions on MagnaChip’s third quarter 2020 and future operating results. All forward-looking statements included in this report and the accompanying press release are based upon information available to MagnaChip as of the date of this report and the accompanying press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Securities and Exchange Commission including our Form 10-K filed on February 21, 2020 (including that the impact of the COVID-19 pandemic may also exacerbate the risks discussed therein), our Form 10-Q filed on May 11,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for MagnaChip Semiconductor Corporation dated July 30, 2020, announcing the results for the second quarter ended June 30,</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2020.</w:t>
        </w:r>
      </w:hyperlink>
    </w:p>
    <w:p>
      <w:pPr>
        <w:sectPr>
          <w:pgSz w:w="11900" w:h="16838" w:orient="portrait"/>
          <w:cols w:equalWidth="0" w:num="1">
            <w:col w:w="10900"/>
          </w:cols>
          <w:pgMar w:left="440" w:top="270" w:right="5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900"/>
          </w:cols>
          <w:pgMar w:left="440" w:top="27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8602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60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Second Quarter 2020</w:t>
      </w:r>
    </w:p>
    <w:p>
      <w:pPr>
        <w:spacing w:after="0" w:line="13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GAAP earnings per share of $0.34 from continuing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Non-GAAP diluted earnings per share from continuing operations of $0.13</w:t>
      </w:r>
    </w:p>
    <w:p>
      <w:pPr>
        <w:spacing w:after="0" w:line="130" w:lineRule="exact"/>
        <w:rPr>
          <w:rFonts w:ascii="Arial" w:cs="Arial" w:eastAsia="Arial" w:hAnsi="Arial"/>
          <w:sz w:val="18"/>
          <w:szCs w:val="18"/>
          <w:color w:val="auto"/>
        </w:rPr>
      </w:pPr>
    </w:p>
    <w:p>
      <w:pPr>
        <w:ind w:left="960" w:right="58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Cash of $192.8 million highest since IPO in March 2011; net operating cash flow of $36.0 million, which was the 5th straight quarter of positive operating cash flow</w:t>
      </w:r>
    </w:p>
    <w:p>
      <w:pPr>
        <w:spacing w:after="0" w:line="67" w:lineRule="exact"/>
        <w:rPr>
          <w:rFonts w:ascii="Arial" w:cs="Arial" w:eastAsia="Arial" w:hAnsi="Arial"/>
          <w:sz w:val="18"/>
          <w:szCs w:val="18"/>
          <w:color w:val="auto"/>
        </w:rPr>
      </w:pPr>
    </w:p>
    <w:p>
      <w:pPr>
        <w:ind w:left="960" w:right="64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Revenue from continuing operations of $118.8 million; reflecting approximately $6 million impact from the strategic exit of non-auto LCD DDIC product line during the second quarter</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Revenue from standard products business of $109.0 million and the Foundry Services Group of $95.8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Non-GAAP combined revenue of $204.7 million from total operations exceeded high-end of the guidance range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profit margin from continuing operations of 27.0%, 460 bps increase Y/Y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profit margin from standard products business of 29.5% and the Foundry Services Group of 32.3%</w:t>
      </w:r>
    </w:p>
    <w:p>
      <w:pPr>
        <w:spacing w:after="0" w:line="130" w:lineRule="exact"/>
        <w:rPr>
          <w:rFonts w:ascii="Arial" w:cs="Arial" w:eastAsia="Arial" w:hAnsi="Arial"/>
          <w:sz w:val="18"/>
          <w:szCs w:val="18"/>
          <w:color w:val="auto"/>
        </w:rPr>
      </w:pPr>
    </w:p>
    <w:p>
      <w:pPr>
        <w:ind w:left="960" w:right="78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Excluding depreciation benefit of $2 million from discontinued operations, non-GAAP combined gross margin from total operations of 29.7% surpassed high-end of guidance range</w:t>
      </w:r>
    </w:p>
    <w:p>
      <w:pPr>
        <w:spacing w:after="0" w:line="16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July 30, 2020 </w:t>
      </w:r>
      <w:r>
        <w:rPr>
          <w:rFonts w:ascii="Arial" w:cs="Arial" w:eastAsia="Arial" w:hAnsi="Arial"/>
          <w:sz w:val="18"/>
          <w:szCs w:val="18"/>
          <w:color w:val="auto"/>
        </w:rPr>
        <w:t>— MagnaChip Semiconductor Corporation (NYSE: MX) (“MagnaChip”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financial results for the second quarter of 2020.</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executed well and delivered an excellent quarter despite market disruptions caused by COVID-19 by achieving key financial metrics above expectations, said YJ Kim, MagnaChip’s chief executive officer. In addition to delivering outstanding financial results, our team is making substantial progress with the pending sale of our Foundry Services Group business and Fab 4. Based on the progress we made so far, we now anticipate that the transaction likely will close in the third quarter instead of our previous estimate of the September-October timeframe.”</w:t>
      </w:r>
    </w:p>
    <w:p>
      <w:pPr>
        <w:spacing w:after="0" w:line="17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“The new MagnaChip is undergoing a dramatic transformation to accelerate our profitability. While we can’t be completely immune to the risk of COVID-19 and macroeconomic conditions, we will continue our relentless execution to deliver a successful close of the pending transaction and strengthen our business foundation for profitable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2020 Financial Highlights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certain financial and other information relating to the continuing and discontinued operations. Following the execution of the definitive agreement to sell the Foundry business and Fab 4, the Foundry Services Group has been accounted for as a discontinued operations beginning in the first quarter of 2020.</w:t>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12"/>
          </w:tcPr>
          <w:p>
            <w:pPr>
              <w:jc w:val="right"/>
              <w:ind w:right="2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9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Q2 2020</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Q1 2020</w:t>
            </w:r>
          </w:p>
        </w:tc>
        <w:tc>
          <w:tcPr>
            <w:tcW w:w="108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Q/Q change</w:t>
            </w:r>
          </w:p>
        </w:tc>
        <w:tc>
          <w:tcPr>
            <w:tcW w:w="960" w:type="dxa"/>
            <w:vAlign w:val="bottom"/>
            <w:tcBorders>
              <w:top w:val="single" w:sz="8" w:color="auto"/>
            </w:tcBorders>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Q2 2019</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left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118,828</w:t>
            </w:r>
          </w:p>
        </w:tc>
        <w:tc>
          <w:tcPr>
            <w:tcW w:w="1260" w:type="dxa"/>
            <w:vAlign w:val="bottom"/>
            <w:gridSpan w:val="6"/>
          </w:tcPr>
          <w:p>
            <w:pPr>
              <w:jc w:val="right"/>
              <w:ind w:right="300"/>
              <w:spacing w:after="0"/>
              <w:rPr>
                <w:sz w:val="20"/>
                <w:szCs w:val="20"/>
                <w:color w:val="auto"/>
              </w:rPr>
            </w:pPr>
            <w:r>
              <w:rPr>
                <w:rFonts w:ascii="Arial" w:cs="Arial" w:eastAsia="Arial" w:hAnsi="Arial"/>
                <w:sz w:val="18"/>
                <w:szCs w:val="18"/>
                <w:color w:val="auto"/>
              </w:rPr>
              <w:t>120,473</w:t>
            </w:r>
          </w:p>
        </w:tc>
        <w:tc>
          <w:tcPr>
            <w:tcW w:w="1080" w:type="dxa"/>
            <w:vAlign w:val="bottom"/>
            <w:gridSpan w:val="5"/>
          </w:tcPr>
          <w:p>
            <w:pPr>
              <w:ind w:left="60"/>
              <w:spacing w:after="0"/>
              <w:rPr>
                <w:sz w:val="20"/>
                <w:szCs w:val="20"/>
                <w:color w:val="auto"/>
              </w:rPr>
            </w:pPr>
            <w:r>
              <w:rPr>
                <w:rFonts w:ascii="Arial" w:cs="Arial" w:eastAsia="Arial" w:hAnsi="Arial"/>
                <w:sz w:val="18"/>
                <w:szCs w:val="18"/>
                <w:color w:val="auto"/>
              </w:rPr>
              <w:t>down 1.4 %</w:t>
            </w:r>
          </w:p>
        </w:tc>
        <w:tc>
          <w:tcPr>
            <w:tcW w:w="800" w:type="dxa"/>
            <w:vAlign w:val="bottom"/>
            <w:gridSpan w:val="5"/>
          </w:tcPr>
          <w:p>
            <w:pPr>
              <w:jc w:val="right"/>
              <w:ind w:right="140"/>
              <w:spacing w:after="0"/>
              <w:rPr>
                <w:sz w:val="20"/>
                <w:szCs w:val="20"/>
                <w:color w:val="auto"/>
              </w:rPr>
            </w:pPr>
            <w:r>
              <w:rPr>
                <w:rFonts w:ascii="Arial" w:cs="Arial" w:eastAsia="Arial" w:hAnsi="Arial"/>
                <w:sz w:val="18"/>
                <w:szCs w:val="18"/>
                <w:color w:val="auto"/>
                <w:w w:val="98"/>
              </w:rPr>
              <w:t>140,885</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down 15.7 %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Business</w:t>
            </w:r>
            <w:r>
              <w:rPr>
                <w:rFonts w:ascii="Arial" w:cs="Arial" w:eastAsia="Arial" w:hAnsi="Arial"/>
                <w:sz w:val="15"/>
                <w:szCs w:val="15"/>
                <w:color w:val="auto"/>
              </w:rPr>
              <w:t>(1)</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108,955</w:t>
            </w:r>
          </w:p>
        </w:tc>
        <w:tc>
          <w:tcPr>
            <w:tcW w:w="12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110,736</w:t>
            </w:r>
          </w:p>
        </w:tc>
        <w:tc>
          <w:tcPr>
            <w:tcW w:w="1080" w:type="dxa"/>
            <w:vAlign w:val="bottom"/>
            <w:tcBorders>
              <w:left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down 1.6 %</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132,006</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down 17.5 %</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660" w:type="dxa"/>
            <w:vAlign w:val="bottom"/>
          </w:tcPr>
          <w:p>
            <w:pPr>
              <w:jc w:val="right"/>
              <w:spacing w:after="0"/>
              <w:rPr>
                <w:sz w:val="20"/>
                <w:szCs w:val="20"/>
                <w:color w:val="auto"/>
              </w:rPr>
            </w:pPr>
            <w:r>
              <w:rPr>
                <w:rFonts w:ascii="Arial" w:cs="Arial" w:eastAsia="Arial" w:hAnsi="Arial"/>
                <w:sz w:val="18"/>
                <w:szCs w:val="18"/>
                <w:color w:val="auto"/>
              </w:rPr>
              <w:t>95,779</w:t>
            </w:r>
          </w:p>
        </w:tc>
        <w:tc>
          <w:tcPr>
            <w:tcW w:w="1260" w:type="dxa"/>
            <w:vAlign w:val="bottom"/>
            <w:gridSpan w:val="6"/>
          </w:tcPr>
          <w:p>
            <w:pPr>
              <w:jc w:val="right"/>
              <w:ind w:right="300"/>
              <w:spacing w:after="0"/>
              <w:rPr>
                <w:sz w:val="20"/>
                <w:szCs w:val="20"/>
                <w:color w:val="auto"/>
              </w:rPr>
            </w:pPr>
            <w:r>
              <w:rPr>
                <w:rFonts w:ascii="Arial" w:cs="Arial" w:eastAsia="Arial" w:hAnsi="Arial"/>
                <w:sz w:val="18"/>
                <w:szCs w:val="18"/>
                <w:color w:val="auto"/>
              </w:rPr>
              <w:t>86,279</w:t>
            </w:r>
          </w:p>
        </w:tc>
        <w:tc>
          <w:tcPr>
            <w:tcW w:w="16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up 11.0 %</w:t>
            </w:r>
          </w:p>
        </w:tc>
        <w:tc>
          <w:tcPr>
            <w:tcW w:w="160" w:type="dxa"/>
            <w:vAlign w:val="bottom"/>
          </w:tcPr>
          <w:p>
            <w:pPr>
              <w:spacing w:after="0"/>
              <w:rPr>
                <w:sz w:val="18"/>
                <w:szCs w:val="18"/>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73,139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31.0 %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Combined Total Revenues</w:t>
            </w:r>
            <w:r>
              <w:rPr>
                <w:rFonts w:ascii="Arial" w:cs="Arial" w:eastAsia="Arial" w:hAnsi="Arial"/>
                <w:sz w:val="15"/>
                <w:szCs w:val="15"/>
                <w:color w:val="auto"/>
              </w:rPr>
              <w:t>(2)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204,734</w:t>
            </w:r>
          </w:p>
        </w:tc>
        <w:tc>
          <w:tcPr>
            <w:tcW w:w="12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197,015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up 3.9 %</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205,145</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down 0.2 %</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r>
              <w:rPr>
                <w:rFonts w:ascii="Arial" w:cs="Arial" w:eastAsia="Arial" w:hAnsi="Arial"/>
                <w:sz w:val="15"/>
                <w:szCs w:val="15"/>
                <w:color w:val="auto"/>
              </w:rPr>
              <w:t>(1)</w:t>
            </w: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080" w:type="dxa"/>
            <w:vAlign w:val="bottom"/>
            <w:tcBorders>
              <w:lef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rPr>
              <w:t>up 2.8 pts</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up 4.6 pts</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Standard Products Business</w:t>
            </w:r>
            <w:r>
              <w:rPr>
                <w:rFonts w:ascii="Arial" w:cs="Arial" w:eastAsia="Arial" w:hAnsi="Arial"/>
                <w:sz w:val="15"/>
                <w:szCs w:val="15"/>
                <w:color w:val="auto"/>
              </w:rPr>
              <w:t>(1)</w:t>
            </w: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26.3%</w:t>
            </w: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up 3.2 pts</w:t>
            </w: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up 5.5 pts</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Services Group</w:t>
            </w:r>
            <w:r>
              <w:rPr>
                <w:rFonts w:ascii="Arial" w:cs="Arial" w:eastAsia="Arial" w:hAnsi="Arial"/>
                <w:sz w:val="15"/>
                <w:szCs w:val="15"/>
                <w:color w:val="auto"/>
              </w:rPr>
              <w:t>(3)</w:t>
            </w: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080" w:type="dxa"/>
            <w:vAlign w:val="bottom"/>
            <w:tcBorders>
              <w:lef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rPr>
              <w:t>up 8.3 pts</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up 15.6 pts</w:t>
            </w: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Non-GAAP Combined Total Gross Profit Margin</w:t>
            </w:r>
            <w:r>
              <w:rPr>
                <w:rFonts w:ascii="Arial" w:cs="Arial" w:eastAsia="Arial" w:hAnsi="Arial"/>
                <w:sz w:val="15"/>
                <w:szCs w:val="15"/>
                <w:color w:val="auto"/>
              </w:rPr>
              <w:t>(2)(3)</w:t>
            </w: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25.3%</w:t>
            </w: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up 5.5 pts</w:t>
            </w:r>
          </w:p>
        </w:tc>
        <w:tc>
          <w:tcPr>
            <w:tcW w:w="16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up 9.4 pts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11,774</w:t>
            </w:r>
          </w:p>
        </w:tc>
        <w:tc>
          <w:tcPr>
            <w:tcW w:w="1260" w:type="dxa"/>
            <w:vAlign w:val="bottom"/>
            <w:gridSpan w:val="6"/>
          </w:tcPr>
          <w:p>
            <w:pPr>
              <w:jc w:val="right"/>
              <w:ind w:right="240"/>
              <w:spacing w:after="0"/>
              <w:rPr>
                <w:sz w:val="20"/>
                <w:szCs w:val="20"/>
                <w:color w:val="auto"/>
              </w:rPr>
            </w:pPr>
            <w:r>
              <w:rPr>
                <w:rFonts w:ascii="Arial" w:cs="Arial" w:eastAsia="Arial" w:hAnsi="Arial"/>
                <w:sz w:val="18"/>
                <w:szCs w:val="18"/>
                <w:color w:val="auto"/>
              </w:rPr>
              <w:t>(31,078)</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w w:val="98"/>
              </w:rPr>
              <w:t>up 137.9 %</w:t>
            </w:r>
          </w:p>
        </w:tc>
        <w:tc>
          <w:tcPr>
            <w:tcW w:w="160" w:type="dxa"/>
            <w:vAlign w:val="bottom"/>
          </w:tcPr>
          <w:p>
            <w:pPr>
              <w:spacing w:after="0"/>
              <w:rPr>
                <w:sz w:val="19"/>
                <w:szCs w:val="19"/>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(8,490)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up 238.7 %</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(0.89)</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up 131.5%</w:t>
            </w:r>
          </w:p>
        </w:tc>
        <w:tc>
          <w:tcPr>
            <w:tcW w:w="16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up 212.0%</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2"/>
          </w:tcPr>
          <w:p>
            <w:pPr>
              <w:jc w:val="right"/>
              <w:ind w:right="2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2"/>
                <w:szCs w:val="12"/>
                <w:b w:val="1"/>
                <w:bCs w:val="1"/>
                <w:color w:val="auto"/>
              </w:rPr>
              <w:t>(2)</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Q2 2020</w:t>
            </w:r>
          </w:p>
        </w:tc>
        <w:tc>
          <w:tcPr>
            <w:tcW w:w="20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Q1 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Q/Q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Q2 2019</w:t>
            </w: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Adjusted Operating Income</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10,125</w:t>
            </w: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up 39.1 %</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9,423</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7.4 %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Net Income</w:t>
            </w: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up 335.3 %</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up 24.1 %</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Adjusted Net Income per Common Share—Diluted</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4"/>
              </w:rPr>
              <w:t>up 333.3 %</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18.2 %</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7"/>
          </w:tcPr>
          <w:p>
            <w:pPr>
              <w:jc w:val="right"/>
              <w:ind w:right="220"/>
              <w:spacing w:after="0"/>
              <w:rPr>
                <w:sz w:val="20"/>
                <w:szCs w:val="20"/>
                <w:color w:val="auto"/>
              </w:rPr>
            </w:pPr>
            <w:r>
              <w:rPr>
                <w:rFonts w:ascii="Arial" w:cs="Arial" w:eastAsia="Arial" w:hAnsi="Arial"/>
                <w:sz w:val="14"/>
                <w:szCs w:val="14"/>
                <w:color w:val="auto"/>
                <w:w w:val="94"/>
              </w:rPr>
              <w:t>In thousands of US dollars</w:t>
            </w: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GAAP</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Q2 2020</w:t>
            </w:r>
          </w:p>
        </w:tc>
        <w:tc>
          <w:tcPr>
            <w:tcW w:w="200" w:type="dxa"/>
            <w:vAlign w:val="bottom"/>
          </w:tcPr>
          <w:p>
            <w:pPr>
              <w:spacing w:after="0"/>
              <w:rPr>
                <w:sz w:val="12"/>
                <w:szCs w:val="12"/>
                <w:color w:val="auto"/>
              </w:rPr>
            </w:pP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Q1 2020</w:t>
            </w:r>
          </w:p>
        </w:tc>
        <w:tc>
          <w:tcPr>
            <w:tcW w:w="160" w:type="dxa"/>
            <w:vAlign w:val="bottom"/>
          </w:tcPr>
          <w:p>
            <w:pPr>
              <w:spacing w:after="0"/>
              <w:rPr>
                <w:sz w:val="12"/>
                <w:szCs w:val="12"/>
                <w:color w:val="auto"/>
              </w:rPr>
            </w:pPr>
          </w:p>
        </w:tc>
        <w:tc>
          <w:tcPr>
            <w:tcW w:w="9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Q/Q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Q2 2019</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Revenues—Standard Products Business</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Display Solutions</w:t>
            </w:r>
          </w:p>
        </w:tc>
        <w:tc>
          <w:tcPr>
            <w:tcW w:w="6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69,176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77,593</w:t>
            </w:r>
          </w:p>
        </w:tc>
        <w:tc>
          <w:tcPr>
            <w:tcW w:w="1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w w:val="94"/>
              </w:rPr>
              <w:t>down 10.8 %</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84,261</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down 17.9 %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 Solutions</w:t>
            </w: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39,779</w:t>
            </w:r>
          </w:p>
        </w:tc>
        <w:tc>
          <w:tcPr>
            <w:tcW w:w="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33,143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up 20.0 %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down 16.7 %</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20" w:hanging="424"/>
        <w:spacing w:after="0" w:line="267"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Following the consummation of the sale of the Foundry Services Group business and Fab 4, and for a period up to three years, the Company will provide transitional foundry services to the buyer for Foundry products manufactured in the Company’s fabrication facility located in Gumi (“Transitional Fab 3 Foundry Services”). For the periods prior to the disposal of the Foundry Services Group business and Fab 4, revenue from the Transitional Fab 3 Foundry Services by the Company to the Foundry Services Group (i.e., discontinued operations) is recorded at cost as part of its continuing operations. Management believes that excluding the revenue of the Transitional Fab 3 Foundry Services from the continuing operations (i.e., revenue from standard products business) allows investors to better understand the results of continuing operations of our core standard products display solutions and power solutions businesses.</w:t>
      </w:r>
    </w:p>
    <w:p>
      <w:pPr>
        <w:spacing w:after="0" w:line="4" w:lineRule="exact"/>
        <w:rPr>
          <w:rFonts w:ascii="Arial" w:cs="Arial" w:eastAsia="Arial" w:hAnsi="Arial"/>
          <w:sz w:val="17"/>
          <w:szCs w:val="17"/>
          <w:color w:val="auto"/>
        </w:rPr>
      </w:pPr>
    </w:p>
    <w:p>
      <w:pPr>
        <w:ind w:left="424" w:right="6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as well as providing a meaningful comparison to previous information provided on a basis prior to the discontinued operations classification of the Foundry Services Group.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ind w:left="424" w:right="20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second quarter, depreciation and amortization associated with the assets classified as held-for-sale ceased, which resulted in an increase in gross profit from discontinued operations by approximately $2 million.</w:t>
      </w:r>
    </w:p>
    <w:p>
      <w:pPr>
        <w:sectPr>
          <w:pgSz w:w="11900" w:h="16838" w:orient="portrait"/>
          <w:cols w:equalWidth="0" w:num="1">
            <w:col w:w="11024"/>
          </w:cols>
          <w:pgMar w:left="436" w:top="26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Q3 2020 Financial Guidance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July 20, 2020, our Fab 3 facility in Gumi, South Korea experienced a temporary power outage for approximately 9 hours and 15 minutes as a result of an accident involving branches of a nearby tree falling onto cables connecting one of the electricity pylons that supplies power to the Gumi plant. We are nearly fully operational in our Fab 3 facility as of the date of this earnings report. The accident caused damage to our work-in-process wafers with an estimated total cost of up to approximately $2.3 million. The related impact to our revenue from continuing operations is expected to be negligible. We are currently evaluating potential insurance and other claims that we may have for the above loss and damages.</w:t>
      </w:r>
    </w:p>
    <w:p>
      <w:pPr>
        <w:spacing w:after="0" w:line="1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we expect to close the pending sale of the Foundry business and Fab 4 in Q3, we will provide a quarterly outlook on continuing operations only. The COVID-19 global pandemic and escalated trade tension are rapidly evolving situations and reduce our forward visibility. While actual results may vary, MagnaChip currently anticipates for Q3 2020:</w:t>
      </w:r>
    </w:p>
    <w:p>
      <w:pPr>
        <w:spacing w:after="0" w:line="89" w:lineRule="exact"/>
        <w:rPr>
          <w:sz w:val="20"/>
          <w:szCs w:val="20"/>
          <w:color w:val="auto"/>
        </w:rPr>
      </w:pPr>
    </w:p>
    <w:p>
      <w:pPr>
        <w:ind w:left="960" w:right="3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the continuing operations to be in the range of $118 million to $124 million, including $9.5 million to $10 million of the Transitional Fab 3 Foundry Services at cost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from continuing operations to be in the range of 25% to 27%</w:t>
      </w:r>
    </w:p>
    <w:p>
      <w:pPr>
        <w:spacing w:after="0" w:line="130" w:lineRule="exact"/>
        <w:rPr>
          <w:rFonts w:ascii="Arial" w:cs="Arial" w:eastAsia="Arial" w:hAnsi="Arial"/>
          <w:sz w:val="18"/>
          <w:szCs w:val="18"/>
          <w:color w:val="auto"/>
        </w:rPr>
      </w:pPr>
    </w:p>
    <w:p>
      <w:pPr>
        <w:ind w:left="1420" w:right="26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Without the estimated power outage impact, gross profit margin from continuing operations would have been in the range of 27% and 29%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Earnings Conference Call</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MagnaChip will host a conference call at 5 p.m. Eastern Time on July 30, 2020. The conference call will be webcast live and also is available by dialing toll-free at 1-844-536-5472. International call-in participants can dial 1-614-999-9318. The conference ID number is 8269223. Participants are encouraged to initiate their calls at least 10 minutes in advance of the 5 p.m. ET start time to ensure a timely connection. The webcast and earnings release will be accessible at www.magnachip.com. A replay of the conference call will be available the same day and will run for 72 hours. The replay dial-in numbers are 1-404-537-3406 or toll-free at 1-855-859-2056. The access code is 8269223.</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third quarter 2020 revenue and gross profit margin expectations, the evaluation and expectation of costs and related revenue impact and timing as a result of the power outage, and the impact of the COVID-19 pandemic and escalated trade tensions on MagnaChip’s third quarter 2020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(including that the impact of the COVID-19 pandemic may also exacerbate the risks discussed therein), our Form 10-Q filed on May 11,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 provides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0960"/>
          </w:cols>
          <w:pgMar w:left="440" w:top="270"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of Public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+82-2-6903-5223</w:t>
      </w:r>
    </w:p>
    <w:p>
      <w:pPr>
        <w:spacing w:after="0" w:line="116"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Investor.relations@magnachip.com</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6"/>
          <w:szCs w:val="16"/>
          <w:color w:val="auto"/>
        </w:rPr>
        <w:t>chankeun.park@magnachip.com</w:t>
      </w:r>
    </w:p>
    <w:p>
      <w:pPr>
        <w:sectPr>
          <w:pgSz w:w="11900" w:h="16838" w:orient="portrait"/>
          <w:cols w:equalWidth="0" w:num="2">
            <w:col w:w="5020" w:space="720"/>
            <w:col w:w="5220"/>
          </w:cols>
          <w:pgMar w:left="440" w:top="270" w:right="49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108,955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110,736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132,006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219,691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232,270</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118,828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120,473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140,885</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239,301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248,152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76,817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81,606</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100,384</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158,423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181,625</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86,690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91,343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109,263</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178,033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197,507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29,130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31,622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61,268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50,645</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12,102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24,510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11,108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10,509</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23,816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23,516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23,165</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22,867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46,681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46,947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5,965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(5,607)</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(11,076)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(30,971)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(22,181)</w:t>
            </w:r>
          </w:p>
        </w:tc>
      </w:tr>
      <w:tr>
        <w:trPr>
          <w:trHeight w:val="202"/>
        </w:trPr>
        <w:tc>
          <w:tcPr>
            <w:tcW w:w="428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12,452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(29,775)</w:t>
            </w: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(28,463)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(31,078)</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(19,304)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(30,045)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discontinued operations,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29,171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(23,749)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(43,645)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35,092,312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34,893,157</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34,992,734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34,220,141</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46,474,237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34,893,157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34,245,127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34,992,734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34,220,141</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192,824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48,548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45,511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10,406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11,740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assets held for sale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205,086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530,118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69,110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73,068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9,212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615,148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4,049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82,706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5,481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3,583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146,569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327,959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133,833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223,242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49,927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110,881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608,973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610,309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44,248,706 shares issued and 35,143,033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w w:val="93"/>
              </w:rPr>
              <w:t>outstanding at June 30, 2020 and 43,851,991 shares issued and 34,800,312 outstanding at December 31, 2019</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155,591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(52,709)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(58,131)</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Treasury stock, 9,105,673 shares at June 30, 2020 and 9,051,679 shares at December 31, 2019, 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(107,649)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10,499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615,148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w w:val="96"/>
              </w:rPr>
              <w:t>June 30, 2020</w:t>
            </w:r>
          </w:p>
        </w:tc>
        <w:tc>
          <w:tcPr>
            <w:tcW w:w="5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2"/>
                <w:szCs w:val="12"/>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29,171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5,422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(43,645)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2,544</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10,479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16,505</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6,406</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(12,083)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26,397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1,441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9,992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(20,974)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3,996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6,201</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(9,197)</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(14,060)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(7,351)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3,838</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4,747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(4,325)</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(5,898)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(3,960)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(7,491)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(4,272)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(4,579)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35,997</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57,065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17,155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5,855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4,627</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(7,841)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(5,491)</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(8,842)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(20,159)</w:t>
            </w: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principal portion of lease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35,531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41,167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(8,685)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157,293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151,657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132,438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192,824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192,824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123,753</w:t>
            </w: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$8,755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$14,587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Adjustments: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Others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10,125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$9,423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$17,406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$5,514</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present Adjusted Operating Income as supplemental measures of our performance. We define Adjusted Operating Income for the periods indicated as operating income adjusted to exclude (i) Equity-based compensation expense and (ii) 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(30,045)</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(13,450)</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22,181</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r>
      <w:tr>
        <w:trPr>
          <w:trHeight w:val="202"/>
        </w:trPr>
        <w:tc>
          <w:tcPr>
            <w:tcW w:w="41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10,725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22,181</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r>
      <w:tr>
        <w:trPr>
          <w:trHeight w:val="202"/>
        </w:trPr>
        <w:tc>
          <w:tcPr>
            <w:tcW w:w="41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3,829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5,845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(5,870)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 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35,092,312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34,893,157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34,992,734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34,220,141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36,330,083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35,883,200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34,965,562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36,248,039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34,220,141</w:t>
            </w:r>
          </w:p>
        </w:tc>
      </w:tr>
    </w:tbl>
    <w:p>
      <w:pPr>
        <w:spacing w:after="0" w:line="202" w:lineRule="exact"/>
        <w:rPr>
          <w:sz w:val="20"/>
          <w:szCs w:val="20"/>
          <w:color w:val="auto"/>
        </w:rPr>
      </w:pPr>
    </w:p>
    <w:p>
      <w:pPr>
        <w:ind w:left="4" w:right="34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(gain), net,</w:t>
      </w:r>
    </w:p>
    <w:p>
      <w:pPr>
        <w:ind w:left="4" w:right="60" w:hanging="4"/>
        <w:spacing w:after="0" w:line="281"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valuation loss (gain), net, (iv) Loss on early extinguishment of long-term borrowings, net and (v) 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 EBITDA for the periods indicated is defined as Income (loss) from continuing operations before interest expense, net, income tax expense and depreciation and amortization. We prepare Adjusted Net Income (Loss)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income (loss) from continuing operations, adjusted to exclude (i) Equity-based compensation expense,</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Foreign currency loss (gain), net, (iii) Derivative valuation loss (gain), net, (iv) Loss on early extinguishment of long-term borrowings, net and</w:t>
      </w:r>
    </w:p>
    <w:p>
      <w:pPr>
        <w:spacing w:after="0" w:line="20" w:lineRule="exact"/>
        <w:rPr>
          <w:rFonts w:ascii="Arial" w:cs="Arial" w:eastAsia="Arial" w:hAnsi="Arial"/>
          <w:sz w:val="17"/>
          <w:szCs w:val="17"/>
          <w:color w:val="auto"/>
        </w:rPr>
      </w:pPr>
    </w:p>
    <w:p>
      <w:pPr>
        <w:ind w:left="4" w:right="100" w:hanging="4"/>
        <w:spacing w:after="0" w:line="302"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w:t>
      </w:r>
    </w:p>
    <w:p>
      <w:pPr>
        <w:sectPr>
          <w:pgSz w:w="11900" w:h="16838" w:orient="portrait"/>
          <w:cols w:equalWidth="0" w:num="1">
            <w:col w:w="11024"/>
          </w:cols>
          <w:pgMar w:left="436"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COMBINED RESULTS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Standard</w:t>
            </w:r>
          </w:p>
        </w:tc>
        <w:tc>
          <w:tcPr>
            <w:tcW w:w="920" w:type="dxa"/>
            <w:vAlign w:val="bottom"/>
            <w:tcBorders>
              <w:top w:val="single" w:sz="8" w:color="auto"/>
            </w:tcBorders>
            <w:gridSpan w:val="3"/>
          </w:tcPr>
          <w:p>
            <w:pPr>
              <w:jc w:val="center"/>
              <w:ind w:left="104"/>
              <w:spacing w:after="0" w:line="119" w:lineRule="exact"/>
              <w:rPr>
                <w:sz w:val="20"/>
                <w:szCs w:val="20"/>
                <w:color w:val="auto"/>
              </w:rPr>
            </w:pPr>
            <w:r>
              <w:rPr>
                <w:rFonts w:ascii="Arial" w:cs="Arial" w:eastAsia="Arial" w:hAnsi="Arial"/>
                <w:sz w:val="13"/>
                <w:szCs w:val="13"/>
                <w:b w:val="1"/>
                <w:bCs w:val="1"/>
                <w:color w:val="auto"/>
              </w:rPr>
              <w:t>Transitional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Fab 3</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foundry</w:t>
            </w:r>
          </w:p>
        </w:tc>
        <w:tc>
          <w:tcPr>
            <w:tcW w:w="10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business</w:t>
            </w: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$108,955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9,873</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$95,779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$204,734</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Standard</w:t>
            </w:r>
          </w:p>
        </w:tc>
        <w:tc>
          <w:tcPr>
            <w:tcW w:w="920" w:type="dxa"/>
            <w:vAlign w:val="bottom"/>
            <w:tcBorders>
              <w:top w:val="single" w:sz="8" w:color="auto"/>
            </w:tcBorders>
            <w:gridSpan w:val="3"/>
          </w:tcPr>
          <w:p>
            <w:pPr>
              <w:jc w:val="center"/>
              <w:ind w:left="104"/>
              <w:spacing w:after="0" w:line="119" w:lineRule="exact"/>
              <w:rPr>
                <w:sz w:val="20"/>
                <w:szCs w:val="20"/>
                <w:color w:val="auto"/>
              </w:rPr>
            </w:pPr>
            <w:r>
              <w:rPr>
                <w:rFonts w:ascii="Arial" w:cs="Arial" w:eastAsia="Arial" w:hAnsi="Arial"/>
                <w:sz w:val="13"/>
                <w:szCs w:val="13"/>
                <w:b w:val="1"/>
                <w:bCs w:val="1"/>
                <w:color w:val="auto"/>
              </w:rPr>
              <w:t>Transitional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Fab 3</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foundry</w:t>
            </w:r>
          </w:p>
        </w:tc>
        <w:tc>
          <w:tcPr>
            <w:tcW w:w="10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business</w:t>
            </w: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$132,006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8,879</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$73,139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$205,145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77"/>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3"/>
              </w:rPr>
              <w:t>Six Months Ended June 30, 2020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2"/>
              </w:rPr>
              <w:t>Standard</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Transitional</w:t>
            </w:r>
          </w:p>
        </w:tc>
        <w:tc>
          <w:tcPr>
            <w:tcW w:w="240" w:type="dxa"/>
            <w:vAlign w:val="bottom"/>
            <w:gridSpan w:val="2"/>
          </w:tcPr>
          <w:p>
            <w:pPr>
              <w:spacing w:after="0"/>
              <w:rPr>
                <w:sz w:val="10"/>
                <w:szCs w:val="10"/>
                <w:color w:val="auto"/>
              </w:rPr>
            </w:pPr>
          </w:p>
        </w:tc>
        <w:tc>
          <w:tcPr>
            <w:tcW w:w="960" w:type="dxa"/>
            <w:vAlign w:val="bottom"/>
            <w:tcBorders>
              <w:top w:val="single" w:sz="8" w:color="auto"/>
            </w:tcBorders>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6"/>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Fab 3</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products</w:t>
            </w: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foundry</w:t>
            </w:r>
          </w:p>
        </w:tc>
        <w:tc>
          <w:tcPr>
            <w:tcW w:w="96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$219,691</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0"/>
              </w:rPr>
              <w:t>$182,058</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(19,610)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$401,749</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8"/>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3"/>
              </w:rPr>
              <w:t>Six Months Ended June 30,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2"/>
              </w:rPr>
              <w:t>Standard</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Transitional</w:t>
            </w:r>
          </w:p>
        </w:tc>
        <w:tc>
          <w:tcPr>
            <w:tcW w:w="240" w:type="dxa"/>
            <w:vAlign w:val="bottom"/>
            <w:gridSpan w:val="2"/>
          </w:tcPr>
          <w:p>
            <w:pPr>
              <w:spacing w:after="0"/>
              <w:rPr>
                <w:sz w:val="10"/>
                <w:szCs w:val="10"/>
                <w:color w:val="auto"/>
              </w:rPr>
            </w:pPr>
          </w:p>
        </w:tc>
        <w:tc>
          <w:tcPr>
            <w:tcW w:w="960" w:type="dxa"/>
            <w:vAlign w:val="bottom"/>
            <w:tcBorders>
              <w:top w:val="single" w:sz="8" w:color="auto"/>
            </w:tcBorders>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6"/>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Fab 3</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products</w:t>
            </w: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foundry</w:t>
            </w:r>
          </w:p>
        </w:tc>
        <w:tc>
          <w:tcPr>
            <w:tcW w:w="96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$232,270</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0"/>
              </w:rPr>
              <w:t>$130,255</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$362,525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8"/>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2020-07-30T18:26:01Z</dcterms:created>
  <dcterms:modified xsi:type="dcterms:W3CDTF">2020-07-30T18:26:01Z</dcterms:modified>
</cp:coreProperties>
</file>