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144145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3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35" w:lineRule="exact"/>
        <w:rPr>
          <w:sz w:val="24"/>
          <w:szCs w:val="24"/>
          <w:color w:val="auto"/>
        </w:rPr>
      </w:pPr>
    </w:p>
    <w:p>
      <w:pPr>
        <w:sectPr>
          <w:pgSz w:w="11900" w:h="16838" w:orient="portrait"/>
          <w:cols w:equalWidth="0" w:num="3">
            <w:col w:w="2840" w:space="620"/>
            <w:col w:w="140" w:space="580"/>
            <w:col w:w="710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156845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111760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44"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88"/>
              </w:rPr>
              <w:t>Delaware</w:t>
            </w:r>
          </w:p>
        </w:tc>
        <w:tc>
          <w:tcPr>
            <w:tcW w:w="142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87"/>
              </w:rPr>
              <w:t>83-0406195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8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2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88"/>
              </w:rPr>
              <w:t>incorporation or organization)</w:t>
            </w:r>
          </w:p>
        </w:tc>
        <w:tc>
          <w:tcPr>
            <w:tcW w:w="14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9"/>
              </w:rPr>
              <w:t>Identification No.)</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766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88"/>
              </w:rPr>
              <w:t>c/o MagnaChip Semiconductor S.A.</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0"/>
              </w:rPr>
              <w:t>74, rue de Merl, B.P. 709, L-2017</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142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88"/>
              </w:rPr>
              <w:t>Not Applicable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9"/>
              </w:rPr>
              <w:t>(Zip Code)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8420" w:type="dxa"/>
            <w:vAlign w:val="bottom"/>
            <w:gridSpan w:val="4"/>
          </w:tcPr>
          <w:p>
            <w:pPr>
              <w:jc w:val="center"/>
              <w:ind w:left="1997"/>
              <w:spacing w:after="0"/>
              <w:rPr>
                <w:sz w:val="20"/>
                <w:szCs w:val="20"/>
                <w:color w:val="auto"/>
              </w:rPr>
            </w:pPr>
            <w:r>
              <w:rPr>
                <w:rFonts w:ascii="Arial" w:cs="Arial" w:eastAsia="Arial" w:hAnsi="Arial"/>
                <w:sz w:val="18"/>
                <w:szCs w:val="18"/>
                <w:b w:val="1"/>
                <w:bCs w:val="1"/>
                <w:color w:val="auto"/>
                <w:w w:val="87"/>
              </w:rPr>
              <w:t>Registrant’s telephone number, including area code: (352) 45-62-62</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7660" w:type="dxa"/>
            <w:vAlign w:val="bottom"/>
            <w:gridSpan w:val="3"/>
          </w:tcPr>
          <w:p>
            <w:pPr>
              <w:jc w:val="center"/>
              <w:ind w:left="2757"/>
              <w:spacing w:after="0"/>
              <w:rPr>
                <w:sz w:val="20"/>
                <w:szCs w:val="20"/>
                <w:color w:val="auto"/>
              </w:rPr>
            </w:pPr>
            <w:r>
              <w:rPr>
                <w:rFonts w:ascii="Arial" w:cs="Arial" w:eastAsia="Arial" w:hAnsi="Arial"/>
                <w:sz w:val="18"/>
                <w:szCs w:val="18"/>
                <w:b w:val="1"/>
                <w:bCs w:val="1"/>
                <w:color w:val="auto"/>
                <w:w w:val="87"/>
              </w:rPr>
              <w:t>Securities registered pursuant to Section 12(b) of the Act: None.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3"/>
          </w:tcPr>
          <w:p>
            <w:pPr>
              <w:jc w:val="center"/>
              <w:ind w:left="277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120" w:type="dxa"/>
            <w:vAlign w:val="bottom"/>
            <w:gridSpan w:val="2"/>
          </w:tcPr>
          <w:p>
            <w:pPr>
              <w:spacing w:after="0"/>
              <w:rPr>
                <w:sz w:val="16"/>
                <w:szCs w:val="16"/>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42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—Checking the box above will not relieve any registrant required to file reports pursuant to Section 13 or 15(d) of the Exchange Act from their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those Sections.</w:t>
      </w:r>
    </w:p>
    <w:p>
      <w:pPr>
        <w:spacing w:after="0" w:line="45"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80"/>
          </w:cols>
          <w:pgMar w:left="240" w:top="230" w:right="379" w:bottom="1440" w:gutter="0" w:footer="0" w:header="0"/>
          <w:type w:val="continuous"/>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2040" w:space="100"/>
            <w:col w:w="2260" w:space="720"/>
            <w:col w:w="1180" w:space="80"/>
            <w:col w:w="2120" w:space="720"/>
            <w:col w:w="1500" w:space="80"/>
            <w:col w:w="480"/>
          </w:cols>
          <w:pgMar w:left="240" w:top="230" w:right="379" w:bottom="1440" w:gutter="0" w:footer="0" w:header="0"/>
          <w:type w:val="continuous"/>
        </w:sectPr>
      </w:pPr>
    </w:p>
    <w:p>
      <w:pPr>
        <w:ind w:left="460"/>
        <w:spacing w:after="0" w:line="184" w:lineRule="exact"/>
        <w:tabs>
          <w:tab w:leader="none" w:pos="78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8360" w:space="180"/>
            <w:col w:w="220" w:space="80"/>
            <w:col w:w="2440"/>
          </w:cols>
          <w:pgMar w:left="240" w:top="230" w:right="379" w:bottom="1440" w:gutter="0" w:footer="0" w:header="0"/>
          <w:type w:val="continuous"/>
        </w:sectPr>
      </w:pPr>
    </w:p>
    <w:p>
      <w:pPr>
        <w:ind w:right="120" w:firstLine="456"/>
        <w:spacing w:after="0" w:line="259"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Not applicable.</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 2007, the registrant had 52,720,784.047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annual report or proxy statement, form of proxy or other proxy soliciting material with respect to any annual or other meeting of security holders has been sent to security 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80" w:type="dxa"/>
            <w:vAlign w:val="bottom"/>
            <w:gridSpan w:val="16"/>
          </w:tcPr>
          <w:p>
            <w:pPr>
              <w:jc w:val="center"/>
              <w:ind w:right="2540"/>
              <w:spacing w:after="0"/>
              <w:rPr>
                <w:sz w:val="20"/>
                <w:szCs w:val="20"/>
                <w:color w:val="auto"/>
              </w:rPr>
            </w:pPr>
            <w:r>
              <w:rPr>
                <w:rFonts w:ascii="Arial" w:cs="Arial" w:eastAsia="Arial" w:hAnsi="Arial"/>
                <w:sz w:val="18"/>
                <w:szCs w:val="18"/>
                <w:b w:val="1"/>
                <w:bCs w:val="1"/>
                <w:color w:val="auto"/>
                <w:w w:val="99"/>
              </w:rPr>
              <w:t>MAGNACHIP SEMICONDUCTOR LLC</w:t>
            </w:r>
          </w:p>
        </w:tc>
        <w:tc>
          <w:tcPr>
            <w:tcW w:w="1440" w:type="dxa"/>
            <w:vAlign w:val="bottom"/>
          </w:tcPr>
          <w:p>
            <w:pPr>
              <w:spacing w:after="0"/>
              <w:rPr>
                <w:sz w:val="19"/>
                <w:szCs w:val="19"/>
                <w:color w:val="auto"/>
              </w:rPr>
            </w:pPr>
          </w:p>
        </w:tc>
      </w:tr>
      <w:tr>
        <w:trPr>
          <w:trHeight w:val="297"/>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20" w:type="dxa"/>
            <w:vAlign w:val="bottom"/>
            <w:gridSpan w:val="15"/>
          </w:tcPr>
          <w:p>
            <w:pPr>
              <w:jc w:val="center"/>
              <w:ind w:right="2720"/>
              <w:spacing w:after="0"/>
              <w:rPr>
                <w:sz w:val="20"/>
                <w:szCs w:val="20"/>
                <w:color w:val="auto"/>
              </w:rPr>
            </w:pPr>
            <w:r>
              <w:rPr>
                <w:rFonts w:ascii="Arial" w:cs="Arial" w:eastAsia="Arial" w:hAnsi="Arial"/>
                <w:sz w:val="18"/>
                <w:szCs w:val="18"/>
                <w:b w:val="1"/>
                <w:bCs w:val="1"/>
                <w:color w:val="auto"/>
                <w:w w:val="95"/>
              </w:rPr>
              <w:t>2006 FORM 10-K ANNUAL REPORT</w:t>
            </w:r>
          </w:p>
        </w:tc>
        <w:tc>
          <w:tcPr>
            <w:tcW w:w="1440" w:type="dxa"/>
            <w:vAlign w:val="bottom"/>
          </w:tcPr>
          <w:p>
            <w:pPr>
              <w:spacing w:after="0"/>
              <w:rPr>
                <w:sz w:val="24"/>
                <w:szCs w:val="24"/>
                <w:color w:val="auto"/>
              </w:rPr>
            </w:pPr>
          </w:p>
        </w:tc>
      </w:tr>
      <w:tr>
        <w:trPr>
          <w:trHeight w:val="297"/>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14"/>
          </w:tcPr>
          <w:p>
            <w:pPr>
              <w:jc w:val="center"/>
              <w:ind w:right="3120"/>
              <w:spacing w:after="0"/>
              <w:rPr>
                <w:sz w:val="20"/>
                <w:szCs w:val="20"/>
                <w:color w:val="auto"/>
              </w:rPr>
            </w:pPr>
            <w:r>
              <w:rPr>
                <w:rFonts w:ascii="Arial" w:cs="Arial" w:eastAsia="Arial" w:hAnsi="Arial"/>
                <w:sz w:val="18"/>
                <w:szCs w:val="18"/>
                <w:b w:val="1"/>
                <w:bCs w:val="1"/>
                <w:color w:val="auto"/>
                <w:w w:val="96"/>
              </w:rPr>
              <w:t>TABLE OF CONTENTS</w:t>
            </w:r>
          </w:p>
        </w:tc>
        <w:tc>
          <w:tcPr>
            <w:tcW w:w="1440" w:type="dxa"/>
            <w:vAlign w:val="bottom"/>
          </w:tcPr>
          <w:p>
            <w:pPr>
              <w:spacing w:after="0"/>
              <w:rPr>
                <w:sz w:val="24"/>
                <w:szCs w:val="24"/>
                <w:color w:val="auto"/>
              </w:rPr>
            </w:pPr>
          </w:p>
        </w:tc>
      </w:tr>
      <w:tr>
        <w:trPr>
          <w:trHeight w:val="380"/>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3780" w:type="dxa"/>
            <w:vAlign w:val="bottom"/>
            <w:gridSpan w:val="8"/>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5">
              <w:r>
                <w:rPr>
                  <w:rFonts w:ascii="Arial" w:cs="Arial" w:eastAsia="Arial" w:hAnsi="Arial"/>
                  <w:sz w:val="18"/>
                  <w:szCs w:val="18"/>
                  <w:color w:val="0000EE"/>
                  <w:w w:val="82"/>
                </w:rPr>
                <w:t>Business</w:t>
              </w:r>
            </w:hyperlink>
          </w:p>
        </w:tc>
        <w:tc>
          <w:tcPr>
            <w:tcW w:w="8440" w:type="dxa"/>
            <w:vAlign w:val="bottom"/>
            <w:gridSpan w:val="26"/>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Risk Factors</w:t>
              </w:r>
            </w:hyperlink>
          </w:p>
        </w:tc>
        <w:tc>
          <w:tcPr>
            <w:tcW w:w="8180" w:type="dxa"/>
            <w:vAlign w:val="bottom"/>
            <w:gridSpan w:val="24"/>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9060" w:type="dxa"/>
            <w:vAlign w:val="bottom"/>
            <w:gridSpan w:val="2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7080" w:type="dxa"/>
            <w:vAlign w:val="bottom"/>
            <w:gridSpan w:val="18"/>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Legal Proceedings</w:t>
              </w:r>
            </w:hyperlink>
          </w:p>
        </w:tc>
        <w:tc>
          <w:tcPr>
            <w:tcW w:w="7760" w:type="dxa"/>
            <w:vAlign w:val="bottom"/>
            <w:gridSpan w:val="22"/>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2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9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0"/>
          </w:tcPr>
          <w:p>
            <w:pPr>
              <w:jc w:val="center"/>
              <w:ind w:right="3760"/>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PART II</w:t>
              </w:r>
            </w:hyperlink>
          </w:p>
        </w:tc>
        <w:tc>
          <w:tcPr>
            <w:tcW w:w="14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060" w:type="dxa"/>
            <w:vAlign w:val="bottom"/>
            <w:gridSpan w:val="2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1440" w:type="dxa"/>
            <w:vAlign w:val="bottom"/>
          </w:tcPr>
          <w:p>
            <w:pPr>
              <w:spacing w:after="0"/>
              <w:rPr>
                <w:sz w:val="22"/>
                <w:szCs w:val="22"/>
                <w:color w:val="auto"/>
              </w:rPr>
            </w:pPr>
          </w:p>
        </w:tc>
      </w:tr>
      <w:tr>
        <w:trPr>
          <w:trHeight w:val="383"/>
        </w:trPr>
        <w:tc>
          <w:tcPr>
            <w:tcW w:w="9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5"/>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060" w:type="dxa"/>
            <w:vAlign w:val="bottom"/>
            <w:gridSpan w:val="2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2760" w:type="dxa"/>
            <w:vAlign w:val="bottom"/>
            <w:gridSpan w:val="4"/>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060" w:type="dxa"/>
            <w:vAlign w:val="bottom"/>
            <w:gridSpan w:val="2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4820" w:type="dxa"/>
            <w:vAlign w:val="bottom"/>
            <w:gridSpan w:val="12"/>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060" w:type="dxa"/>
            <w:vAlign w:val="bottom"/>
            <w:gridSpan w:val="2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5"/>
              </w:rPr>
            </w:pPr>
            <w:hyperlink w:anchor="page79">
              <w:r>
                <w:rPr>
                  <w:rFonts w:ascii="Arial" w:cs="Arial" w:eastAsia="Arial" w:hAnsi="Arial"/>
                  <w:sz w:val="18"/>
                  <w:szCs w:val="18"/>
                  <w:color w:val="0000EE"/>
                  <w:w w:val="85"/>
                </w:rPr>
                <w:t>Controls and Procedures</w:t>
              </w:r>
            </w:hyperlink>
          </w:p>
        </w:tc>
        <w:tc>
          <w:tcPr>
            <w:tcW w:w="4620" w:type="dxa"/>
            <w:vAlign w:val="bottom"/>
            <w:tcBorders>
              <w:top w:val="single" w:sz="8" w:color="0000EE"/>
            </w:tcBorders>
            <w:gridSpan w:val="17"/>
          </w:tcPr>
          <w:p>
            <w:pPr>
              <w:spacing w:after="0"/>
              <w:rPr>
                <w:sz w:val="22"/>
                <w:szCs w:val="22"/>
                <w:color w:val="auto"/>
              </w:rPr>
            </w:pPr>
          </w:p>
        </w:tc>
        <w:tc>
          <w:tcPr>
            <w:tcW w:w="2720" w:type="dxa"/>
            <w:vAlign w:val="bottom"/>
            <w:gridSpan w:val="3"/>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9060" w:type="dxa"/>
            <w:vAlign w:val="bottom"/>
            <w:gridSpan w:val="2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9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bottom w:val="single" w:sz="8" w:color="0000EE"/>
            </w:tcBorders>
            <w:gridSpan w:val="6"/>
          </w:tcPr>
          <w:p>
            <w:pPr>
              <w:jc w:val="cente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PART III</w:t>
              </w:r>
            </w:hyperlink>
          </w:p>
        </w:tc>
        <w:tc>
          <w:tcPr>
            <w:tcW w:w="3720" w:type="dxa"/>
            <w:vAlign w:val="bottom"/>
            <w:gridSpan w:val="5"/>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060" w:type="dxa"/>
            <w:vAlign w:val="bottom"/>
            <w:gridSpan w:val="2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2"/>
                <w:szCs w:val="22"/>
                <w:color w:val="auto"/>
              </w:rPr>
            </w:pPr>
          </w:p>
        </w:tc>
        <w:tc>
          <w:tcPr>
            <w:tcW w:w="5080" w:type="dxa"/>
            <w:vAlign w:val="bottom"/>
            <w:gridSpan w:val="13"/>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060" w:type="dxa"/>
            <w:vAlign w:val="bottom"/>
            <w:gridSpan w:val="2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Management and Related Stockholder Matters</w:t>
              </w:r>
            </w:hyperlink>
          </w:p>
        </w:tc>
        <w:tc>
          <w:tcPr>
            <w:tcW w:w="1440" w:type="dxa"/>
            <w:vAlign w:val="bottom"/>
          </w:tcPr>
          <w:p>
            <w:pPr>
              <w:spacing w:after="0"/>
              <w:rPr>
                <w:sz w:val="22"/>
                <w:szCs w:val="22"/>
                <w:color w:val="auto"/>
              </w:rPr>
            </w:pPr>
          </w:p>
        </w:tc>
      </w:tr>
      <w:tr>
        <w:trPr>
          <w:trHeight w:val="383"/>
        </w:trPr>
        <w:tc>
          <w:tcPr>
            <w:tcW w:w="9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45"/>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99">
              <w:r>
                <w:rPr>
                  <w:rFonts w:ascii="Arial" w:cs="Arial" w:eastAsia="Arial" w:hAnsi="Arial"/>
                  <w:sz w:val="18"/>
                  <w:szCs w:val="18"/>
                  <w:color w:val="0000EE"/>
                  <w:w w:val="87"/>
                </w:rPr>
                <w:t>Certain Relationships and Related Transactions, and Director Independence</w:t>
              </w:r>
            </w:hyperlink>
          </w:p>
        </w:tc>
        <w:tc>
          <w:tcPr>
            <w:tcW w:w="3740" w:type="dxa"/>
            <w:vAlign w:val="bottom"/>
            <w:gridSpan w:val="6"/>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9060" w:type="dxa"/>
            <w:vAlign w:val="bottom"/>
            <w:gridSpan w:val="2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9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bottom w:val="single" w:sz="8" w:color="0000EE"/>
            </w:tcBorders>
            <w:gridSpan w:val="6"/>
          </w:tcPr>
          <w:p>
            <w:pPr>
              <w:jc w:val="cente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PART IV</w:t>
              </w:r>
            </w:hyperlink>
          </w:p>
        </w:tc>
        <w:tc>
          <w:tcPr>
            <w:tcW w:w="3720" w:type="dxa"/>
            <w:vAlign w:val="bottom"/>
            <w:gridSpan w:val="5"/>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01">
              <w:r>
                <w:rPr>
                  <w:rFonts w:ascii="Arial" w:cs="Arial" w:eastAsia="Arial" w:hAnsi="Arial"/>
                  <w:sz w:val="18"/>
                  <w:szCs w:val="18"/>
                  <w:color w:val="0000EE"/>
                  <w:w w:val="87"/>
                </w:rPr>
                <w:t>Exhibits and Financial Statement Schedules</w:t>
              </w:r>
            </w:hyperlink>
          </w:p>
        </w:tc>
        <w:tc>
          <w:tcPr>
            <w:tcW w:w="5980" w:type="dxa"/>
            <w:vAlign w:val="bottom"/>
            <w:gridSpan w:val="16"/>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9980" w:type="dxa"/>
            <w:vAlign w:val="bottom"/>
            <w:gridSpan w:val="2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83"/>
        </w:trPr>
        <w:tc>
          <w:tcPr>
            <w:tcW w:w="9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0"/>
          </w:tcPr>
          <w:p>
            <w:pPr>
              <w:jc w:val="center"/>
              <w:ind w:right="4200"/>
              <w:spacing w:after="0"/>
              <w:rPr>
                <w:sz w:val="20"/>
                <w:szCs w:val="20"/>
                <w:color w:val="auto"/>
              </w:rPr>
            </w:pPr>
            <w:r>
              <w:rPr>
                <w:rFonts w:ascii="Arial" w:cs="Arial" w:eastAsia="Arial" w:hAnsi="Arial"/>
                <w:sz w:val="18"/>
                <w:szCs w:val="18"/>
                <w:color w:val="auto"/>
              </w:rPr>
              <w:t>ii</w:t>
            </w: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this report, we rely on and refer to information regarding the semiconductor market from iSuppli, DisplaySearch, and other third-party sources. Market data attributed to iSuppli are from “CCD and CMOS Image Sensors: Handset Market Driving the Industry, Consumer Platforms Topical Report—Q4 2006” dated October 2005, “Pure Play Foundry Market Tracker—H2 2006,” and “Much Room for Growth Before Display Driver Market Matures: Display Driver ICs Market Tracker—Q4 2006.” Market data attributed to DisplaySearch are from “Quarterly Global TV Shipment &amp; Forecast Data Tables—Q4 2006,” “Quarterly Desktop MNT Shipment &amp; Forecast Data Tables—Q4 2006,” and “Quarterly NBPC Shipment &amp; Forecast Data Table—Q4 2006.” Although we believe that this information is reliable, we cannot guarantee the accuracy and completeness of the information and have not independently verified it. As a result, you should be aware that market and other similar data set forth herein, and estimates and beliefs based on such data, may not be reliable. We do not have any obligation to announce or otherwise make publicly available updates or revisions to these forecasts. In many cases, we have made statements in this report regarding our industry and our position in the industry based on our experience in the industry and our own investigation of market conditions. We cannot assure you that any of these assumptions are accurate or that our assumptions correctly reflect our position in our industry.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These forward-looking statements represent expectations or beliefs of ours concerning future events, and no assurance can be given that the results described in this report will be achieved. These forward-looking statements can generally be identified by the use of statements that include words such as “estimate,” “project,” “believe,” “expect,” “anticipate,” “intend,” “plan,” “foresee,” “likely,” “may,” “will,” “should” or other similar words or phrases. All forward-looking statements are based upon information available to us on the date of this report.</w:t>
      </w:r>
    </w:p>
    <w:p>
      <w:pPr>
        <w:spacing w:after="0" w:line="1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These forward-looking statements are subject to risks, uncertainties and other factors, many of which are outside of our control, that could cause actual results to differ materially from the results discussed in the forward-looking statements, including, among other things, the matters discussed in this report in the sections captioned: “Business,” “Risk factors” and “Management’s discussion and analysis of financial condition and results of operations.” There may be other factors that could cause our actual results to differ materially from the results referred to in the forward-looking statements. All forward-looking statements attributable to us or persons acting on our behalf apply only as of the date of this report and are expressly qualified in their entirety by the cautionary statements included in this report. We undertake no obligation to publicly update or revise forward-looking statements to reflect events or circumstances after the date made or to reflect the occurrence of unanticipated events. Readers are urged to carefully review and consider the various disclosures made in this report which attempt to advise interested parties of the risks and factors that may affect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174625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“MagnaChip” and “IC Media” are our trademarks and trade names. All other trademarks, trade names, and service marks appearing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183515</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MagnaChip Semiconductor LLC (“MagnaChip” or the “Company”) is a leading designer, developer and manufacturer of mixed-signal and digital multimedia semiconductors addressing the convergence of consumer electronics and communications devices. We focus on Complementary Metal-Oxide Semiconductor (“CMOS”) image sensors and flat panel display drivers, which are complex, high-performance mixed-signal semiconductors that capture and display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 We serve consumer markets that we believe will have higher growth rates than those of the overall semiconductor industry.</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manufacture our products using our proprietary process technology, which we believe provides our products with cost advantages over those of our competitors. We have approximately 8,500 registered and pending patents. We believe that our proprietary in-house CMOS image sensor technology allows us to tailor our process to create brighter, sharper, more colorful picture quality in image-capture applications such as camera-equipped mobile handsets. Our flat panel display drivers enable our customers to deliver higher image quality, thinner and more power-efficient small panel displays for use in mobile handsets, handheld gaming devices and PDAs and large panel displays for use in portable and desktop computer monitors and digital televisions. We are also a leading provider of wafer foundry services whereby we leverage our specialized process technologies and low cost manufacturing facilities to produce semiconductors for third parties using their product designs.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own and operate five wafer fabrication facilities, or fabs, which have a combined production capacity of over 119,000 eight-inch equivalent wafers per month. Our fabs provide us with large-scale, cost-effective and flexible capacity, enabling us to rapidly scale to high volume to meet shifts in demand by our end customers. Our fabs also provide us with the ability to further develop our differentiated process technologies for our own product development and manufacturing. The location of our manufacturing sites in Korea and research and development resources in Korea, Japan, and the United States provide close geographical proximity to many of our largest customers and to the core of the worldwide consumer electronics supply chain.</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sell our solutions to leading original equipment manufacturers, or OEMs, which include major branded customers as well as contract manufacturers. Our CMOS image sensors are currently designed into products offered by leading global mobile handset manufacturers. Our flat panel display drivers are currently incorporated into products offered by top flat panel display manufacturers. During the year ended December 31, 2006, we sold over 2,200 products to more than 240 customers.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three-month period ended December 31, 2004, and the fiscal years ended December 31, 2005, and December 31, 2006, we derived respectively 23.9%, 17.4%, and 8.1% of our consolidated revenue from CMOS image sensors, 24.8%, 34.8%, and 36.8% from flat panel display drivers, and 36.2%, 36.8%, and 46.0% from semiconductor manufacturing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Original Acquisition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business was named MagnaChip Semiconductor when it was acquired from Hynix Semiconductor Inc. on October 6, 2004, by Citigroup Venture Capital Equity Partners, L.P. (now known as Court Square Capital Partners, but referred to herein as “CVC”), Francisco Partners L.P., or “Francisco Partners,” CVC Asia Pacific Limited, or “CVC Asia Pacific,” certain members of management and other investors, following discussions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 We refer to the acquisition transaction, including the related definitive agreements with Hynix, as the “Original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Divestment of Application Processor Business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January 31, 2006, we completed the sale of our application processor business to ABOV Semiconductor Co., Ltd., a new independent entity formed by the investors in GreenChips Co., Ltd., a Korean semiconductor solution provider. The application processor business primarily included assets, staff, and intellectual property related to MagnaChip’s 8-bit and 32-bit microcontroller, SmartCard controller, microperipheral IC, and linear IC product lines. MagnaChip retained a 2.3% equity stake in the new entity, and our semiconductor manufacturing services business continues to provide wafer foundry services for ABOV Semiconductor.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competitive strengths include: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Leading Technology and Intellectual Property. </w:t>
      </w:r>
      <w:r>
        <w:rPr>
          <w:rFonts w:ascii="Arial" w:cs="Arial" w:eastAsia="Arial" w:hAnsi="Arial"/>
          <w:sz w:val="18"/>
          <w:szCs w:val="18"/>
          <w:color w:val="auto"/>
        </w:rPr>
        <w:t>We believe our advanced process technology and portfolio of approximately 8,500 registered and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provide us with key competitive advantages in the following areas:</w:t>
      </w:r>
    </w:p>
    <w:p>
      <w:pPr>
        <w:spacing w:after="0" w:line="51"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sensors feature low power consumption and currently up to 3.2 megapixel resolution with auto-focus and</w:t>
      </w:r>
      <w:r>
        <w:rPr>
          <w:rFonts w:ascii="Arial" w:cs="Arial" w:eastAsia="Arial" w:hAnsi="Arial"/>
          <w:sz w:val="18"/>
          <w:szCs w:val="18"/>
          <w:i w:val="1"/>
          <w:iCs w:val="1"/>
          <w:color w:val="auto"/>
        </w:rPr>
        <w:t xml:space="preserve"> </w:t>
      </w:r>
      <w:r>
        <w:rPr>
          <w:rFonts w:ascii="Arial" w:cs="Arial" w:eastAsia="Arial" w:hAnsi="Arial"/>
          <w:sz w:val="18"/>
          <w:szCs w:val="18"/>
          <w:color w:val="auto"/>
        </w:rPr>
        <w:t>auto-zoom options; features which provide important benefits to products incorporating our solutions, including increased battery life, enhanced image quality and ease of use.</w:t>
      </w:r>
    </w:p>
    <w:p>
      <w:pPr>
        <w:spacing w:after="0" w:line="59"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i w:val="1"/>
          <w:iCs w:val="1"/>
          <w:color w:val="auto"/>
        </w:rPr>
        <w:t xml:space="preserve">Flat panel display drivers: </w:t>
      </w:r>
      <w:r>
        <w:rPr>
          <w:rFonts w:ascii="Arial" w:cs="Arial" w:eastAsia="Arial" w:hAnsi="Arial"/>
          <w:sz w:val="18"/>
          <w:szCs w:val="18"/>
          <w:color w:val="auto"/>
        </w:rPr>
        <w:t>We believe that our flat panel display drivers offer superior performance in shaping image signals and transmitting those</w:t>
      </w:r>
      <w:r>
        <w:rPr>
          <w:rFonts w:ascii="Arial" w:cs="Arial" w:eastAsia="Arial" w:hAnsi="Arial"/>
          <w:sz w:val="18"/>
          <w:szCs w:val="18"/>
          <w:i w:val="1"/>
          <w:iCs w:val="1"/>
          <w:color w:val="auto"/>
        </w:rPr>
        <w:t xml:space="preserve"> </w:t>
      </w:r>
      <w:r>
        <w:rPr>
          <w:rFonts w:ascii="Arial" w:cs="Arial" w:eastAsia="Arial" w:hAnsi="Arial"/>
          <w:sz w:val="18"/>
          <w:szCs w:val="18"/>
          <w:color w:val="auto"/>
        </w:rPr>
        <w:t>signals to flat panel displays. These technical features result in sharper, brighter and higher-quality colored images in our customers’ end products. Furthermore, we believe that our flat panel display drivers enable thinner and more power-efficient flat panels that are easily integrated by our customers into their products.</w:t>
      </w:r>
    </w:p>
    <w:p>
      <w:pPr>
        <w:spacing w:after="0" w:line="62"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We have developed high-voltage, analog power and embedded memory specialty manufacturing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enable us to manufacture differentiated, high performance integrated semiconductor devices. For example, we developed the first high-voltage, high- performance CMOS 0.18 µm process, which enables us to manufacture more integrated, and thus smaller and more cost-efficient, semiconductor products. We believe that our proprietary process technology allows us to meet a wide variety of the specialty semiconductor manufacturing needs of our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i w:val="1"/>
          <w:iCs w:val="1"/>
          <w:color w:val="auto"/>
        </w:rPr>
        <w:t xml:space="preserve">Flexible In-House Manufacturing. </w:t>
      </w:r>
      <w:r>
        <w:rPr>
          <w:rFonts w:ascii="Arial" w:cs="Arial" w:eastAsia="Arial" w:hAnsi="Arial"/>
          <w:sz w:val="15"/>
          <w:szCs w:val="15"/>
          <w:color w:val="auto"/>
        </w:rPr>
        <w:t>Our in-house wafer manufacturing capacity allows us to provide dependable delivery and quality of integrated</w:t>
      </w:r>
      <w:r>
        <w:rPr>
          <w:rFonts w:ascii="Arial" w:cs="Arial" w:eastAsia="Arial" w:hAnsi="Arial"/>
          <w:sz w:val="15"/>
          <w:szCs w:val="15"/>
          <w:i w:val="1"/>
          <w:iCs w:val="1"/>
          <w:color w:val="auto"/>
        </w:rPr>
        <w:t xml:space="preserve"> </w:t>
      </w:r>
      <w:r>
        <w:rPr>
          <w:rFonts w:ascii="Arial" w:cs="Arial" w:eastAsia="Arial" w:hAnsi="Arial"/>
          <w:sz w:val="15"/>
          <w:szCs w:val="15"/>
          <w:color w:val="auto"/>
        </w:rPr>
        <w:t>semiconductor products to our customers. We have the ability to ramp quickly to high volumes to meet the variable needs of our customers. We have significant wafer manufacturing capacity as a result of our former parent’s investments in our wafer fabrication facilities. Because we offer specialty process technologies that do not require expensive investment in leading edge smaller geometry process equipment, we are able to keep our capital expenditures relatively low.</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Significant Cost Advantages. </w:t>
      </w:r>
      <w:r>
        <w:rPr>
          <w:rFonts w:ascii="Arial" w:cs="Arial" w:eastAsia="Arial" w:hAnsi="Arial"/>
          <w:sz w:val="18"/>
          <w:szCs w:val="18"/>
          <w:color w:val="auto"/>
        </w:rPr>
        <w:t>We maintain price competitiveness on our products through our low cost operating structure. The Asian location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manufacturing and research and development facilities provides us with a number of cost advantages relative to operating in other regions in the world. Additionally, we believe that our history of competing in the highly cost-sensitive markets in which we operated when we were a unit of Hynix required us to refine our manufacturing processes for optimal cost efficiency.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Established Relationships With Key Consumer Electronics OEMs. </w:t>
      </w:r>
      <w:r>
        <w:rPr>
          <w:rFonts w:ascii="Arial" w:cs="Arial" w:eastAsia="Arial" w:hAnsi="Arial"/>
          <w:sz w:val="18"/>
          <w:szCs w:val="18"/>
          <w:color w:val="auto"/>
        </w:rPr>
        <w:t>Our long history of operating in Asia and our proximity to leading communications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OEMs facilitate our close customer relationships 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leading innovators in the consumer electronics market. We have active local applications and engineering work support programs for our customers and collaborate closely with our customers in the design and manufacturing of their products.</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Significant Management and Board Expertise. </w:t>
      </w:r>
      <w:r>
        <w:rPr>
          <w:rFonts w:ascii="Arial" w:cs="Arial" w:eastAsia="Arial" w:hAnsi="Arial"/>
          <w:sz w:val="15"/>
          <w:szCs w:val="15"/>
          <w:color w:val="auto"/>
        </w:rPr>
        <w:t>Our management and Board of Directors have significant previous experience with advanced semiconductor</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both in Asia and worldwide. Our executives have many years of experience at such leading companies as Hynix, Samsung, Fairchild Semiconductor, and ChipPAC. In addition, two of our equity sponsors, CVC and Francisco Partners, have a long history of investments in semiconductor companies. We believe that their understanding of semiconductor system solutions, relationships, and credibility with key customers provides us with a key competitive advantage.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goal is to build upon our position as a leading provider of mixed-signal and digital multimedia semiconductors addressing the convergence of consumer electronics and communications devices. Our business strategy emphasizes the following key elements: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Leverage Our Substantial Intellectual Property. </w:t>
      </w:r>
      <w:r>
        <w:rPr>
          <w:rFonts w:ascii="Arial" w:cs="Arial" w:eastAsia="Arial" w:hAnsi="Arial"/>
          <w:sz w:val="16"/>
          <w:szCs w:val="16"/>
          <w:color w:val="auto"/>
        </w:rPr>
        <w:t>We intend to use our broad patent portfolio and specific end market expertise to deliver system-level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with higher levels of integration and performance to customers in our existing and new markets. In CMOS image sensors, we intend to leverage our strong pixel design and manufacturing expertise to introduce higher resolution, more integrated and cost-effective solutions for camera-equipped mobile handsets and to penetrate emerging applications for image sensors in the automotive, medical and industrial markets over time. In flat panel display drivers, we intend to leverage our broad library of circuit building blocks, our embedded memory capabilities, our understanding of the major flat panel display types and our process technology to continue to reduce time to market and introduce new products that enhance image quality and operate with greater power efficiency. Our manufacturing process expertise and related intellectual property underlies and supports many of the advances in our technology.</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Strengthen Collaboration With Key Customers. </w:t>
      </w:r>
      <w:r>
        <w:rPr>
          <w:rFonts w:ascii="Arial" w:cs="Arial" w:eastAsia="Arial" w:hAnsi="Arial"/>
          <w:sz w:val="18"/>
          <w:szCs w:val="18"/>
          <w:color w:val="auto"/>
        </w:rPr>
        <w:t>We intend to continue strengthening and deepening relationships with our key customers by collaborating</w:t>
      </w:r>
      <w:r>
        <w:rPr>
          <w:rFonts w:ascii="Arial" w:cs="Arial" w:eastAsia="Arial" w:hAnsi="Arial"/>
          <w:sz w:val="18"/>
          <w:szCs w:val="18"/>
          <w:i w:val="1"/>
          <w:iCs w:val="1"/>
          <w:color w:val="auto"/>
        </w:rPr>
        <w:t xml:space="preserve"> </w:t>
      </w:r>
      <w:r>
        <w:rPr>
          <w:rFonts w:ascii="Arial" w:cs="Arial" w:eastAsia="Arial" w:hAnsi="Arial"/>
          <w:sz w:val="18"/>
          <w:szCs w:val="18"/>
          <w:color w:val="auto"/>
        </w:rPr>
        <w:t>on critical design and product development roadmaps. We believe such collaborative relationships will solidify our position with our customers, further our competitive differentiation and accelerate our drive for deeper customer and new market penetration. For example, close collaboration with our mobile handset customers has allowed us to deliver improved interfaces between baseband and image processors, which have resulted in solutions with smaller form factors and improved image quality.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Increase Large Account Penetration. </w:t>
      </w:r>
      <w:r>
        <w:rPr>
          <w:rFonts w:ascii="Arial" w:cs="Arial" w:eastAsia="Arial" w:hAnsi="Arial"/>
          <w:sz w:val="18"/>
          <w:szCs w:val="18"/>
          <w:color w:val="auto"/>
        </w:rPr>
        <w:t>We have a global customer base consisting of leading consumer electronics OEMs and contract manufacturers. Many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have multiple product variations that use image-capture and processing. We will seek to increase our customer penetration by taking advantage of our broad product portfolio and existing relationships to cross-sell existing products to our customers and to penetrate product variations where our solutions are currently not used.</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Broaden Our Customer Base. </w:t>
      </w:r>
      <w:r>
        <w:rPr>
          <w:rFonts w:ascii="Arial" w:cs="Arial" w:eastAsia="Arial" w:hAnsi="Arial"/>
          <w:sz w:val="18"/>
          <w:szCs w:val="18"/>
          <w:color w:val="auto"/>
        </w:rPr>
        <w:t>We intend to expand our customer base across various applications and geographic locations by leveraging our position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 to many of the largest global consumer electronics companies and delivering to potential customers proven, innovative solutions. We also believe that as consumer electronics and communications applications converge and proliferate, we will increasingly have opportunities to sell our products into new markets such as the automotive, medical and industrial markets. We also intend to expand our global sales presence to penetrate new accounts worldwide and grow existing account relationships. We will leverage our sales representatives and distributors located throughout Asia, the United States, and Europe to further these goals.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Leverage Our Capital Light Business Model. </w:t>
      </w:r>
      <w:r>
        <w:rPr>
          <w:rFonts w:ascii="Arial" w:cs="Arial" w:eastAsia="Arial" w:hAnsi="Arial"/>
          <w:sz w:val="18"/>
          <w:szCs w:val="18"/>
          <w:color w:val="auto"/>
        </w:rPr>
        <w:t>We acquired significant proprietary process technologies and wafer manufacturing capacity from our former</w:t>
      </w:r>
      <w:r>
        <w:rPr>
          <w:rFonts w:ascii="Arial" w:cs="Arial" w:eastAsia="Arial" w:hAnsi="Arial"/>
          <w:sz w:val="18"/>
          <w:szCs w:val="18"/>
          <w:i w:val="1"/>
          <w:iCs w:val="1"/>
          <w:color w:val="auto"/>
        </w:rPr>
        <w:t xml:space="preserve"> </w:t>
      </w:r>
      <w:r>
        <w:rPr>
          <w:rFonts w:ascii="Arial" w:cs="Arial" w:eastAsia="Arial" w:hAnsi="Arial"/>
          <w:sz w:val="18"/>
          <w:szCs w:val="18"/>
          <w:color w:val="auto"/>
        </w:rPr>
        <w:t>parent, Hynix. We intend to leverage these investments made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Hynix to drive our growth and margin improvement. Furthermore, we plan to continue to keep our capital expenditures relatively low by maintaining our focus on specialty process technologies that do not require expensive investment in leading edge technologies. If needed, we will access other foundries that provide such technology in the future. We believe this approach will lead to a higher return on invested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 balanced portfolio of products that address many of the most rapidly growing consumer electronics markets. We have determined, based on the nature of our operations and products offered to customers, that our reportable segments are Imaging Solutions, Display Solutions, and Semiconductor Manufacturing Services. The Imaging Solutions segment’s primary products are CMOS image sensors, and the Display Solutions segment’s primary products are flat panel display drivers. The Semiconductor Manufacturing Service segment provides wafer foundry services to clients.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Imaging Solutions</w:t>
      </w:r>
      <w:r>
        <w:rPr>
          <w:rFonts w:ascii="Arial" w:cs="Arial" w:eastAsia="Arial" w:hAnsi="Arial"/>
          <w:sz w:val="18"/>
          <w:szCs w:val="18"/>
          <w:color w:val="auto"/>
        </w:rPr>
        <w:t>. Our highly integrated image sensors are designed to be cost effective and to provide brighter, sharper, more colorful and, thus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image quality for use primarily in applications that require small form factors, low power consumption, effective heat dissipation and high reliability. Our image sensors fully satisfy these key criteria and are used in image capture applications such as camera-equipped mobile handsets and personal computer cameras. Our in-house manufacturing capabilities enable us to continuously fine tune our CMOS process technology to deliver improved image-capture sensitivity and accuracy.</w:t>
      </w:r>
    </w:p>
    <w:p>
      <w:pPr>
        <w:spacing w:after="0" w:line="143"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CMOS image sensors are typically less expensive to produce and consume less power than other types of image sensors. Historically, CMOS image sensors were primarily used for low-cost applications for which high-image quality was not a priority. Recently, advances in semiconductor manufacturing processes and design techniques have led to improvements in CMOS image sensor performance and quality. As a result, CMOS image sensors have become useful, relatively low-cost solutions for use in applications such as camera-equipped mobile handsets and PDAs, where high-image quality, low power consumption, small size and low-cost are important considerations.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According to iSuppli, total worldwide image sensor revenue is expected to grow from $6.56 billion to $9.146 billion from 2006 to 2010, while unit shipments for area sensors such as our products will grow from 919 million units in 2006 to 1.538 billion units in 2010. Image sensor revenues for wireless electronics are forecasted by iSuppli to grow from 29% of the total revenue in 2006 to 64% by 2010. Conversely, revenues for consumer electronics will drop from 45% to 18% of the total market. Handsets accounted for 70% of all image sensor unit shipments in 2005 and will increase at a compound annual growth rate of 20% to account for 77% of all sensor shipments by 2010. Importantly, sensors for digital still cameras will only increase at a 5.8% compound annual growth rate from 98 million units in 2005, or 14.5% of the total, to 130 million units in 2010, or 8.4% of the total.</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CMOS image sensors are characterized by a high level of integration. Many CMOS image sensors systems are made up of at least two integrated circuits: the CMOS image sensor itself and a separate image signal processor, or ISP. With the continuing demand for ever smaller camera-enabled devices, small size has become an increasingly important consideration for manufacturers of camera phones and similar products. Our products meet this demand for smaller form factors by integrating both our proprietary image sensor and image signal processor onto a single chip, thus occupying approximately half of the space required by multiple chip solutions, while providing equivalent or even superior image quality with lower power consumption and a lower overall cost.</w:t>
      </w:r>
    </w:p>
    <w:p>
      <w:pPr>
        <w:spacing w:after="0" w:line="1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offer CMOS image sensors with resolutions of VGA, 1.0MP (megapixels), 1.3MP, 2.1MP and 3.2MP. Our solutions enable small form factor camera module implementations which are required for today’s demanding industrial designs, such as very thin mobile phones. All of our solutions support both video and still capture modes, and provide sub-sampling modes to enable preview modes of operation with reduced power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consumption. The choice of resolution by an OEM customer may involve many factors such as size, power and cost target. By offering a full line of solutions, we can service our customer’s requirements across the multiple end products they may offer.</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imaging solutions segment received revenues of $60.5 million and had a gross loss of $4.0 million during the year ended December 31, 2006, revenues and gross profit of $163.3 million and $25.4 million during the year ended December 31, 2005, and revenues and gross profit of $58.1 million and $12.7 million during the three-month period ended December 31, 2004.</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Display Solutions</w:t>
      </w:r>
      <w:r>
        <w:rPr>
          <w:rFonts w:ascii="Arial" w:cs="Arial" w:eastAsia="Arial" w:hAnsi="Arial"/>
          <w:sz w:val="16"/>
          <w:szCs w:val="16"/>
          <w:color w:val="auto"/>
        </w:rPr>
        <w:t>. Our flat panel display driver solutions are used in a wide variety of displays for mass market and commercial applications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mobile handsets, handheld gaming devices, PDAs, displays for desktop and mobile computer monitors and flat panel televisions. We produce highly integrated flat panel display driver solutions and have pioneered developments in embedded memory and in the design and manufacturing of display drivers, enabling our customers to provide improved picture quality through thinner, smaller, more power-efficient displays.</w:t>
      </w:r>
    </w:p>
    <w:p>
      <w:pPr>
        <w:spacing w:after="0" w:line="113"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Display drivers are the critical semiconductor components that enable the display’s functionality. A display driver operates by interfacing with the host processor to generate the precise analog voltages and currents required to create images on the display. The performance characteristics of a display driver are critical to the quality and visual appeal of the images and text generated on the display and, in mobile devices, the power efficiency of the device. Our display drivers are highly integrated semiconductors that are customized for the particular needs of our customers. We believe that our design engineering expertise, technology leadership, manufacturing process expertise and library of functional building blocks produce display drivers that enable a wide variety of display types with high-impact visual performance.</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overall end market for flat panel display drivers is composed of a multitude of consumer electronics device markets such as television, laptop and desktop computers and portable consumer devices, including mobile handsets. This overall market can be broken down into several distinct sub-markets which we serve. These sub-markets include large panel TFTs, typically used in flat panel televisions and computer displays, small panel TFTs, typically used in mobile handsets, OLEDs and Color STNs. iSuppli forecasts in the Display Driver ICs Market Tracker that small and medium flat panel display producer shipments will increase from approximately 1.897 billion units in 2006 to 2.226 billion units by 2010, a compound annual growth rate of 4.1%. DisplaySearch forecasts the large TFT LCD market size to increase from 258 million units and $96 billion revenue in 2006 to 462 million units and $138 billion revenue in 2010, a compound annual growth rate of 16%.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display drivers for use in several different types of display technologies and for a variety of end-market applications as discussed below.</w:t>
      </w:r>
    </w:p>
    <w:p>
      <w:pPr>
        <w:spacing w:after="0" w:line="113"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i w:val="1"/>
          <w:iCs w:val="1"/>
          <w:color w:val="auto"/>
        </w:rPr>
        <w:t xml:space="preserve">TFT-LCD. </w:t>
      </w:r>
      <w:r>
        <w:rPr>
          <w:rFonts w:ascii="Arial" w:cs="Arial" w:eastAsia="Arial" w:hAnsi="Arial"/>
          <w:sz w:val="16"/>
          <w:szCs w:val="16"/>
          <w:color w:val="auto"/>
        </w:rPr>
        <w:t>TFT is an advanced active matrix LCD technology that uses a matrix of transistors embedded on a thin film of silicon to change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transparency of the LCD when voltage is applied. TFT-LCD technology is currently widely used for notebook computers and large scale flat panel monitors (Large TFT) as well as for displays for high-end mobile devices such as advanced mobile handsets (Small TFT). We currently provide Large TFT display drivers for use in mobile and desktop computer displays and in stand-alone flat panel television displays. We also provide Small TFT display drivers for use in mobile handsets, PDAs and in other consumer devices such as handheld gaming devices.</w:t>
      </w:r>
    </w:p>
    <w:p>
      <w:pPr>
        <w:spacing w:after="0" w:line="35" w:lineRule="exact"/>
        <w:rPr>
          <w:sz w:val="20"/>
          <w:szCs w:val="20"/>
          <w:color w:val="auto"/>
        </w:rPr>
      </w:pPr>
    </w:p>
    <w:p>
      <w:pPr>
        <w:jc w:val="center"/>
        <w:ind w:left="420"/>
        <w:spacing w:after="0"/>
        <w:rPr>
          <w:sz w:val="20"/>
          <w:szCs w:val="20"/>
          <w:color w:val="auto"/>
        </w:rPr>
      </w:pPr>
      <w:r>
        <w:rPr>
          <w:rFonts w:ascii="Arial" w:cs="Arial" w:eastAsia="Arial" w:hAnsi="Arial"/>
          <w:sz w:val="16"/>
          <w:szCs w:val="16"/>
          <w:i w:val="1"/>
          <w:iCs w:val="1"/>
          <w:color w:val="auto"/>
        </w:rPr>
        <w:t xml:space="preserve">Color STN. </w:t>
      </w:r>
      <w:r>
        <w:rPr>
          <w:rFonts w:ascii="Arial" w:cs="Arial" w:eastAsia="Arial" w:hAnsi="Arial"/>
          <w:sz w:val="16"/>
          <w:szCs w:val="16"/>
          <w:color w:val="auto"/>
        </w:rPr>
        <w:t>Color STN is a low-power, low-cost solution based on passive matrix LCD technology and is widely used in color mobile displays</w:t>
      </w:r>
    </w:p>
    <w:p>
      <w:pPr>
        <w:spacing w:after="0" w:line="38" w:lineRule="exact"/>
        <w:rPr>
          <w:sz w:val="20"/>
          <w:szCs w:val="20"/>
          <w:color w:val="auto"/>
        </w:rPr>
      </w:pPr>
    </w:p>
    <w:p>
      <w:pPr>
        <w:jc w:val="center"/>
        <w:ind w:left="440"/>
        <w:spacing w:after="0"/>
        <w:rPr>
          <w:sz w:val="20"/>
          <w:szCs w:val="20"/>
          <w:color w:val="auto"/>
        </w:rPr>
      </w:pPr>
      <w:r>
        <w:rPr>
          <w:rFonts w:ascii="Arial" w:cs="Arial" w:eastAsia="Arial" w:hAnsi="Arial"/>
          <w:sz w:val="15"/>
          <w:szCs w:val="15"/>
          <w:color w:val="auto"/>
        </w:rPr>
        <w:t>available in the market today. Our Color STN display drivers are used in mobile applications such as mobile handsets, PDAs and handheld gaming devices.</w:t>
      </w:r>
    </w:p>
    <w:p>
      <w:pPr>
        <w:spacing w:after="0" w:line="118"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i w:val="1"/>
          <w:iCs w:val="1"/>
          <w:color w:val="auto"/>
        </w:rPr>
        <w:t xml:space="preserve">Organic Light Emitting Diode or OLED. </w:t>
      </w:r>
      <w:r>
        <w:rPr>
          <w:rFonts w:ascii="Arial" w:cs="Arial" w:eastAsia="Arial" w:hAnsi="Arial"/>
          <w:sz w:val="18"/>
          <w:szCs w:val="18"/>
          <w:color w:val="auto"/>
        </w:rPr>
        <w:t>OLED is a relatively new display technology used in both mobile displays as well as in larger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OLED technology provides enhanced picture quality, low power consumption and long product life; it also has fast image response time, making it an ideal solution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displaying motion pictures on mobile devices. We currently offer display drivers for OLED displays used in mobile handsets and other mobile devices.</w:t>
      </w: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display solutions segment received revenues of $273.7 million and gross profit of $35.6 million during the year ended December 31, 2006, $326.1 million and $66.6 million during the year ended December 31, 2005, and $60.3 million and $4.5 million during the three-month period ended December 31, 2004.</w:t>
      </w:r>
    </w:p>
    <w:p>
      <w:pPr>
        <w:spacing w:after="0" w:line="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Semiconductor Manufacturing Services</w:t>
      </w:r>
      <w:r>
        <w:rPr>
          <w:rFonts w:ascii="Arial" w:cs="Arial" w:eastAsia="Arial" w:hAnsi="Arial"/>
          <w:sz w:val="18"/>
          <w:szCs w:val="18"/>
          <w:color w:val="auto"/>
        </w:rPr>
        <w:t>. We provide semiconductor manufacturing services primarily to semiconductor companies that do not have their</w:t>
      </w:r>
      <w:r>
        <w:rPr>
          <w:rFonts w:ascii="Arial" w:cs="Arial" w:eastAsia="Arial" w:hAnsi="Arial"/>
          <w:sz w:val="18"/>
          <w:szCs w:val="18"/>
          <w:i w:val="1"/>
          <w:iCs w:val="1"/>
          <w:color w:val="auto"/>
        </w:rPr>
        <w:t xml:space="preserve"> </w:t>
      </w:r>
      <w:r>
        <w:rPr>
          <w:rFonts w:ascii="Arial" w:cs="Arial" w:eastAsia="Arial" w:hAnsi="Arial"/>
          <w:sz w:val="18"/>
          <w:szCs w:val="18"/>
          <w:color w:val="auto"/>
        </w:rPr>
        <w:t>own fabs. We target the market for diversified semiconductor products that require differentiated specialty process technologies for their manufacture, including high-voltage CMOS, non-volatile memory processes, power, analog and mixed-signal processes. We focus on specialty process technologies that do not require significant recurring capital investment, and we are able to better differentiate ourselves through the depth of our intellectual property portfolio and process technology skills.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increasing trend toward the outsourcing of semiconductor manufacturing has resulted in a rapid increase in the size of this market. According to iSuppli, the worldwide foundry service market is projected to grow from in excess of $26.6 billion in 2006 to $44.3 billion in 2010, a compound annual growth rate of 13.6%.</w:t>
      </w:r>
    </w:p>
    <w:p>
      <w:pPr>
        <w:spacing w:after="0" w:line="14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Typical applications serviced by our semiconductor manufacturing services business are high-voltage, analog and mixed-signal, power, and non-volatile memory products for consumer, data processing, mobile, game and data communication end-markets. We have developed specialty manufacturing process technologies that enable us to manufacture differentiated, high-performance integrated semiconductor devices. For example, we developed a distinctive high-voltage, high-performance CMOS 0.18 µm process that enables us to manufacture more integrated, and thus smaller and more cost efficient, semiconductor products. We believe that our proprietary process technology allows us to meet a wide variety of the specialty semiconductor manufacturing needs of our customers.</w:t>
      </w:r>
    </w:p>
    <w:p>
      <w:pPr>
        <w:spacing w:after="0" w:line="14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internal wafer fab facilities serve both our in-house product design groups and external foundry customers, allowing for both specialty process technology expertise and flexible manufacturing capacity. We target to be the primary-source provider of semiconductor manufacturing services for specialty process technologies for our foundry customers.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semiconductor manufacturing services segment received revenues of $342.4 million and gross profit of $45.7 million during the year ended December 31, 2006, $345.4 million and $110.4 million during the year ended December 31, 2005, and $88.3 million and $19.1 million during the three-month period ended December 31, 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year ended December 31, 2006, we sold over 2,200 products to more than 240 customers. In the year ended December 31, 2006, our 10 largest customers accounted for approximately 65.6% of our net sales, and we had one customer, a group of LG affiliates including LG.Philips LCD, representing greater than 10% of our net sales. See “Risk Factors—A significant portion of our sales comes from a relatively limited number of customers.”</w:t>
      </w:r>
    </w:p>
    <w:p>
      <w:pPr>
        <w:spacing w:after="0" w:line="10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Revenue classified by geography is determined by the headquarters locations of our customers. During the year ended December 31, 2006, we received revenues of $62.3 million from external customers in the United States and $682.0 million from all foreign countries, of which 60.7% was from Korea, 11.5% from Japan, 17.4% from Taiwan, and 7.5% from China, Hong Kong, and Macau. During the year ended December 31, 2005, we received revenues of $45.5 million from external customers in the United States and $892.2 million from all foreign countries, of which 57.4% was from Korea, 11.0% from Japan, 16.0% from Taiwan, and 11.8% from China, Hong Kong, and Macau. During the three-month period ended December 31, 2004, we received revenues of $9.3 million from external customers in the United States and $234.3 million from all foreign countries,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which 54.3% was from Korea, 16.2% from Japan, 12.8% from Taiwan, and 13.5% from China, Hong Kong, and Macau.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We have strategically located our sales and technical support offices near concentrations of major customers. Our direct sales force consists primarily of representatives located in our headquarters in Korea, as well as representatives located elsewhere throughout Asia, the United States, and Europe. Our network of authorized agents and distributors consists of agents in the United States and Europe and distributors and agents in the Asia Pacific region. During the year ended December 31, 2006, we derived approximately 74% of net sales through our direct sales force and 26% of net sales through our network of authorized agents and distributors.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product inventory is primarily located in Korea and is available for drop shipment globally. Outside of Korea, we maintain limited amounts of product inventory, and our sales representatives generally relay orders to our headquarters for fulfillment. Our agreements with our authorized agents and distributors are usually terminable by either party on relatively short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expenditures for research and development were $131.2 million, representing 17.6% of net sales for the year ended December 31, 2006, $107.6 million, representing 11.5% of net sales for the year ended December 31, 2005, and $97.8 million, representing 9.0% of net sales for the year ended December 31, 2004. Our research and development efforts focus on process technology, design methodology and intellectual property for our semiconductor products and foundry services. As a result, we have implemented improvements to our manufacturing processes, design software and design libraries, including our 0.15 µm high-voltage process and our 0.13 µm CIS process and library. We also work closely with our major customers in many research and development activities, including joint intellectual property development, to increase the likelihood that our products will be more easily designed into the customers’ products and consequently achieve rapid and lasting market acceptance. In CMOS image sensors, we are focusing on pixel size reduction, thereby enabling smaller form factors and higher resolution sensors. In flat panel display drivers, we are focusing on further integration. In semiconductor manufacturing services, our research and development work allows us to add features such as mixed-signal, high voltage, embedded memory and power devices.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use processes that require specialized raw materials that are generally available from a limited number of suppliers. In 2006, we diversified suppliers for many of our raw materials, including chemicals, gases, and tape, which is one of the process materials for our display drivers. We continue to attempt to qualify additional suppliers for these materials. Although we have not experienced any significant raw material shortages in the past, it is possible that going forward our business and results of operations could be adversely affected due to supply shortages or price increases for raw materials.</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Worldwide supplies of silicon wafers, an important raw material for the semiconductors we manufacture, have been decreasing due to a worldwide shortage of polysilicon, the raw material of wafers, and are not expected to increase until late 2008. Polysilicon is also a key raw material for solar cells, the demand for which has steadily increased over the last two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March 1, 2007, our portfolio of intellectual property assets included approximately 8,500 registered and pending patents. Our patents expire at various times over the next 18 years. While these patents are in the aggregate important to our competitive position, no single registered or pending patent is material to 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the intellectual property license agreement that we entered into with Hynix in connection with the Original Acquisition, we obtained from Hynix a non-exclusive license to certain intellectual property of Hynix that is mostly patent-related, and we granted to Hynix a non-exclusive license to certain of our intellectual property. Additionally, 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ARM’s ARM7 and ARM9 core-based System-on-Chip.</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rely on proprietary know-how, continuing technological innovation and other trade secrets to develop products and maintain our competitive position. We attempt to protect our proprietary know-how and our other trade secrets by executing, when appropriate, confidentiality agreements with our customers and employees. We cannot assure you that our competitors will not discover comparable or the same knowledge and techniques through independent development or other means.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operate in highly competitive markets. Although no one company competes with us in all of our product lines, we face significant competition in each of our market segments.</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competitors include other manufacturers and designers of system semiconductors, standard products, and semi-standard programmable digital logic semiconductor products, as well as customers who design their own semiconductors that are manufactured at third party foundries.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compete with other semiconductor providers based on design experience, the ability to service customer needs from the design phase to the shipping of a completed product, length of design cycle, longevity of technology support and sales and technical support personnel. Our ability to successfully compete depends on internal and external variables, both within and outside of our control. These variables include, but are not limited to, the timeliness with which we can develop new products and technologies, product performance and quality, manufacturing yields and availability, customer service, pricing, industry trends and general economic trends.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Our worldwide workforce consisted of 3,504 employees (full- and part-time) as of March 1, 2007, of which 455 were involved in sales, general and administrative, 485 were in research and development, 92 were in quality, reliability and assurance and 2,472 were in manufacturing (comprised of 401 in engineering and 2,071 in operations). As of March 1, 2007, 2,149 employees, or approximately 61% of our workforce, were represented by the MagnaChip Semiconductor Labor Union, which is a member of the Federation of Korean Metal Workers Trade Unions.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Currently, members of the Korean Confederation of Trade Unions (KCTU), representing the former employees of two subcontractors that we retained for only three months in 2004, have demonstrated and may continue to demonstrate at our campus in Cheongju, Korea. The KCTU is demanding that we pressure other subcontractors to hire the employees and that we pay monetary compensation to the employees. These demonstrations have required additional interim expenses and may have a continuing negative impact on our operations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file periodic reports with the Securities and Exchange Commission. Copies of our Annual Reports on Form 10-K, Quarterly Reports on Form 10-Q, and Current Reports on Form 8-K, including any amendments to these reports, are available on our website at www.magnachip.com. The public may also read and copy any materials we file with the SEC at the SEC’s Public Reference Room at 100 F Street, NE, Washington, D.C. 20549, or on the SEC’s website at www.sec.gov. For information on the operation of the Public Reference Room, please call the SEC at 1-800-SEC-0330.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were to lose key customers or if customers cease to place orders for our high volume devices, our financial results will be adversely affected. While we served more than 240 customers in the twelve-month period ended December 31, 2006, net sales to our 10 largest customers represented approximately 65.6% of our net sales for the period. We had one individual customer and one group of affiliated customers that each represented greater than 10% of our net sales during the year ended December 31, 2006. Significant reductions in sales to any of these customers, the loss of major customers or the curtailment of orders for our high-volume devices within a short period of time would adversely affect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industry is subject to rapid technological change and product obsolescence as customers and competitors create new and innovative products and technologies. Products or technologies developed by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depend on our ability to attract and retain skilled technical and managerial personnel. We could lose the services of, or fail to recruit, skilled personnel, which could hinder our research and product development programs or otherwise have a material adverse effect on our business.</w:t>
      </w:r>
    </w:p>
    <w:p>
      <w:pPr>
        <w:spacing w:after="0" w:line="16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45"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As of March 1, 2007, approximately 61%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16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not be realized.</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Original Acquisition. In addition, our senior secured credit facility and the indentures governing our notes may prohibit us from making acquisitions that we may otherwise wish to pursue.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certain subcontractors.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If we cannot obtain adequate materials in a timely manner or on favorable terms for the manufacture of our products, either or both of our revenues or profits will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21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4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or licensees for damages they may suffer if the products they purchase from us or the technology they license from us violate the intellectual property rights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competitors may develop, patent or gain access to know-how and technology similar to our own. Failure to protect our existing intellectual property rights may result in the loss of valuable technologies or our having to pay other companies for infringing on their intellectual property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company organizational structure is based, in part, on assumptions about the various tax laws, including withholding tax, and other laws of applicable non-U.S. jurisdictions. In addition, our Korean subsidiary (“MagnaChip Korea”) was granted a limited tax-holiday under Korean law in October 2004, which provides for certain tax exemptions for corporate taxes, withholding taxes, acquisition taxes, property and land taxes and other taxes for five years. Our interpretations and conclusions are not binding on any taxing authority, and, if our assumptions about tax and other laws are incorrect or if the authorities were to change or modify the relevant laws, we could suffer adverse tax and other financial consequences or have the anticipated benefits of our company organizational structure materially impaired.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CVC, Francisco Partners, and CVC Asia Pacific own approximately 34.1%, 34.1% and 18.3%, respectively, of the outstanding voting interests in MagnaChip. By virtue of their ownership of these voting interests, and the securityholders’ agreement among MagnaChip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increase in tensions with North Korea could adversely affect our business, financial condition, and results of operations.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Relations between Korea and North Korea have been tense throughout Korea’s modern history. The level of tension between Korea and North Korea has fluctuated and may increase or change abruptly as a result of current and future events. Although we do not derive any revenue from, nor sell any products in, North Korea, any future increase in tensions which may occur, for example, the breakdown of high-level contacts between Korea and North Korea or the occurrence of military hostilities,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financial information may not be representative of our results as a separate company.</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Prior to the Original Acquisition, we operated as a division of Hynix. Historical financial information for periods prior to September 30, 2004, was derived from Hynix’s consolidated financial statements, has been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Original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Original Acquisition.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we share certain facilities with Hynix, a few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invest significant resources in our research and development. However, research and development efforts may not yield commercially viable products. During each stage of research and development there is a 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Beginning with our fiscal year ending December 31, 2008, our independent auditors will be required to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own and operate five wafer fabrication facilities, or fabs, which have a combined production capacity of over 119,000 eight-inch equivalent wafers per month. We manufacture wafers at our two 8-inch fabs and our 6-inch fab located in Cheongju, Korea and our 8-inch fab and our 5-inch fab located in Gumi, Korea. The Cheongju facilities have three main buildings totaling 164,058 square meters. The Gumi facilities have two main buildings with 50,351 square meters devoted to manufacturing. We also lease from Hynix certain exclusive-use space plus certain common- and joint-use space in several buildings, primarily warehouses and utility facilities, in Cheongju, Korea.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our fabs located in Cheongju and Gumi, Korea, we lease facilities in Seoul, Korea, Osaka, Japan, and Sunnyvale, California. Each of these facilities includes administration, sales and marketing, research and development, and operations functions. We also lease design facilities in Tokyo, Japan, which also has a sales and marketing office, and Lake Oswego, Oregon, and sales and marketing offices at our subsidiaries in several other countries.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that enables us to develop proprietary, differentiated products and maintain a high level of manufacturing control resulting in high production yields, shortened design and production cycles, adequate manufacturing capacity, and the capture of the wafer manufacturing profit margin.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sets forth information with respect to our manufacturing facilities and technologies: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Manufacturing</w:t>
            </w: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75"/>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Facility</w:t>
            </w:r>
          </w:p>
        </w:tc>
        <w:tc>
          <w:tcPr>
            <w:tcW w:w="24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2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Wafer Size</w:t>
            </w:r>
          </w:p>
        </w:tc>
        <w:tc>
          <w:tcPr>
            <w:tcW w:w="220" w:type="dxa"/>
            <w:vAlign w:val="bottom"/>
          </w:tcPr>
          <w:p>
            <w:pPr>
              <w:spacing w:after="0"/>
              <w:rPr>
                <w:sz w:val="15"/>
                <w:szCs w:val="15"/>
                <w:color w:val="auto"/>
              </w:rPr>
            </w:pPr>
          </w:p>
        </w:tc>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Technology</w:t>
            </w:r>
          </w:p>
        </w:tc>
      </w:tr>
      <w:tr>
        <w:trPr>
          <w:trHeight w:val="201"/>
        </w:trPr>
        <w:tc>
          <w:tcPr>
            <w:tcW w:w="2740" w:type="dxa"/>
            <w:vAlign w:val="bottom"/>
          </w:tcPr>
          <w:p>
            <w:pPr>
              <w:jc w:val="center"/>
              <w:spacing w:after="0" w:line="201" w:lineRule="exact"/>
              <w:rPr>
                <w:sz w:val="20"/>
                <w:szCs w:val="20"/>
                <w:color w:val="auto"/>
              </w:rPr>
            </w:pPr>
            <w:r>
              <w:rPr>
                <w:rFonts w:ascii="Arial" w:cs="Arial" w:eastAsia="Arial" w:hAnsi="Arial"/>
                <w:sz w:val="18"/>
                <w:szCs w:val="18"/>
                <w:color w:val="auto"/>
                <w:w w:val="88"/>
              </w:rPr>
              <w:t>F-5</w:t>
            </w:r>
          </w:p>
        </w:tc>
        <w:tc>
          <w:tcPr>
            <w:tcW w:w="240" w:type="dxa"/>
            <w:vAlign w:val="bottom"/>
          </w:tcPr>
          <w:p>
            <w:pPr>
              <w:spacing w:after="0"/>
              <w:rPr>
                <w:sz w:val="17"/>
                <w:szCs w:val="17"/>
                <w:color w:val="auto"/>
              </w:rPr>
            </w:pPr>
          </w:p>
        </w:tc>
        <w:tc>
          <w:tcPr>
            <w:tcW w:w="2640" w:type="dxa"/>
            <w:vAlign w:val="bottom"/>
          </w:tcPr>
          <w:p>
            <w:pPr>
              <w:jc w:val="center"/>
              <w:spacing w:after="0" w:line="201" w:lineRule="exact"/>
              <w:rPr>
                <w:sz w:val="20"/>
                <w:szCs w:val="20"/>
                <w:color w:val="auto"/>
              </w:rPr>
            </w:pPr>
            <w:r>
              <w:rPr>
                <w:rFonts w:ascii="Arial" w:cs="Arial" w:eastAsia="Arial" w:hAnsi="Arial"/>
                <w:sz w:val="18"/>
                <w:szCs w:val="18"/>
                <w:color w:val="auto"/>
                <w:w w:val="88"/>
              </w:rPr>
              <w:t>Cheongju</w:t>
            </w:r>
          </w:p>
        </w:tc>
        <w:tc>
          <w:tcPr>
            <w:tcW w:w="220" w:type="dxa"/>
            <w:vAlign w:val="bottom"/>
          </w:tcPr>
          <w:p>
            <w:pPr>
              <w:spacing w:after="0"/>
              <w:rPr>
                <w:sz w:val="17"/>
                <w:szCs w:val="17"/>
                <w:color w:val="auto"/>
              </w:rPr>
            </w:pPr>
          </w:p>
        </w:tc>
        <w:tc>
          <w:tcPr>
            <w:tcW w:w="2740" w:type="dxa"/>
            <w:vAlign w:val="bottom"/>
          </w:tcPr>
          <w:p>
            <w:pPr>
              <w:jc w:val="center"/>
              <w:spacing w:after="0" w:line="201" w:lineRule="exact"/>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8"/>
              </w:rPr>
              <w:t>0.18 / 0.15 / 0.13µm</w:t>
            </w: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Cheongju</w:t>
            </w: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0.35 / 0.25 / 0.22µm</w:t>
            </w: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Gumi</w:t>
            </w: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0.5 / 0.35µm</w:t>
            </w: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color w:val="auto"/>
                <w:w w:val="88"/>
              </w:rPr>
              <w:t>F-2</w:t>
            </w:r>
          </w:p>
        </w:tc>
        <w:tc>
          <w:tcPr>
            <w:tcW w:w="2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Cheongju</w:t>
            </w: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0.8 /0.6 /0.5µm</w:t>
            </w:r>
          </w:p>
        </w:tc>
      </w:tr>
      <w:tr>
        <w:trPr>
          <w:trHeight w:val="222"/>
        </w:trPr>
        <w:tc>
          <w:tcPr>
            <w:tcW w:w="2740" w:type="dxa"/>
            <w:vAlign w:val="bottom"/>
          </w:tcPr>
          <w:p>
            <w:pPr>
              <w:jc w:val="center"/>
              <w:spacing w:after="0"/>
              <w:rPr>
                <w:sz w:val="20"/>
                <w:szCs w:val="20"/>
                <w:color w:val="auto"/>
              </w:rPr>
            </w:pPr>
            <w:r>
              <w:rPr>
                <w:rFonts w:ascii="Arial" w:cs="Arial" w:eastAsia="Arial" w:hAnsi="Arial"/>
                <w:sz w:val="18"/>
                <w:szCs w:val="18"/>
                <w:color w:val="auto"/>
                <w:w w:val="88"/>
              </w:rPr>
              <w:t>F-1</w:t>
            </w:r>
          </w:p>
        </w:tc>
        <w:tc>
          <w:tcPr>
            <w:tcW w:w="2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Gumi</w:t>
            </w:r>
          </w:p>
        </w:tc>
        <w:tc>
          <w:tcPr>
            <w:tcW w:w="22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1.2µm</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outsource most of our back-end manufacturing processes, including assembly, test and packaging to independent providers of these services.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currently no established public trading market for our outstanding common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 number of record holders of our outstanding class of common equity as of March 1, 2007, was 206.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did not pay any dividends in fiscal year 2006. Our ability to pay dividends is restricted by certain covenants contained in our senior credit facilities, as well as certain restrictions contained in our indentures relating to our senior notes and our subordinated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is incorporated by reference to the information set forth in Item 12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following table sets forth our selected financial and other data as of the dates and periods indicated. The information contained in this table should be read in conjunction with “Item 7. Management’s discussion and analysis of financial condition and results of operations” and our historical financial statements and the accompanying notes thereto included elsewhere in this Form 10-K.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4"/>
          </w:tcPr>
          <w:p>
            <w:pPr>
              <w:jc w:val="center"/>
              <w:ind w:right="392"/>
              <w:spacing w:after="0"/>
              <w:rPr>
                <w:sz w:val="20"/>
                <w:szCs w:val="20"/>
                <w:color w:val="auto"/>
              </w:rPr>
            </w:pPr>
            <w:r>
              <w:rPr>
                <w:rFonts w:ascii="Arial" w:cs="Arial" w:eastAsia="Arial" w:hAnsi="Arial"/>
                <w:sz w:val="14"/>
                <w:szCs w:val="14"/>
                <w:b w:val="1"/>
                <w:bCs w:val="1"/>
                <w:color w:val="auto"/>
                <w:w w:val="86"/>
              </w:rPr>
              <w:t>Three months</w:t>
            </w:r>
          </w:p>
        </w:tc>
        <w:tc>
          <w:tcPr>
            <w:tcW w:w="1240" w:type="dxa"/>
            <w:vAlign w:val="bottom"/>
            <w:gridSpan w:val="3"/>
          </w:tcPr>
          <w:p>
            <w:pPr>
              <w:jc w:val="center"/>
              <w:ind w:right="375"/>
              <w:spacing w:after="0"/>
              <w:rPr>
                <w:sz w:val="20"/>
                <w:szCs w:val="20"/>
                <w:color w:val="auto"/>
              </w:rPr>
            </w:pPr>
            <w:r>
              <w:rPr>
                <w:rFonts w:ascii="Arial" w:cs="Arial" w:eastAsia="Arial" w:hAnsi="Arial"/>
                <w:sz w:val="14"/>
                <w:szCs w:val="14"/>
                <w:b w:val="1"/>
                <w:bCs w:val="1"/>
                <w:color w:val="auto"/>
                <w:w w:val="87"/>
              </w:rPr>
              <w:t>Nine months</w:t>
            </w:r>
          </w:p>
        </w:tc>
        <w:tc>
          <w:tcPr>
            <w:tcW w:w="100" w:type="dxa"/>
            <w:vAlign w:val="bottom"/>
          </w:tcPr>
          <w:p>
            <w:pPr>
              <w:spacing w:after="0"/>
              <w:rPr>
                <w:sz w:val="14"/>
                <w:szCs w:val="14"/>
                <w:color w:val="auto"/>
              </w:rPr>
            </w:pPr>
          </w:p>
        </w:tc>
        <w:tc>
          <w:tcPr>
            <w:tcW w:w="176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restart"/>
          </w:tcPr>
          <w:p>
            <w:pPr>
              <w:jc w:val="center"/>
              <w:ind w:right="512"/>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7"/>
                <w:szCs w:val="7"/>
                <w:color w:val="auto"/>
              </w:rPr>
            </w:pPr>
          </w:p>
        </w:tc>
        <w:tc>
          <w:tcPr>
            <w:tcW w:w="1080" w:type="dxa"/>
            <w:vAlign w:val="bottom"/>
            <w:gridSpan w:val="2"/>
            <w:vMerge w:val="restart"/>
          </w:tcPr>
          <w:p>
            <w:pPr>
              <w:jc w:val="center"/>
              <w:ind w:right="535"/>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6"/>
            <w:vMerge w:val="restart"/>
          </w:tcPr>
          <w:p>
            <w:pPr>
              <w:jc w:val="right"/>
              <w:ind w:right="732"/>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380" w:type="dxa"/>
            <w:vAlign w:val="bottom"/>
            <w:gridSpan w:val="4"/>
            <w:vMerge w:val="restart"/>
          </w:tcPr>
          <w:p>
            <w:pPr>
              <w:jc w:val="center"/>
              <w:ind w:right="4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3"/>
              </w:rPr>
              <w:t>2004</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92"/>
              <w:spacing w:after="0" w:line="142" w:lineRule="exact"/>
              <w:rPr>
                <w:sz w:val="20"/>
                <w:szCs w:val="20"/>
                <w:color w:val="auto"/>
              </w:rPr>
            </w:pPr>
            <w:r>
              <w:rPr>
                <w:rFonts w:ascii="Arial" w:cs="Arial" w:eastAsia="Arial" w:hAnsi="Arial"/>
                <w:sz w:val="14"/>
                <w:szCs w:val="14"/>
                <w:b w:val="1"/>
                <w:bCs w:val="1"/>
                <w:color w:val="auto"/>
                <w:w w:val="86"/>
              </w:rPr>
              <w:t>(Successor Company)(1)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w w:val="70"/>
              </w:rPr>
              <w:t>(Predecessor</w:t>
            </w:r>
          </w:p>
        </w:tc>
        <w:tc>
          <w:tcPr>
            <w:tcW w:w="10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Company)(1)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i w:val="1"/>
                <w:iCs w:val="1"/>
                <w:color w:val="auto"/>
                <w:w w:val="82"/>
              </w:rPr>
              <w:t>(in millions of US dollars,</w:t>
            </w:r>
          </w:p>
        </w:tc>
        <w:tc>
          <w:tcPr>
            <w:tcW w:w="1600" w:type="dxa"/>
            <w:vAlign w:val="bottom"/>
            <w:gridSpan w:val="4"/>
          </w:tcPr>
          <w:p>
            <w:pPr>
              <w:jc w:val="right"/>
              <w:ind w:right="515"/>
              <w:spacing w:after="0" w:line="149" w:lineRule="exact"/>
              <w:rPr>
                <w:sz w:val="20"/>
                <w:szCs w:val="20"/>
                <w:color w:val="auto"/>
              </w:rPr>
            </w:pPr>
            <w:r>
              <w:rPr>
                <w:rFonts w:ascii="Arial" w:cs="Arial" w:eastAsia="Arial" w:hAnsi="Arial"/>
                <w:sz w:val="14"/>
                <w:szCs w:val="14"/>
                <w:b w:val="1"/>
                <w:bCs w:val="1"/>
                <w:i w:val="1"/>
                <w:iCs w:val="1"/>
                <w:color w:val="auto"/>
                <w:w w:val="91"/>
              </w:rPr>
              <w:t>except unit data)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(139.6)</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1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5"/>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(112.3)</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(100.9)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43.2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44"/>
        </w:trPr>
        <w:tc>
          <w:tcPr>
            <w:tcW w:w="432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320" w:type="dxa"/>
            <w:vAlign w:val="bottom"/>
            <w:gridSpan w:val="2"/>
          </w:tcPr>
          <w:p>
            <w:pPr>
              <w:spacing w:after="0"/>
              <w:rPr>
                <w:sz w:val="20"/>
                <w:szCs w:val="20"/>
                <w:color w:val="auto"/>
              </w:rPr>
            </w:pPr>
            <w:r>
              <w:rPr>
                <w:rFonts w:ascii="Arial" w:cs="Arial" w:eastAsia="Arial" w:hAnsi="Arial"/>
                <w:sz w:val="18"/>
                <w:szCs w:val="18"/>
                <w:color w:val="auto"/>
              </w:rPr>
              <w:t>Weighted average number of units—basic and diluted</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52,911,734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52,898,497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50,061,910</w:t>
            </w:r>
          </w:p>
        </w:tc>
        <w:tc>
          <w:tcPr>
            <w:tcW w:w="12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75"/>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1,154.5</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1,077.8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indebtedness(4)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Preferred units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Owners’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9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exchange rate (KRW/USD)(5)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Average exchange rate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75"/>
              <w:spacing w:after="0"/>
              <w:rPr>
                <w:sz w:val="20"/>
                <w:szCs w:val="20"/>
                <w:color w:val="auto"/>
              </w:rPr>
            </w:pPr>
            <w:r>
              <w:rPr>
                <w:rFonts w:ascii="Arial" w:cs="Arial" w:eastAsia="Arial" w:hAnsi="Arial"/>
                <w:sz w:val="18"/>
                <w:szCs w:val="18"/>
                <w:color w:val="auto"/>
              </w:rPr>
              <w:t>1,163.3</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1,191.8</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End-of-period exchange rate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5"/>
              <w:spacing w:after="0"/>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1,192.0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1,186.3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28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line="25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6, 2004, MagnaChip Semiconductor LLC completed the Original Acquisition. For accounting purposes and consistent with its reporting periods, the Company has used October 1, 2004 as the effective date of the Original Acquisition since the financial results from October 1, 2004 onwards accrued to the Company’s benefit. As a result, the Company has reported its operating results and financial position for all periods from and after October 1, 2004, as those of the successor company. The predecessor company periods and the successor company periods have different bases of accounting and are therefore not comparable.</w:t>
      </w:r>
    </w:p>
    <w:p>
      <w:pPr>
        <w:ind w:left="460" w:right="2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Primarily relates to wafer foundry contract manufacturing services to Hynix Semiconductor, Inc., Hynix Display Technology and other related parties during the predecessor company periods when the Company was the System IC division within Hynix.</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Working capital is calculated as current assets less current liabilities.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indebtedness is calculated as long and short-term borrowings, including the current portion of long-term borrowings.</w:t>
      </w:r>
    </w:p>
    <w:p>
      <w:pPr>
        <w:spacing w:after="0" w:line="9" w:lineRule="exact"/>
        <w:rPr>
          <w:rFonts w:ascii="Arial" w:cs="Arial" w:eastAsia="Arial" w:hAnsi="Arial"/>
          <w:sz w:val="18"/>
          <w:szCs w:val="18"/>
          <w:color w:val="auto"/>
        </w:rPr>
      </w:pPr>
    </w:p>
    <w:p>
      <w:pPr>
        <w:ind w:left="460" w:right="160" w:hanging="452"/>
        <w:spacing w:after="0" w:line="32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substantial portion of the Company’s revenues and assets are recorded in KRW functional currency, conversion to US Dollar reporting currency is required at the end of each reporting period in order to follow the methodology prescribed in SFAS No. 52</w:t>
      </w:r>
      <w:r>
        <w:rPr>
          <w:rFonts w:ascii="Arial" w:cs="Arial" w:eastAsia="Arial" w:hAnsi="Arial"/>
          <w:sz w:val="16"/>
          <w:szCs w:val="16"/>
          <w:i w:val="1"/>
          <w:iCs w:val="1"/>
          <w:color w:val="auto"/>
        </w:rPr>
        <w:t>, Foreign Currency Translation</w:t>
      </w:r>
      <w:r>
        <w:rPr>
          <w:rFonts w:ascii="Arial" w:cs="Arial" w:eastAsia="Arial" w:hAnsi="Arial"/>
          <w:sz w:val="16"/>
          <w:szCs w:val="16"/>
          <w:color w:val="auto"/>
        </w:rPr>
        <w: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Our actual results may differ materially from those anticipated in these forward-looking statements as a result of certain factors set forth elsewhere in this Form 10-K and in the Company’s prior public filings with the SEC. These forward–looking statements are made based upon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audited consolidated financial statements and related notes included elsewhere in this Form 10-K.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We also provide wafer foundry services whereby we leverage our specialized process technologies and low cost manufacturing facilities to produce semiconductors for third parties using their product designs. Our solutions are used in a wide variety of consumer and commercial mass market applications, such as mobile handsets, including camera-equipped mobile handsets, flat panel monitors and televisions, mobile displays, portable computer displays, handheld gaming devices, PDAs and audio-visual equipment such as DVD players.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separate business segments: Display Solutions, Imaging Solutions and Semiconductor Manufacturing Services.</w:t>
      </w:r>
    </w:p>
    <w:p>
      <w:pPr>
        <w:spacing w:after="0" w:line="90" w:lineRule="exact"/>
        <w:rPr>
          <w:sz w:val="20"/>
          <w:szCs w:val="20"/>
          <w:color w:val="auto"/>
        </w:rPr>
      </w:pPr>
    </w:p>
    <w:p>
      <w:pPr>
        <w:ind w:left="780" w:right="100" w:hanging="326"/>
        <w:spacing w:after="0" w:line="335"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Display Solutions: </w:t>
      </w:r>
      <w:r>
        <w:rPr>
          <w:rFonts w:ascii="Arial" w:cs="Arial" w:eastAsia="Arial" w:hAnsi="Arial"/>
          <w:sz w:val="15"/>
          <w:szCs w:val="15"/>
          <w:color w:val="auto"/>
        </w:rPr>
        <w:t>Our Display Solutions segment offers flat panel display drivers for the entire product range of small to large panel displays,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mobile handsets, handheld gaming devices, PDAs, displays for desktop and mobile computer monitors and flat panel televisions. Our products also cover a broad range of technologies and interfaces including LTPS, TFT, CSTN, OLED technologies, RSDS and mini-LVDS interfaces.</w:t>
      </w:r>
    </w:p>
    <w:p>
      <w:pPr>
        <w:spacing w:after="0" w:line="7" w:lineRule="exact"/>
        <w:rPr>
          <w:rFonts w:ascii="Arial" w:cs="Arial" w:eastAsia="Arial" w:hAnsi="Arial"/>
          <w:sz w:val="15"/>
          <w:szCs w:val="15"/>
          <w:color w:val="auto"/>
        </w:rPr>
      </w:pPr>
    </w:p>
    <w:p>
      <w:pPr>
        <w:ind w:left="780" w:right="60" w:hanging="326"/>
        <w:spacing w:after="0" w:line="298"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address a broad spectrum of consumer electronics products ranging from camera-equipped mobile</w:t>
      </w:r>
      <w:r>
        <w:rPr>
          <w:rFonts w:ascii="Arial" w:cs="Arial" w:eastAsia="Arial" w:hAnsi="Arial"/>
          <w:sz w:val="16"/>
          <w:szCs w:val="16"/>
          <w:i w:val="1"/>
          <w:iCs w:val="1"/>
          <w:color w:val="auto"/>
        </w:rPr>
        <w:t xml:space="preserve"> </w:t>
      </w:r>
      <w:r>
        <w:rPr>
          <w:rFonts w:ascii="Arial" w:cs="Arial" w:eastAsia="Arial" w:hAnsi="Arial"/>
          <w:sz w:val="16"/>
          <w:szCs w:val="16"/>
          <w:color w:val="auto"/>
        </w:rPr>
        <w:t>handsets to personal computer webcams, offering VGA, 1.3, 2.1 and 3.2 megapixel CMOS image sensors. Our highly integrated image sensors are designed to be cost effective and to provide brighter, sharper and more colorful image quality for use primarily in applications that require small form factors, low power consumption, effective heat dissipation and high reliability.</w:t>
      </w:r>
    </w:p>
    <w:p>
      <w:pPr>
        <w:spacing w:after="0" w:line="31" w:lineRule="exact"/>
        <w:rPr>
          <w:rFonts w:ascii="Arial" w:cs="Arial" w:eastAsia="Arial" w:hAnsi="Arial"/>
          <w:sz w:val="16"/>
          <w:szCs w:val="16"/>
          <w:color w:val="auto"/>
        </w:rPr>
      </w:pPr>
    </w:p>
    <w:p>
      <w:pPr>
        <w:ind w:left="780" w:right="120" w:hanging="326"/>
        <w:spacing w:after="0" w:line="294"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uses our process technology and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to manufacture semiconductor wafers for third parties based on their designs. We provide our services to specialty markets that utilize high-voltage, embedded memory, analog and power processes. We offer customized services for clients globally at our state-of-the-art fabrication facilities located in Cheongju and Gumi, Korea. Our fabs provide us with large scale, cost-effective and flexible capacity enabling us to rapidly scale to high volume to meet shifts in demand by our end customers.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 statements of operations include allocations of certain raw materials, other assets and accounts payable which our business has historically shared with Hynix, and allocations of certain manufacturing costs, general and administrative, sales and marketing, and other miscellaneous expenses. These allocations were made on a specifically identifiable basis or using the relative percentages, as compared to Hynix’s other businesses, of sales, headcount, raw material consumption or other reasonable methods. Hynix and MagnaChip considered these allocations to be a reasonable reflection of the utilization of services provided. 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historical carve-out periods presented. As part of the Original Acquisition, we did not acquire certain assets that were included in the carve-out financial statements and we assumed certain additional obligations that are not reflected in the carve-out financial statements. Accordingly, the carve-out financial statements should not be relied upon as being representative of our financial position or operating results had we operated on a stand alone basis, nor may they be representative of our financial position or operating results following the Original Acquisition.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Prior to our fiscal year 2006, we operated in a single segment—semiconductor manufacturing. In our fiscal year 2006, subsequent to the appointment of new chief operating decision maker (the “CODM”) as defined by Statements of Financial Accounting Standards (“SFAS”) No. 131, </w:t>
      </w:r>
      <w:r>
        <w:rPr>
          <w:rFonts w:ascii="Arial" w:cs="Arial" w:eastAsia="Arial" w:hAnsi="Arial"/>
          <w:sz w:val="18"/>
          <w:szCs w:val="18"/>
          <w:i w:val="1"/>
          <w:iCs w:val="1"/>
          <w:color w:val="auto"/>
        </w:rPr>
        <w:t>Disclosure about Segments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an Enterprise and Relate Information</w:t>
      </w:r>
      <w:r>
        <w:rPr>
          <w:rFonts w:ascii="Arial" w:cs="Arial" w:eastAsia="Arial" w:hAnsi="Arial"/>
          <w:sz w:val="18"/>
          <w:szCs w:val="18"/>
          <w:color w:val="auto"/>
        </w:rPr>
        <w:t>, the manner in which the CODM reviewed the Company’s operational results and made significant business decisions was</w:t>
      </w:r>
      <w:r>
        <w:rPr>
          <w:rFonts w:ascii="Arial" w:cs="Arial" w:eastAsia="Arial" w:hAnsi="Arial"/>
          <w:sz w:val="18"/>
          <w:szCs w:val="18"/>
          <w:i w:val="1"/>
          <w:iCs w:val="1"/>
          <w:color w:val="auto"/>
        </w:rPr>
        <w:t xml:space="preserve"> </w:t>
      </w:r>
      <w:r>
        <w:rPr>
          <w:rFonts w:ascii="Arial" w:cs="Arial" w:eastAsia="Arial" w:hAnsi="Arial"/>
          <w:sz w:val="18"/>
          <w:szCs w:val="18"/>
          <w:color w:val="auto"/>
        </w:rPr>
        <w:t>changed to include disaggregated financial information with respect to our three primary business units. Segment information for the prior periods was prepared in conformity with the current segment structure.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2006 and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7"/>
              </w:rPr>
              <w:t>Year ended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left="338"/>
              <w:spacing w:after="0"/>
              <w:rPr>
                <w:sz w:val="20"/>
                <w:szCs w:val="20"/>
                <w:color w:val="auto"/>
              </w:rPr>
            </w:pPr>
            <w:r>
              <w:rPr>
                <w:rFonts w:ascii="Arial" w:cs="Arial" w:eastAsia="Arial" w:hAnsi="Arial"/>
                <w:sz w:val="14"/>
                <w:szCs w:val="14"/>
                <w:b w:val="1"/>
                <w:bCs w:val="1"/>
                <w:color w:val="auto"/>
                <w:w w:val="83"/>
              </w:rPr>
              <w:t>2006</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Arial" w:cs="Arial" w:eastAsia="Arial" w:hAnsi="Arial"/>
                <w:sz w:val="14"/>
                <w:szCs w:val="14"/>
                <w:b w:val="1"/>
                <w:bCs w:val="1"/>
                <w:color w:val="auto"/>
                <w:w w:val="83"/>
              </w:rPr>
              <w:t>2005</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28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i w:val="1"/>
                <w:iCs w:val="1"/>
                <w:color w:val="auto"/>
                <w:w w:val="86"/>
              </w:rPr>
              <w:t>(in millions of US dollars; %)</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937.7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(193.4)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644.9</w:t>
            </w:r>
          </w:p>
        </w:tc>
        <w:tc>
          <w:tcPr>
            <w:tcW w:w="2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729.0</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(84.1)</w:t>
            </w:r>
          </w:p>
        </w:tc>
        <w:tc>
          <w:tcPr>
            <w:tcW w:w="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(109.3)</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line="20" w:lineRule="exact"/>
              <w:rPr>
                <w:sz w:val="1"/>
                <w:szCs w:val="1"/>
                <w:color w:val="auto"/>
              </w:rPr>
            </w:pPr>
          </w:p>
        </w:tc>
      </w:tr>
      <w:tr>
        <w:trPr>
          <w:trHeight w:val="221"/>
        </w:trPr>
        <w:tc>
          <w:tcPr>
            <w:tcW w:w="6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2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123.3</w:t>
            </w:r>
          </w:p>
        </w:tc>
        <w:tc>
          <w:tcPr>
            <w:tcW w:w="2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94.3</w:t>
            </w:r>
          </w:p>
        </w:tc>
        <w:tc>
          <w:tcPr>
            <w:tcW w:w="2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(213.8)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(155.4)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208.5</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3"/>
              </w:rPr>
              <w:t>122.1</w:t>
            </w:r>
          </w:p>
        </w:tc>
        <w:tc>
          <w:tcPr>
            <w:tcW w:w="0" w:type="dxa"/>
            <w:vAlign w:val="bottom"/>
          </w:tcPr>
          <w:p>
            <w:pPr>
              <w:spacing w:after="0" w:line="20" w:lineRule="exact"/>
              <w:rPr>
                <w:sz w:val="1"/>
                <w:szCs w:val="1"/>
                <w:color w:val="auto"/>
              </w:rPr>
            </w:pPr>
          </w:p>
        </w:tc>
      </w:tr>
      <w:tr>
        <w:trPr>
          <w:trHeight w:val="221"/>
        </w:trPr>
        <w:tc>
          <w:tcPr>
            <w:tcW w:w="6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(220.1)</w:t>
            </w:r>
          </w:p>
        </w:tc>
        <w:tc>
          <w:tcPr>
            <w:tcW w:w="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(121.0)</w:t>
            </w:r>
          </w:p>
        </w:tc>
        <w:tc>
          <w:tcPr>
            <w:tcW w:w="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411.1</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3"/>
              </w:rPr>
              <w:t>127.3</w:t>
            </w: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 (229.3)</w:t>
            </w:r>
          </w:p>
        </w:tc>
        <w:tc>
          <w:tcPr>
            <w:tcW w:w="660" w:type="dxa"/>
            <w:vAlign w:val="bottom"/>
            <w:gridSpan w:val="2"/>
            <w:vMerge w:val="continue"/>
          </w:tcPr>
          <w:p>
            <w:pPr>
              <w:spacing w:after="0"/>
              <w:rPr>
                <w:sz w:val="19"/>
                <w:szCs w:val="19"/>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rPr>
              <w:t>$ (100.9)</w:t>
            </w:r>
          </w:p>
        </w:tc>
        <w:tc>
          <w:tcPr>
            <w:tcW w:w="8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(128.4)</w:t>
            </w:r>
          </w:p>
        </w:tc>
        <w:tc>
          <w:tcPr>
            <w:tcW w:w="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vMerge w:val="restart"/>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7"/>
              </w:rPr>
              <w:t>Year ended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left="338"/>
              <w:spacing w:after="0"/>
              <w:rPr>
                <w:sz w:val="20"/>
                <w:szCs w:val="20"/>
                <w:color w:val="auto"/>
              </w:rPr>
            </w:pPr>
            <w:r>
              <w:rPr>
                <w:rFonts w:ascii="Arial" w:cs="Arial" w:eastAsia="Arial" w:hAnsi="Arial"/>
                <w:sz w:val="14"/>
                <w:szCs w:val="14"/>
                <w:b w:val="1"/>
                <w:bCs w:val="1"/>
                <w:color w:val="auto"/>
                <w:w w:val="83"/>
              </w:rPr>
              <w:t>2006</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left="318"/>
              <w:spacing w:after="0"/>
              <w:rPr>
                <w:sz w:val="20"/>
                <w:szCs w:val="20"/>
                <w:color w:val="auto"/>
              </w:rPr>
            </w:pPr>
            <w:r>
              <w:rPr>
                <w:rFonts w:ascii="Arial" w:cs="Arial" w:eastAsia="Arial" w:hAnsi="Arial"/>
                <w:sz w:val="14"/>
                <w:szCs w:val="14"/>
                <w:b w:val="1"/>
                <w:bCs w:val="1"/>
                <w:color w:val="auto"/>
                <w:w w:val="83"/>
              </w:rPr>
              <w:t>2005</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total</w:t>
            </w:r>
          </w:p>
        </w:tc>
        <w:tc>
          <w:tcPr>
            <w:tcW w:w="280" w:type="dxa"/>
            <w:vAlign w:val="bottom"/>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6"/>
          </w:tcPr>
          <w:p>
            <w:pPr>
              <w:jc w:val="center"/>
              <w:ind w:right="140"/>
              <w:spacing w:after="0" w:line="142" w:lineRule="exact"/>
              <w:rPr>
                <w:sz w:val="20"/>
                <w:szCs w:val="20"/>
                <w:color w:val="auto"/>
              </w:rPr>
            </w:pPr>
            <w:r>
              <w:rPr>
                <w:rFonts w:ascii="Arial" w:cs="Arial" w:eastAsia="Arial" w:hAnsi="Arial"/>
                <w:sz w:val="14"/>
                <w:szCs w:val="14"/>
                <w:b w:val="1"/>
                <w:bCs w:val="1"/>
                <w:i w:val="1"/>
                <w:iCs w:val="1"/>
                <w:color w:val="auto"/>
                <w:w w:val="86"/>
              </w:rPr>
              <w:t>(in millions of US dollars; %)</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326.1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Imaging solutions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163.3</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(102.8)</w:t>
            </w:r>
          </w:p>
        </w:tc>
        <w:tc>
          <w:tcPr>
            <w:tcW w:w="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102.9</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937.7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(193.4)</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derive a majority of our net sales from three operating segments: Display Solutions, Imaging Solutions and Semiconductor Manufacturing Services. The “All other” category for 2006 represents certain business activities other than these business segments, principally composed of rental and unit processing. All other for the prior period also included certain business activities exited in late 2005 or early 2006, such as our application processor and DRAM foundry business.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net sales for 2006 decreased $193.4 million, or 20.6% compared to 2005. Net sales generated from the three operating segments in 2006 were $676.6 million, a decrease of $158.2 million or 18.9% from net sales from the three operating segments in 2005.</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Net sales from Display Solutions for the year ended December 31, 2006 were $273.7 million, a $52.4 million or 16.1% decrease from</w:t>
      </w:r>
      <w:r>
        <w:rPr>
          <w:rFonts w:ascii="Arial" w:cs="Arial" w:eastAsia="Arial" w:hAnsi="Arial"/>
          <w:sz w:val="16"/>
          <w:szCs w:val="16"/>
          <w:i w:val="1"/>
          <w:iCs w:val="1"/>
          <w:color w:val="auto"/>
        </w:rPr>
        <w:t xml:space="preserve"> </w:t>
      </w:r>
      <w:r>
        <w:rPr>
          <w:rFonts w:ascii="Arial" w:cs="Arial" w:eastAsia="Arial" w:hAnsi="Arial"/>
          <w:sz w:val="16"/>
          <w:szCs w:val="16"/>
          <w:color w:val="auto"/>
        </w:rPr>
        <w:t>$326.1 million for the year ended December 31, 2005. This decrease was primarily attributable to sales volume decrease in large display driver products as a result of our customer’s inventory correction, build-up of inventory in the prior year and subsequent reductions of inventory in 2006 due to less-than-expected market demand from our major customers. In addition, average selling price erosion during 2006 also had a negative impact on net sales.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Imaging Solutions net sales decreased $102.8 million in 2006, or 63% compared to net sales generated in 2005. This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missed opportunities from our delays in transition to new mega-pixel products, which was expected to substitute our VGA products. Revenue from our traditional VGA products decreased year-over-year due to lower market demand and a decline in average selling price.</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year ended December 31, 2006, were $342.4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$3.0 million or 0.9% decrease compared to net sales of $345.4 million for 2005. A moderate decrease in average selling price was mostly offset by an increase in wafer volume.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2006 were $67.7 million compared to $102.9 million for 2005. The year-over-year reduction of $35.2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net sales from the exited application processor business and DRAM foundry business, which was partially offset by an increase in revenue from unit processing.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6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6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left="280"/>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18"/>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1"/>
              </w:rPr>
              <w:t>Change</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29"/>
        </w:trPr>
        <w:tc>
          <w:tcPr>
            <w:tcW w:w="6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1"/>
        </w:trPr>
        <w:tc>
          <w:tcPr>
            <w:tcW w:w="694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net sales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46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w w:val="85"/>
              </w:rPr>
              <w:t>millions of US dollars;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35.6</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Imaging solutions</w:t>
            </w: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52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(115.7)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45.7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110.4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22.1</w:t>
            </w:r>
          </w:p>
        </w:tc>
        <w:tc>
          <w:tcPr>
            <w:tcW w:w="3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250.8</w:t>
            </w:r>
          </w:p>
        </w:tc>
      </w:tr>
      <w:tr>
        <w:trPr>
          <w:trHeight w:val="27"/>
        </w:trPr>
        <w:tc>
          <w:tcPr>
            <w:tcW w:w="6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99.4</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208.7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(109.3)</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r>
      <w:tr>
        <w:trPr>
          <w:trHeight w:val="20"/>
        </w:trPr>
        <w:tc>
          <w:tcPr>
            <w:tcW w:w="6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Total gross profit decreased $109.3 million in 2006, or 52.4%, compared to gross profit generated in 2005. Gross margin percentage for 2006 was 13.4% of net sales, a decrease of 8.9% from 22.3% for 2005. This decline in gross margin percentage was primarily attributable to lower utilization of our manufacturing capacity as a result of substantial sales decreases, coupled with an overall decrease in average selling prices.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margin percentage for Display Solutions for the year ended December 31, 2006 declined to 13.0% compared to 20.4%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2005. This decline in gross margin percentage was primarily attributable to lower average selling price and higher overhead cost per-unit driven by a decrease in unit volume.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reported gross loss for the year ended December 31, 2006, due to a significant reduction in revenues as a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weak market position for new products, coupled with significant decreases in market demand for existing products.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margin for Semiconductor Manufacturing Services declined to 13.3% in 2006 from 32.0% in 2005.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year-over-year decrease was primarily attributable to lower margin mix within the segment.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margin percentage for All other for 2006 increased to 32.6% from 6.1% for the year ended December 31, 2005. This increase is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discontinuation of the less profitable application processor and DRAM foundry businesses.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$87.7 million or 11.8% of net sales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compared to $123.3 million or 13.1% for the year ended December 31, 2005. This decrease of $35.6 million or 28.9% from the prior year was primarily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attributable to a reduction in professional service fees driven by our cost containment efforts and a decrease in amortization expense of intangible assets as a result of an impairment taken during the year.</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year ended December 31, 2006 were $131.2 million, a $23.6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21.9% increase from $107.6 million for the year ended December 21, 2005. This increase in research and development expenses during the year primarily represents our focus on the introduction of new products, especially in the Imaging Solutions and Display Solutions segments. As a percentage of net sales, research and development expense increased to 17.6% in current period compared to 11.5% in the prior period.</w:t>
      </w:r>
    </w:p>
    <w:p>
      <w:pPr>
        <w:spacing w:after="0" w:line="11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year ended December 31, 2006, we recorded restructuring and impairment charges totaling $94.3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which included $92.9 million of impairment charges under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and $1.4 million of restructuring charges under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impairment charges of $92.5 million recorded during 2006 related to certain fixed assets and technology and customer-based intangible assets (the “asset group”) comprising our Imaging Solution business. At the end of 2005, the capacity utilization of the Fab was under the level that we believe to be normal. This was primarily due to a transition in product mix, coupled with a seasonal decrease in market demand, which was deemed to be temporary and recoverable. However, in 2006, our management determined, based on revised forecasting, that the projected demand for certain of its products in our Imaging Solutions business was significantly less than previously forecasted and that this decline was not temporary or seasonal. Therefore, we assessed whether there had been an impairment of the asset group pursuant to SFAS No. 144 and, based on the assessment, recorded the impairment charge. We also recorded $0.4 million of impairment charges in association with the disposition of certain held-for-sale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$1.4 million of restructuring charges for 2006 were incurred in connection with the termination of certain of our management and employees.</w:t>
      </w:r>
    </w:p>
    <w:p>
      <w:pPr>
        <w:spacing w:after="0" w:line="19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year ended December 31, 2005, the Company recorded a one-time charge of $36.2 million of restructuring and impairment charges which included $33.5 million for asset impairment and $2.7 million for restructuring.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i w:val="1"/>
          <w:iCs w:val="1"/>
          <w:color w:val="auto"/>
        </w:rPr>
        <w:t xml:space="preserve">Net Interest Expense. </w:t>
      </w:r>
      <w:r>
        <w:rPr>
          <w:rFonts w:ascii="Arial" w:cs="Arial" w:eastAsia="Arial" w:hAnsi="Arial"/>
          <w:sz w:val="15"/>
          <w:szCs w:val="15"/>
          <w:color w:val="auto"/>
        </w:rPr>
        <w:t>Net interest expense was $57.2 million for the year ended December 31, 2006, consistent with $57.2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2005. Substantially all of our interest expense is to serve our long-term borrowings of $750.0 million at a weighted-average interest rate of 7.4%.</w:t>
      </w:r>
    </w:p>
    <w:p>
      <w:pPr>
        <w:spacing w:after="0" w:line="6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Net Foreign Currency Gain. </w:t>
      </w:r>
      <w:r>
        <w:rPr>
          <w:rFonts w:ascii="Arial" w:cs="Arial" w:eastAsia="Arial" w:hAnsi="Arial"/>
          <w:sz w:val="18"/>
          <w:szCs w:val="18"/>
          <w:color w:val="auto"/>
        </w:rPr>
        <w:t>Net foreign currency gain for the year ended December 31, 2006 was $50.9 million, compared to $16.5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2005. A substantial portion of our net foreign currency gain was non-cash translation gain recorded for intercompany borrowings at one of our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Income tax expenses for the year ended December 31, 2006 were $9.2 million while income tax expenses were $1.8 million for the year ended December 31, 2005. The lower income tax expenses in the prior period were primarily attributable to the income tax benefit recognized for a temporary difference related to revenue recognition at our Japanese subsidiaries, which became recognizable as a result of change in business model. Income tax expense for 2006 was comprised of $5.2 million of withholding taxes on the interest paid by one of our subsidiaries to its parent company, a $2.0 million income tax effect from the decrease of deferred tax assets and an aggregate $2.0 million of current income taxes incurred at various jurisdictions where we had our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2005 and December 31, 2004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91"/>
              </w:rPr>
              <w:t>Year ended December 31, 2004</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Three months</w:t>
            </w:r>
          </w:p>
        </w:tc>
        <w:tc>
          <w:tcPr>
            <w:tcW w:w="280" w:type="dxa"/>
            <w:vAlign w:val="bottom"/>
          </w:tcPr>
          <w:p>
            <w:pPr>
              <w:spacing w:after="0"/>
              <w:rPr>
                <w:sz w:val="11"/>
                <w:szCs w:val="11"/>
                <w:color w:val="auto"/>
              </w:rPr>
            </w:pPr>
          </w:p>
        </w:tc>
        <w:tc>
          <w:tcPr>
            <w:tcW w:w="10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Nine months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Total twelve months</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316"/>
              <w:spacing w:after="0" w:line="149" w:lineRule="exact"/>
              <w:rPr>
                <w:sz w:val="20"/>
                <w:szCs w:val="20"/>
                <w:color w:val="auto"/>
              </w:rPr>
            </w:pPr>
            <w:r>
              <w:rPr>
                <w:rFonts w:ascii="Arial" w:cs="Arial" w:eastAsia="Arial" w:hAnsi="Arial"/>
                <w:sz w:val="14"/>
                <w:szCs w:val="14"/>
                <w:b w:val="1"/>
                <w:bCs w:val="1"/>
                <w:color w:val="auto"/>
                <w:w w:val="82"/>
              </w:rPr>
              <w:t>ended</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right"/>
              <w:ind w:right="532"/>
              <w:spacing w:after="0" w:line="14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w w:val="88"/>
              </w:rPr>
              <w:t>December 31, 2005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net sales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3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2"/>
              <w:spacing w:after="0" w:line="129" w:lineRule="exact"/>
              <w:rPr>
                <w:sz w:val="20"/>
                <w:szCs w:val="20"/>
                <w:color w:val="auto"/>
              </w:rPr>
            </w:pPr>
            <w:r>
              <w:rPr>
                <w:rFonts w:ascii="Arial" w:cs="Arial" w:eastAsia="Arial" w:hAnsi="Arial"/>
                <w:sz w:val="14"/>
                <w:szCs w:val="14"/>
                <w:b w:val="1"/>
                <w:bCs w:val="1"/>
                <w:color w:val="auto"/>
                <w:w w:val="79"/>
              </w:rPr>
              <w:t>(Successor</w:t>
            </w:r>
          </w:p>
        </w:tc>
        <w:tc>
          <w:tcPr>
            <w:tcW w:w="5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72"/>
              </w:rPr>
              <w:t>Company)</w:t>
            </w: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Company)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8"/>
          </w:tcPr>
          <w:p>
            <w:pPr>
              <w:jc w:val="right"/>
              <w:ind w:right="620"/>
              <w:spacing w:after="0" w:line="149" w:lineRule="exact"/>
              <w:rPr>
                <w:sz w:val="20"/>
                <w:szCs w:val="20"/>
                <w:color w:val="auto"/>
              </w:rPr>
            </w:pPr>
            <w:r>
              <w:rPr>
                <w:rFonts w:ascii="Arial" w:cs="Arial" w:eastAsia="Arial" w:hAnsi="Arial"/>
                <w:sz w:val="14"/>
                <w:szCs w:val="14"/>
                <w:b w:val="1"/>
                <w:bCs w:val="1"/>
                <w:i w:val="1"/>
                <w:iCs w:val="1"/>
                <w:color w:val="auto"/>
                <w:w w:val="95"/>
              </w:rPr>
              <w:t>(in millions of US dollars; %)</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163.8</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$(163.8)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937.7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937.7</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841.6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1,085.2</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729.0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208.7</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226.1</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107.6</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97.8</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43"/>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(102.9)</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Foreign currency gain,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35.7</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8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(146.0)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(311.3)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(100.9)</w:t>
            </w:r>
          </w:p>
        </w:tc>
        <w:tc>
          <w:tcPr>
            <w:tcW w:w="980" w:type="dxa"/>
            <w:vAlign w:val="bottom"/>
            <w:gridSpan w:val="3"/>
          </w:tcPr>
          <w:p>
            <w:pPr>
              <w:jc w:val="right"/>
              <w:ind w:right="92"/>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37.4</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(138.3)</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Year ended December 31, 2004</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Three months</w:t>
            </w:r>
          </w:p>
        </w:tc>
        <w:tc>
          <w:tcPr>
            <w:tcW w:w="200" w:type="dxa"/>
            <w:vAlign w:val="bottom"/>
          </w:tcPr>
          <w:p>
            <w:pPr>
              <w:spacing w:after="0"/>
              <w:rPr>
                <w:sz w:val="11"/>
                <w:szCs w:val="11"/>
                <w:color w:val="auto"/>
              </w:rPr>
            </w:pPr>
          </w:p>
        </w:tc>
        <w:tc>
          <w:tcPr>
            <w:tcW w:w="9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Nine months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center"/>
              <w:ind w:right="18"/>
              <w:spacing w:after="0" w:line="129" w:lineRule="exact"/>
              <w:rPr>
                <w:sz w:val="20"/>
                <w:szCs w:val="20"/>
                <w:color w:val="auto"/>
              </w:rPr>
            </w:pPr>
            <w:r>
              <w:rPr>
                <w:rFonts w:ascii="Arial" w:cs="Arial" w:eastAsia="Arial" w:hAnsi="Arial"/>
                <w:sz w:val="14"/>
                <w:szCs w:val="14"/>
                <w:b w:val="1"/>
                <w:bCs w:val="1"/>
                <w:color w:val="auto"/>
                <w:w w:val="86"/>
              </w:rPr>
              <w:t>Total twelve months</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left="302"/>
              <w:spacing w:after="0" w:line="149" w:lineRule="exact"/>
              <w:rPr>
                <w:sz w:val="20"/>
                <w:szCs w:val="20"/>
                <w:color w:val="auto"/>
              </w:rPr>
            </w:pPr>
            <w:r>
              <w:rPr>
                <w:rFonts w:ascii="Arial" w:cs="Arial" w:eastAsia="Arial" w:hAnsi="Arial"/>
                <w:sz w:val="14"/>
                <w:szCs w:val="14"/>
                <w:b w:val="1"/>
                <w:bCs w:val="1"/>
                <w:color w:val="auto"/>
                <w:w w:val="82"/>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5"/>
          </w:tcPr>
          <w:p>
            <w:pPr>
              <w:ind w:left="14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36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90"/>
              </w:rPr>
              <w:t>December 31, 2005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left="282"/>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ind w:left="380"/>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3"/>
          </w:tcPr>
          <w:p>
            <w:pPr>
              <w:jc w:val="right"/>
              <w:ind w:right="72"/>
              <w:spacing w:after="0" w:line="129" w:lineRule="exact"/>
              <w:rPr>
                <w:sz w:val="20"/>
                <w:szCs w:val="20"/>
                <w:color w:val="auto"/>
              </w:rPr>
            </w:pPr>
            <w:r>
              <w:rPr>
                <w:rFonts w:ascii="Arial" w:cs="Arial" w:eastAsia="Arial" w:hAnsi="Arial"/>
                <w:sz w:val="12"/>
                <w:szCs w:val="12"/>
                <w:b w:val="1"/>
                <w:bCs w:val="1"/>
                <w:color w:val="auto"/>
                <w:w w:val="74"/>
              </w:rPr>
              <w:t>(Successor</w:t>
            </w:r>
          </w:p>
        </w:tc>
        <w:tc>
          <w:tcPr>
            <w:tcW w:w="1040" w:type="dxa"/>
            <w:vAlign w:val="bottom"/>
            <w:tcBorders>
              <w:right w:val="single" w:sz="8" w:color="auto"/>
            </w:tcBorders>
            <w:gridSpan w:val="4"/>
          </w:tcPr>
          <w:p>
            <w:pPr>
              <w:jc w:val="center"/>
              <w:ind w:right="460"/>
              <w:spacing w:after="0" w:line="129" w:lineRule="exact"/>
              <w:rPr>
                <w:sz w:val="20"/>
                <w:szCs w:val="20"/>
                <w:color w:val="auto"/>
              </w:rPr>
            </w:pPr>
            <w:r>
              <w:rPr>
                <w:rFonts w:ascii="Arial" w:cs="Arial" w:eastAsia="Arial" w:hAnsi="Arial"/>
                <w:sz w:val="14"/>
                <w:szCs w:val="14"/>
                <w:b w:val="1"/>
                <w:bCs w:val="1"/>
                <w:color w:val="auto"/>
                <w:w w:val="72"/>
              </w:rPr>
              <w:t>Company)</w:t>
            </w:r>
          </w:p>
        </w:tc>
        <w:tc>
          <w:tcPr>
            <w:tcW w:w="200" w:type="dxa"/>
            <w:vAlign w:val="bottom"/>
          </w:tcPr>
          <w:p>
            <w:pPr>
              <w:spacing w:after="0"/>
              <w:rPr>
                <w:sz w:val="11"/>
                <w:szCs w:val="11"/>
                <w:color w:val="auto"/>
              </w:rPr>
            </w:pPr>
          </w:p>
        </w:tc>
        <w:tc>
          <w:tcPr>
            <w:tcW w:w="96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8"/>
          </w:tcPr>
          <w:p>
            <w:pPr>
              <w:jc w:val="center"/>
              <w:ind w:right="440"/>
              <w:spacing w:after="0" w:line="149" w:lineRule="exact"/>
              <w:rPr>
                <w:sz w:val="20"/>
                <w:szCs w:val="20"/>
                <w:color w:val="auto"/>
              </w:rPr>
            </w:pPr>
            <w:r>
              <w:rPr>
                <w:rFonts w:ascii="Arial" w:cs="Arial" w:eastAsia="Arial" w:hAnsi="Arial"/>
                <w:sz w:val="14"/>
                <w:szCs w:val="14"/>
                <w:b w:val="1"/>
                <w:bCs w:val="1"/>
                <w:i w:val="1"/>
                <w:iCs w:val="1"/>
                <w:color w:val="auto"/>
                <w:w w:val="86"/>
              </w:rPr>
              <w:t>(in millions of US dollars; %)</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326.1</w:t>
            </w:r>
          </w:p>
        </w:tc>
        <w:tc>
          <w:tcPr>
            <w:tcW w:w="6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34.8</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18"/>
                <w:szCs w:val="18"/>
                <w:color w:val="auto"/>
                <w:w w:val="88"/>
              </w:rPr>
              <w:t>198.8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Imaging solutions</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163.3</w:t>
            </w:r>
          </w:p>
        </w:tc>
        <w:tc>
          <w:tcPr>
            <w:tcW w:w="680" w:type="dxa"/>
            <w:vAlign w:val="bottom"/>
            <w:gridSpan w:val="3"/>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left="161"/>
              <w:spacing w:after="0"/>
              <w:rPr>
                <w:sz w:val="20"/>
                <w:szCs w:val="20"/>
                <w:color w:val="auto"/>
              </w:rPr>
            </w:pPr>
            <w:r>
              <w:rPr>
                <w:rFonts w:ascii="Arial" w:cs="Arial" w:eastAsia="Arial" w:hAnsi="Arial"/>
                <w:sz w:val="18"/>
                <w:szCs w:val="18"/>
                <w:color w:val="auto"/>
                <w:w w:val="88"/>
              </w:rPr>
              <w:t>142.1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(18.4)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345.4</w:t>
            </w:r>
          </w:p>
        </w:tc>
        <w:tc>
          <w:tcPr>
            <w:tcW w:w="6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18"/>
                <w:szCs w:val="18"/>
                <w:color w:val="auto"/>
                <w:w w:val="88"/>
              </w:rPr>
              <w:t>270.2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102.9</w:t>
            </w:r>
          </w:p>
        </w:tc>
        <w:tc>
          <w:tcPr>
            <w:tcW w:w="680" w:type="dxa"/>
            <w:vAlign w:val="bottom"/>
            <w:gridSpan w:val="3"/>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left="161"/>
              <w:spacing w:after="0"/>
              <w:rPr>
                <w:sz w:val="20"/>
                <w:szCs w:val="20"/>
                <w:color w:val="auto"/>
              </w:rPr>
            </w:pPr>
            <w:r>
              <w:rPr>
                <w:rFonts w:ascii="Arial" w:cs="Arial" w:eastAsia="Arial" w:hAnsi="Arial"/>
                <w:sz w:val="18"/>
                <w:szCs w:val="18"/>
                <w:color w:val="auto"/>
                <w:w w:val="88"/>
              </w:rPr>
              <w:t>230.5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267.4</w:t>
            </w:r>
          </w:p>
        </w:tc>
        <w:tc>
          <w:tcPr>
            <w:tcW w:w="460" w:type="dxa"/>
            <w:vAlign w:val="bottom"/>
          </w:tcPr>
          <w:p>
            <w:pPr>
              <w:jc w:val="right"/>
              <w:spacing w:after="0"/>
              <w:rPr>
                <w:sz w:val="20"/>
                <w:szCs w:val="20"/>
                <w:color w:val="auto"/>
              </w:rPr>
            </w:pPr>
            <w:r>
              <w:rPr>
                <w:rFonts w:ascii="Arial" w:cs="Arial" w:eastAsia="Arial" w:hAnsi="Arial"/>
                <w:sz w:val="18"/>
                <w:szCs w:val="18"/>
                <w:color w:val="auto"/>
              </w:rPr>
              <w:t>24.6</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(164.5)</w:t>
            </w:r>
          </w:p>
        </w:tc>
        <w:tc>
          <w:tcPr>
            <w:tcW w:w="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(61.5)</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937.7</w:t>
            </w:r>
          </w:p>
        </w:tc>
        <w:tc>
          <w:tcPr>
            <w:tcW w:w="6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161"/>
              <w:spacing w:after="0"/>
              <w:rPr>
                <w:sz w:val="20"/>
                <w:szCs w:val="20"/>
                <w:color w:val="auto"/>
              </w:rPr>
            </w:pPr>
            <w:r>
              <w:rPr>
                <w:rFonts w:ascii="Arial" w:cs="Arial" w:eastAsia="Arial" w:hAnsi="Arial"/>
                <w:sz w:val="18"/>
                <w:szCs w:val="18"/>
                <w:color w:val="auto"/>
                <w:w w:val="88"/>
              </w:rPr>
              <w:t>841.6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1,085.2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(147.5)</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(13.6)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vMerge w:val="restart"/>
          </w:tcPr>
          <w:p>
            <w:pPr>
              <w:jc w:val="right"/>
              <w:ind w:right="292"/>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Total net sales for the year ended December 31, 2005 were $937.7 million, a $147.5 million or 13.6% decrease from $1.1 billion in 2004, which consisted of $841.6 million for the nine months ended September 30, 2004 and $243.6 million for the three months ended December 31, 2004. The reduction was primarily attributable to a decrease of $133.4 million in our DRAM foundry business with Hynix, which is included in the All other category, driven by our strategic decision to focus on three core segments. Net sales generated from the three operating segments in 2005 were $834.8 million, compared to $817.8 million in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Net sales from Display Solutions for the year ended December 31, 2005 were $326.1 million, a $67.0 million or 25.9% increase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$259.1 million for the year ended December 31, 2004. This revenue increase for Display Solutions was driven by an expansion in market demand,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 slight decline in average selling prices.</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for the year ended December 2005 were $163.3 million, a decrease of $36.9 million or 18.5%,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$200.2 million for the year ended December 31, 2004. This decrease in net sales was mainly attributable to a decline in average selling price, especially in VGA products, which was partially offset by an increase in unit volume sales.</w:t>
      </w:r>
    </w:p>
    <w:p>
      <w:pPr>
        <w:spacing w:after="0" w:line="14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for the year ended December 31, 2005 generated from Semiconductor Manufacturing Services were</w:t>
      </w:r>
      <w:r>
        <w:rPr>
          <w:rFonts w:ascii="Arial" w:cs="Arial" w:eastAsia="Arial" w:hAnsi="Arial"/>
          <w:sz w:val="18"/>
          <w:szCs w:val="18"/>
          <w:i w:val="1"/>
          <w:iCs w:val="1"/>
          <w:color w:val="auto"/>
        </w:rPr>
        <w:t xml:space="preserve"> </w:t>
      </w:r>
      <w:r>
        <w:rPr>
          <w:rFonts w:ascii="Arial" w:cs="Arial" w:eastAsia="Arial" w:hAnsi="Arial"/>
          <w:sz w:val="18"/>
          <w:szCs w:val="18"/>
          <w:color w:val="auto"/>
        </w:rPr>
        <w:t>$345.4 million, relatively consistent compared to $358.5 million of revenue for the year ended December 31, 2004 as a decrease in sales volume was mostly offset by an increase in average selling price.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decreased 61.5% to $102.9 million in 2005 from $267.4 million in 2004 as we strategically reduced DRAM foundry and</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solutions in an effort to focus on three major business segments.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1"/>
              </w:rPr>
              <w:t>Year ended December 31, 2004</w:t>
            </w: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Three months</w:t>
            </w:r>
          </w:p>
        </w:tc>
        <w:tc>
          <w:tcPr>
            <w:tcW w:w="320" w:type="dxa"/>
            <w:vAlign w:val="bottom"/>
          </w:tcPr>
          <w:p>
            <w:pPr>
              <w:spacing w:after="0"/>
              <w:rPr>
                <w:sz w:val="11"/>
                <w:szCs w:val="11"/>
                <w:color w:val="auto"/>
              </w:rPr>
            </w:pPr>
          </w:p>
        </w:tc>
        <w:tc>
          <w:tcPr>
            <w:tcW w:w="112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Nine months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12"/>
                <w:szCs w:val="12"/>
                <w:color w:val="auto"/>
              </w:rPr>
            </w:pPr>
          </w:p>
        </w:tc>
        <w:tc>
          <w:tcPr>
            <w:tcW w:w="13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Total twelve months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2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2"/>
                <w:szCs w:val="12"/>
                <w:color w:val="auto"/>
              </w:rPr>
            </w:pPr>
          </w:p>
        </w:tc>
        <w:tc>
          <w:tcPr>
            <w:tcW w:w="13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ended 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22"/>
              <w:spacing w:after="0"/>
              <w:rPr>
                <w:sz w:val="20"/>
                <w:szCs w:val="20"/>
                <w:color w:val="auto"/>
              </w:rPr>
            </w:pPr>
            <w:r>
              <w:rPr>
                <w:rFonts w:ascii="Arial" w:cs="Arial" w:eastAsia="Arial" w:hAnsi="Arial"/>
                <w:sz w:val="14"/>
                <w:szCs w:val="14"/>
                <w:b w:val="1"/>
                <w:bCs w:val="1"/>
                <w:color w:val="auto"/>
                <w:w w:val="87"/>
              </w:rPr>
              <w:t>December 31, 2005</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5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0"/>
              </w:rPr>
              <w:t>net sales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5"/>
              </w:rPr>
              <w:t>(Successor</w:t>
            </w:r>
          </w:p>
        </w:tc>
        <w:tc>
          <w:tcPr>
            <w:tcW w:w="1120" w:type="dxa"/>
            <w:vAlign w:val="bottom"/>
            <w:tcBorders>
              <w:right w:val="single" w:sz="8" w:color="auto"/>
            </w:tcBorders>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72"/>
              </w:rPr>
              <w:t>Company)</w:t>
            </w:r>
          </w:p>
        </w:tc>
        <w:tc>
          <w:tcPr>
            <w:tcW w:w="320" w:type="dxa"/>
            <w:vAlign w:val="bottom"/>
          </w:tcPr>
          <w:p>
            <w:pPr>
              <w:spacing w:after="0"/>
              <w:rPr>
                <w:sz w:val="11"/>
                <w:szCs w:val="11"/>
                <w:color w:val="auto"/>
              </w:rPr>
            </w:pPr>
          </w:p>
        </w:tc>
        <w:tc>
          <w:tcPr>
            <w:tcW w:w="112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Company)</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0" w:type="dxa"/>
            <w:vAlign w:val="bottom"/>
            <w:gridSpan w:val="7"/>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w w:val="93"/>
              </w:rPr>
              <w:t>(in millions of US dollars; %)</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11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1100" w:type="dxa"/>
            <w:vAlign w:val="bottom"/>
            <w:gridSpan w:val="3"/>
          </w:tcPr>
          <w:p>
            <w:pPr>
              <w:jc w:val="right"/>
              <w:ind w:right="25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(44.0)</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110.4</w:t>
            </w:r>
          </w:p>
        </w:tc>
        <w:tc>
          <w:tcPr>
            <w:tcW w:w="110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(10.2)</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(61.8)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208.7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Total gross profit for 2005 decreased $17.4 million or 7.7%, compared to gross profit generated in 2004 mainly due to a decrease in revenue base. Gross margin percentage for 2005 increased to 22.3% of net sales from 20.8% of net sales for 2004. This improvement in gross margin percentage was primarily attributable to lower depreciation costs for 2005 associated with the application of purchase accounting from the Original Acquisition.</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margin percentage for Display Solutions for the year ended December 31, 2005 increased to 20.4% as compared to 13.4%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2004. The increase in gross margin percentage was primarily attributable to lower per-unit overhead costs driven by a significant increase in unit volume produced during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margin percentage for Imaging Solutions for 2005 was 15.6% compared with 34.7% for 2004. The gross margin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2004 was primarily attributable to decrease in average selling prices.</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Gross margin for Semiconductor Manufacturing Services increased to 32.0% in 2005 from 29.4% in 2004.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gross margin percentage in 2005 resulted from higher average selling price and lower depreciation expenses during the period.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margin percentage for All other for 2005 was 6.1%, relatively consistent with 6.2% for 2004.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$123.3 million or 13.1% of net sales in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 $39.5 million or 47.1% increase from a total of $83.8 million or 7.7% of net sales in 2004, which consisted of $54.0 million for the nine months ended September 30, 2004 and $29.8 million for the three months ended December 31, 2004. The increase in selling, general and administrative expenses was primarily attributable to amortization of intangible assets recorded upon the application of purchase accounting as a result of the Original Acquisition. We also recognized increased professional fees related to consulting and infrastructure build-out as well as additional warranty reserves to cover possible exposures to future claims from customers.</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 2005 were $107.6 million, a $9.8 million or 10.0% increase from $97.8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2004, which consisted of $75.7 million for the nine months ended September 30, 2004 and $22.1 million for the three months ended December 31, 2004. The increase in research and development expenses was mainly due to our reinforcement of research and development centers worldwide through our mergers and acquisitions and process development to support next generation products. As a percentage of net sales, research and development expense increased to 11.5% in 2005 from 9.0% in 2004.</w:t>
      </w:r>
    </w:p>
    <w:p>
      <w:pPr>
        <w:spacing w:after="0" w:line="143"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During the year ended December 31, 2005, the Company recorded a one-time charge of $36.2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impairment charges associated with the Company’s initiative to focus on its core businesses and streamline the organization. The amount included $33.5 million for asset impairment and $2.7 million for restructuring.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$57.2 million in 2005, a $22.8 million or 66.3% increase from aggregated interest expense of $34.4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2004, which consisted of $17.7 million for the nine months ended September 30, 2004 and $16.7 million for the three months ended December 31, 2004. The increase in net interest expense was primarily due to interest expenses incurred on the long-term debt of $750.0 million, which was issued in December 2004 and outstanding throughout the year 2005.</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Net Foreign Currency Gain. </w:t>
      </w:r>
      <w:r>
        <w:rPr>
          <w:rFonts w:ascii="Arial" w:cs="Arial" w:eastAsia="Arial" w:hAnsi="Arial"/>
          <w:sz w:val="18"/>
          <w:szCs w:val="18"/>
          <w:color w:val="auto"/>
        </w:rPr>
        <w:t>Net foreign currency gain for the year ended December 31, 2005 was $16.5 million, compared to $35.7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2004. A substantial portion of our net foreign currency gain for 2005 was non-cash translation gain recorded for intercompany borrowings at one of our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$1.8 million in 2005, compared to $6.7 million for the three months ended December 31, 2004 and $2.8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2004, which on an aggregate basis totaled $9.5 million for the year ended December 31, 2004. Income tax expense for the year ended December 31, 2005 was primarily attributable to $5.2 million of Korean withholding tax on the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paid to our Korean subsidiary’s parent company. Income tax expense including this withholding tax was partially offset by the recognition of a deferred tax asset at our Japanese subsidiaries based on temporary difference related to revenue recognition.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to meet required debt payments, including debt service payments on the notes and, if drawn upon, the senior credit facility, and to invest in research and development and capital equipment. We anticipate that operating cash flow, together with available borrowing capacity under our senior credit facility, will be sufficient to meet our working capital needs, our research and development and capital expenditures needs and service requirements on our debt obligations for the foreseeable future. As of December 31, 2006 we had total long-term debt outstanding of $750.0 million.</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principle sources of liquidity are our cash, cash equivalents and available borrowings under our senior credit facility of $100 million. As of December 31, 2006 our cash and cash equivalents balance was $89.2 million or 11.6% of our total assets, a $2.6 million increase from $86.6 million or 8.3% of total assets as of December 31, 2005. The increase in cash and cash equivalents was due to cash inflow from operating activities coupled with an increase from foreign currency translation gains, mostly offset by cash outflows for capital expenditures and other investing activities.</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generated cash from operating activities of $30.5 million during the year 2006, which principally reflects the Company’s net loss of $229.3 million adjusted by $247.2 million of total non-cash items composed mainly of depreciation and amortization expenses and impairment charges. Cash from operating activities for 2006 decreased $73.1 million from $103.6 million for 2005. This decrease in cash from operating activities between the two periods was primarily due to 52.4% lower gross profits mitigated by a decrease in working capital during the year 2006.</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working capital balance as of December 31, 2006 was $122.6 million compared to $141.4 million as of December 31, 2005. The decrease of $18.8 million in our working capital balance consisted primarily of a $35.4 million decrease in accounts receivable and $30.8 million decrease in inventories, partially offset by a $34.5 million decrease in accounts and other accounts payable and $5.3 million decrease in accrued expenses. This decrease in working capital is mainly attributable to a 20.6% decline in total net sales.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investing activities, we used cash of approximately $33.4 million in 2006 compared to $64.1 million in 2005. The decrease in cash used for investing activities during the year 2006 was primarily attributable to lower capital equipment expenditures during the year. Cash outflows for acquisitions of subsidiaries in 2005 in an effort to reinforce global R&amp;D capability also led to a higher investing cash outlay in 2005. We did not consummate any business acquisitions during the year 2006. Capital expenditures for the year ended December 31, 2006 were $41.4 million, a decrease of $23.1 million or 35.8% compared to $64.5 million for the year ended December 31, 2005. This year over year decrease was a result of managing capital expenditure timing in order to better support the growth of our business from new customers and to optimize returns on investment.</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financing activities, we used $0.3 million for the year ended December 31, 2006, compared to $12.8 million for the year ended December 31, 2005. As we had sufficient capital resources available to serve our capital requirements we did not have significant financing activities during the year 2006. The cash outlay in 2006 was mainly due to our repurchase of common units upon termination of certain of our management and employees. Cash outflow in 2005 was mainly for the repayment of short-term borrowings at one of our subsidiaries that we acquired during the year.</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working capital needs, meeting required debt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funding research and development, and capital expenditures. We anticipate that operating cash flows, together with available borrowings under our senior credit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facility, will be sufficient to meet these capital requirements for the foreseeable future. We may from time to time incur additional debt.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However, we cannot assure you that such financing will be available to us on acceptable terms or that such financing will be available at 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December 31,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1"/>
                <w:szCs w:val="11"/>
                <w:color w:val="auto"/>
              </w:rPr>
            </w:pPr>
          </w:p>
        </w:tc>
      </w:tr>
      <w:tr>
        <w:trPr>
          <w:trHeight w:val="175"/>
        </w:trPr>
        <w:tc>
          <w:tcPr>
            <w:tcW w:w="67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Thereafter</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expense</w:t>
            </w:r>
          </w:p>
        </w:tc>
        <w:tc>
          <w:tcPr>
            <w:tcW w:w="6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(in millions of US dollars)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Secured notes and subordinated notes(*)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750.0</w:t>
            </w:r>
          </w:p>
        </w:tc>
        <w:tc>
          <w:tcPr>
            <w:tcW w:w="5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6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250.0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11.9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11.9</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Others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interest obligations on revolving credit facility and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Floating Rate Second Priority Senior Secured Notes of $300 million and Second Priority Senior Secured Notes of $200 million mature in 2011, while</w:t>
      </w:r>
    </w:p>
    <w:p>
      <w:pPr>
        <w:spacing w:after="0" w:line="46"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 xml:space="preserve">the Senior Subordinated Notes of $250 million mature in 2014. Interest rates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/8% and 8%, respectively. These notes will be paid in full upon maturity.</w:t>
      </w:r>
    </w:p>
    <w:p>
      <w:pPr>
        <w:spacing w:after="0" w:line="1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entered into a senior credit agreement with a syndicate of banks, financial institutions and other entities providing for a $100 million senior secured revolving credit facility. The undrawn portion of such senior secured credit line as of December 31, 2006 and December 31, 2005 were $93.8 million and $83 million, respectively. The utilized portions of the credit line are related to the issuance of letters of credit rather than cash drawdowns.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senior credit facility,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 xml:space="preserve">In September 2006, FASB issued SFAS No. 158, </w:t>
      </w:r>
      <w:r>
        <w:rPr>
          <w:rFonts w:ascii="Arial" w:cs="Arial" w:eastAsia="Arial" w:hAnsi="Arial"/>
          <w:sz w:val="16"/>
          <w:szCs w:val="16"/>
          <w:i w:val="1"/>
          <w:iCs w:val="1"/>
          <w:color w:val="auto"/>
        </w:rPr>
        <w:t>Employers’ Accounting for Defined Benefit Pension and Other Postretirement Plan</w:t>
      </w:r>
      <w:r>
        <w:rPr>
          <w:rFonts w:ascii="Arial" w:cs="Arial" w:eastAsia="Arial" w:hAnsi="Arial"/>
          <w:sz w:val="16"/>
          <w:szCs w:val="16"/>
          <w:color w:val="auto"/>
        </w:rPr>
        <w:t>—an amendment of SFAS No.87, 88, 106 and 132(R). This Statement requires an employer to recognize the over funded or under funded status of a defined benefit post retirement plan (other than a multiemployer plan) as an asset or liability in its statement of financial position, and to recognize changes in that funded status in the year in which the changes occur through comprehensive income. SFAS No. 158 is effective for fiscal years ending after June 15, 2007.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expect that the implementation of SFAS No. 158 will have a material impact on our financial position and results of operations.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No. 157 requires companies to disclose the fair value of its financial instruments according to a fair value hierarchy, as defined and may be required to provide additional disclosures based on that hierarchy. SFAS No. 157 is effective for financial statements issued for fiscal years beginning after November 15, 2007. We are currently evaluating the impact that the adoption may have on our consolidated financial statements.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September 2006, the SEC issued SAB No. 108 which provides interpretive guidance on how the effects of the carryover or reversal of prior year misstatements should be considered in quantifying a current year misstatement. The guidance is applicable for fiscal years ending after November 15, 2006. We do not expect that adoption of SAB 108 will have a material impact on our consolidated financial statements.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June 2006, the FASB issued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FIN 48 clarifies the accounting for uncertain income tax positions accounted for in accordance with SFAS No. 109. The Interpretation stipulates recognition and measurement criteria in addition to classification, interim period accounting and significantly expanded disclosure provisions for uncertain tax positions that are expected to be taken in a company’s tax return. FIN 48 is effective for fiscal years beginning after December 15, 2006. We are currently evaluating the impact that the adoption may have on our consolidated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an amendment of FASB Statement No. 140.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No. 156 requires that all recognized servicing assets and liabilities are initially measured at fair value, and subsequently measured at either fair value or by applying an amortization method for each class of recognized servicing assets and liabilities. SFAS No. 156 is effective in fiscal years beginning after September 15, 2006. The adoption of SFAS No. 156 is not expected to have a material impact on our consolidated financial statements.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In February 2006, the FASB issued SFAS No. 155, </w:t>
      </w:r>
      <w:r>
        <w:rPr>
          <w:rFonts w:ascii="Arial" w:cs="Arial" w:eastAsia="Arial" w:hAnsi="Arial"/>
          <w:sz w:val="15"/>
          <w:szCs w:val="15"/>
          <w:i w:val="1"/>
          <w:iCs w:val="1"/>
          <w:color w:val="auto"/>
        </w:rPr>
        <w:t>Accounting for Certain Hybrid Financial Instruments—</w:t>
      </w:r>
      <w:r>
        <w:rPr>
          <w:rFonts w:ascii="Arial" w:cs="Arial" w:eastAsia="Arial" w:hAnsi="Arial"/>
          <w:sz w:val="15"/>
          <w:szCs w:val="15"/>
          <w:color w:val="auto"/>
        </w:rPr>
        <w:t>an amendment of FASB Statements No. 133 and 140. This Statement amends SFAS No. 133 and SFAS No. 140, and improves the financial 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adoption of this Statement is not expected to have a material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our management to make significant judgments and estimates that affect our financial position and results of operations. For a summary of our significant accounting policies, including the accounting policies discussed below, see Note 2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revenue is derived from the sale of semiconductor products we design and the manufacture of semiconductor wafers for third parties. We recognize revenue when persuasive evidence of an arrangement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exists, the product has been delivered and title and risk of loss have transferred, the price is fixed and determinable, and collection of resulting receivables is reasonably assured. For certain distributors, standard products are sold without rights to return products or stock rotation or price protection rights. Our policy is to recognize revenue upon delivery of products to customers, where shipment represents the point when the rights and risks of ownership have passed to the customer, when persuasive evidence of an arrangement exists, the product has been delivered, the price is fixed or determinable and collection of the resulting receivable is reasonably assured.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payment. If the financial condition of our customers were to deteriorate, additional allowances may be required. We record warranty liabilities for the estimated costs that may be incurred under our limited warranty. This warranty covers product defects based on compliance to our specifications and is normally applicable for twelve months from the date of purchase. These liabilities are recorded when related revenue is recognized. Warranty costs include the costs to replace the defective product. Factors that affect our warranty liability include the historical and anticipated rate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If net realizable value is less than cost at the balance sheet date, the carrying amount is reduced to the realizable value, and the difference is recognized as a loss on valuation of inventories under cost of sales. We estimate the net realizable value for such finished goods and work-in-progress based on current invoice prices.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 of Tangible and Intangible Assets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Buildings and related structures are depreciated over the 10 to 40 year periods. Machinery, equipment and other assets including vehicles are depreciated over the estimated useful lives ranging 5 to 10 years.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the Original Acquisition, machinery, equipment and other assets were assumed from Hynix, approximately 50% depreciated. Accordingly, remaining useful lives of these assets were determined at approximately 50% of initial useful lives.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intangible assets represent rights under patents, trademarks, property use rights, customer relationship and technology, and are amortized over the periods of benefit, ranging up to 10 years, on a straight-line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review the carrying value of fixed assets for impairment when events and circumstances indicate that the carrying value of an asset or group of assets may not be recoverable from the estimated future cash flows expected to result from its use and/or disposition. Factors which could trigger an impairment review include the following: (i) significant negative industry or economic trends, (ii) exiting an activity in conjunction with a restructuring of operations, (iii) current, historical or projected losses that demonstrate continuing losses associated with an asset, and (iv) management’s assessment of future manufacturing capacity requirements. In cases where undiscounted expected future cash flows are less than the carrying value, an impairment charge is recognized equal to the amount by which the carrying value exceeds the estimated fair value of the assets. The estimation of future cash flows involves numerous assumptions, which require our judgment, including, but not limited to, future use of the assets for our operations versus sale or disposal of the assets, future-selling prices for our products and future production and sales volumes. In addition, we must use our judgment in determining the groups of assets for which impairment tests are separately performed.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We recognize restructuring charges in accordance with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Certain costs and expenses related to exit or disposal activities are recorded as restructuring charges when liabilities for those costs and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4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set up since it is expected that the deferred tax assets at this subsidiary will be deemed realizable based on the current prospects for its future taxable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 of SFAS No. 123(R), unit-based compensation cost is estimated at the grant date based on the fair-value of the award and is recognized as expense over the requisite service period of the award. Consistent with prior-period pro forma presentation under SFAS No. 123, we use the Black-Scholes option pricing model to value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valuation of our common unit is based on an independent appraisal from a third party and is updated reflecting the changes in our financial results and prospects. Determination of the fair value of our common units involves complex and subjective judgments. If we make different judgments or adopt different assumptions, material differences could result in the timing and amount of the unit-based compensation expenses recorded because the estimated fair value of the underlying units for the options granted would be different.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We have determined, based on the nature of our operations and products offered to customers, that our reportable segments are Display Solutions, Imaging Solutions, and Semiconductor Manufacturing Services. Our chief operating decision maker (“CODM”) as defined by SFAS 131, </w:t>
      </w:r>
      <w:r>
        <w:rPr>
          <w:rFonts w:ascii="Arial" w:cs="Arial" w:eastAsia="Arial" w:hAnsi="Arial"/>
          <w:sz w:val="18"/>
          <w:szCs w:val="18"/>
          <w:i w:val="1"/>
          <w:iCs w:val="1"/>
          <w:color w:val="auto"/>
        </w:rPr>
        <w:t>Disclosure about Segments of an</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and Related Information</w:t>
      </w:r>
      <w:r>
        <w:rPr>
          <w:rFonts w:ascii="Arial" w:cs="Arial" w:eastAsia="Arial" w:hAnsi="Arial"/>
          <w:sz w:val="18"/>
          <w:szCs w:val="18"/>
          <w:color w:val="auto"/>
        </w:rPr>
        <w:t>, allocates resources to and assesses the performance by these segments. Prior to 2006, we had a single reportable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manufacturing.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 denominated in currencies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2006 for our Korean subsidiary, a 10% devaluation of the Korean Won against the U.S. dollar would have resulted in a decrease of $3.2 million in our U.S. dollar financial instruments balance and cash balance.</w:t>
      </w:r>
    </w:p>
    <w:p>
      <w:pPr>
        <w:spacing w:after="0" w:line="171" w:lineRule="exact"/>
        <w:rPr>
          <w:sz w:val="20"/>
          <w:szCs w:val="20"/>
          <w:color w:val="auto"/>
        </w:rPr>
      </w:pPr>
    </w:p>
    <w:p>
      <w:pPr>
        <w:ind w:firstLine="456"/>
        <w:spacing w:after="0" w:line="280" w:lineRule="auto"/>
        <w:rPr>
          <w:sz w:val="20"/>
          <w:szCs w:val="20"/>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The $200 million 6</w:t>
      </w:r>
      <w:r>
        <w:rPr>
          <w:rFonts w:ascii="Arial" w:cs="Arial" w:eastAsia="Arial" w:hAnsi="Arial"/>
          <w:sz w:val="15"/>
          <w:szCs w:val="15"/>
          <w:i w:val="1"/>
          <w:iCs w:val="1"/>
          <w:color w:val="auto"/>
        </w:rPr>
        <w:t xml:space="preserve"> </w:t>
      </w:r>
      <w:r>
        <w:rPr>
          <w:rFonts w:ascii="Arial" w:cs="Arial" w:eastAsia="Arial" w:hAnsi="Arial"/>
          <w:sz w:val="19"/>
          <w:szCs w:val="19"/>
          <w:color w:val="auto"/>
          <w:vertAlign w:val="superscript"/>
        </w:rPr>
        <w:t>7</w:t>
      </w:r>
      <w:r>
        <w:rPr>
          <w:rFonts w:ascii="Arial" w:cs="Arial" w:eastAsia="Arial" w:hAnsi="Arial"/>
          <w:sz w:val="15"/>
          <w:szCs w:val="15"/>
          <w:color w:val="auto"/>
        </w:rPr>
        <w:t>/8% Second Priority Senior Secured Notes due 2011 and the $250 million 8% Senior Subordinated Notes due 2014</w:t>
      </w:r>
      <w:r>
        <w:rPr>
          <w:rFonts w:ascii="Arial" w:cs="Arial" w:eastAsia="Arial" w:hAnsi="Arial"/>
          <w:sz w:val="15"/>
          <w:szCs w:val="15"/>
          <w:i w:val="1"/>
          <w:iCs w:val="1"/>
          <w:color w:val="auto"/>
        </w:rPr>
        <w:t xml:space="preserve"> </w:t>
      </w:r>
      <w:r>
        <w:rPr>
          <w:rFonts w:ascii="Arial" w:cs="Arial" w:eastAsia="Arial" w:hAnsi="Arial"/>
          <w:sz w:val="15"/>
          <w:szCs w:val="15"/>
          <w:color w:val="auto"/>
        </w:rPr>
        <w:t>are subject to changes in fair value due to interest rate changes. If the market interest rate had decreased by 10% and all other variables were held constant from their levels at December 31, 2006, we estimate that we would have additional interest expense costs over the market rate of $2.8 million (360 days basis). The fair value of these fixed rate notes would have decreased by $8.6 million or increased by $8.9 million with a 10% increase or decrease in the interest rate, respectively.</w:t>
      </w:r>
    </w:p>
    <w:p>
      <w:pPr>
        <w:spacing w:after="0" w:line="15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 Floating Rate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Senior Secured Notes to a fixed interest rate for the periods to maturity date of June 2008. With this interest rate swap, cash flow interest rate risk was replaced with exposure to interest rate risk. For details, refer to “Note 9. Long-term Borrowings.”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1"/>
            <w:vMerge w:val="restart"/>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40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74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140" w:type="dxa"/>
            <w:vAlign w:val="bottom"/>
            <w:gridSpan w:val="11"/>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Statements of Operations (for the years ended December 31, 2006 and 2005, the three months ended December 31, 2004 (successor company) and the</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4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nine months ended September 30, 2004 (predecessor company))</w:t>
              </w:r>
            </w:hyperlink>
          </w:p>
        </w:tc>
        <w:tc>
          <w:tcPr>
            <w:tcW w:w="5800" w:type="dxa"/>
            <w:vAlign w:val="bottom"/>
            <w:tcBorders>
              <w:top w:val="single" w:sz="8" w:color="0000EE"/>
            </w:tcBorders>
            <w:gridSpan w:val="3"/>
          </w:tcPr>
          <w:p>
            <w:pPr>
              <w:spacing w:after="0"/>
              <w:rPr>
                <w:sz w:val="17"/>
                <w:szCs w:val="17"/>
                <w:color w:val="auto"/>
              </w:rPr>
            </w:pPr>
          </w:p>
        </w:tc>
        <w:tc>
          <w:tcPr>
            <w:tcW w:w="5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52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Balance Sheets (as of December 31, 2006 and 2005 (successor company))</w:t>
              </w:r>
            </w:hyperlink>
          </w:p>
        </w:tc>
        <w:tc>
          <w:tcPr>
            <w:tcW w:w="592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1140" w:type="dxa"/>
            <w:vAlign w:val="bottom"/>
            <w:gridSpan w:val="11"/>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Statements of Changes in Unitholders’ Equity (for the years ended December 31, 2006 and 2005, the three months ended December 31, 2004 (successor</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5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company) and the nine months ended September 30, 2004 (predecessor company))</w:t>
              </w:r>
            </w:hyperlink>
          </w:p>
        </w:tc>
        <w:tc>
          <w:tcPr>
            <w:tcW w:w="4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4">
              <w:r>
                <w:rPr>
                  <w:rFonts w:ascii="Arial" w:cs="Arial" w:eastAsia="Arial" w:hAnsi="Arial"/>
                  <w:sz w:val="18"/>
                  <w:szCs w:val="18"/>
                  <w:color w:val="0000EE"/>
                  <w:w w:val="86"/>
                </w:rPr>
                <w:t>Statements of Cash Flows (for the years ended December 31, 2006 and 2005, the three months ended December 31, 2004 (successor company) and the</w:t>
              </w:r>
            </w:hyperlink>
          </w:p>
        </w:tc>
        <w:tc>
          <w:tcPr>
            <w:tcW w:w="5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5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nine months ended September 30, 2004 (predecessor company))</w:t>
              </w:r>
            </w:hyperlink>
          </w:p>
        </w:tc>
        <w:tc>
          <w:tcPr>
            <w:tcW w:w="64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140" w:type="dxa"/>
            <w:vAlign w:val="bottom"/>
            <w:gridSpan w:val="1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gridSpan w:val="2"/>
          </w:tcPr>
          <w:p>
            <w:pPr>
              <w:spacing w:after="0"/>
              <w:rPr>
                <w:sz w:val="24"/>
                <w:szCs w:val="24"/>
                <w:color w:val="auto"/>
              </w:rPr>
            </w:pPr>
          </w:p>
        </w:tc>
        <w:tc>
          <w:tcPr>
            <w:tcW w:w="2960" w:type="dxa"/>
            <w:vAlign w:val="bottom"/>
            <w:gridSpan w:val="5"/>
          </w:tcPr>
          <w:p>
            <w:pPr>
              <w:jc w:val="right"/>
              <w:ind w:right="240"/>
              <w:spacing w:after="0"/>
              <w:rPr>
                <w:sz w:val="20"/>
                <w:szCs w:val="20"/>
                <w:color w:val="auto"/>
              </w:rPr>
            </w:pPr>
            <w:r>
              <w:rPr>
                <w:rFonts w:ascii="Arial" w:cs="Arial" w:eastAsia="Arial" w:hAnsi="Arial"/>
                <w:sz w:val="18"/>
                <w:szCs w:val="18"/>
                <w:color w:val="auto"/>
              </w:rPr>
              <w:t>35</w:t>
            </w:r>
          </w:p>
        </w:tc>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Unitholders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MagnaChip Semiconductor LLC (Successor Company)</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changes in unitholders’ equity and of cash flows present fairly, in all material respects, the financial position of MagnaChip Semiconductor LLC and its subsidiaries (the “Company”) at December 31, 2006 and 2005, and the results of their operations and their cash flows for the years ended December 31, 2006 and 2005 and for the three-month period ended December 31, 2004 (successor basis),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204"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Samil PricewaterhouseCoopers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26, 2007</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Unitholders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MagnaChip Semiconductor LLC (Predecessor Company)</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(carve-out) statements of operations, of changes in owners’ equity and of cash flows present fairly, in all material respects, the results of operations and cash flows of MagnaChip Semiconductor LLC and its subsidiaries (Predecessor Company) (the “Company”) for the nine-month period ended September 30, 2004 (predecessor basis),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201"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Samil PricewaterhouseCoopers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15, 2005</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6"/>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vMerge w:val="restart"/>
          </w:tcPr>
          <w:p>
            <w:pPr>
              <w:jc w:val="center"/>
              <w:ind w:right="800"/>
              <w:spacing w:after="0" w:line="123"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2"/>
                <w:szCs w:val="2"/>
                <w:color w:val="auto"/>
              </w:rPr>
            </w:pPr>
          </w:p>
        </w:tc>
        <w:tc>
          <w:tcPr>
            <w:tcW w:w="900" w:type="dxa"/>
            <w:vAlign w:val="bottom"/>
            <w:gridSpan w:val="2"/>
            <w:vMerge w:val="restart"/>
          </w:tcPr>
          <w:p>
            <w:pPr>
              <w:jc w:val="center"/>
              <w:ind w:right="280"/>
              <w:spacing w:after="0" w:line="123"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12"/>
                <w:szCs w:val="12"/>
                <w:color w:val="auto"/>
              </w:rPr>
            </w:pPr>
          </w:p>
        </w:tc>
        <w:tc>
          <w:tcPr>
            <w:tcW w:w="13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160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gridSpan w:val="4"/>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(Successor Company)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744,352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937,656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243,582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744,352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937,656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243,582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841,588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644,911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728,999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204,461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654,569</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99,441</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208,657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39,121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187,019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29,784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131,252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107,590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22,058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(213,754)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(58,378)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(12,721)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(57,159)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(57,236)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(16,816)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(220,052)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(99,082)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900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46,065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(229,310)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(100,898)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(5,825)</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76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9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(240,222)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(110,826)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(19,253)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vMerge w:val="restart"/>
          </w:tcPr>
          <w:p>
            <w:pPr>
              <w:spacing w:after="0"/>
              <w:rPr>
                <w:sz w:val="7"/>
                <w:szCs w:val="7"/>
                <w:color w:val="auto"/>
              </w:rPr>
            </w:pPr>
          </w:p>
        </w:tc>
        <w:tc>
          <w:tcPr>
            <w:tcW w:w="4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unit—Basic and diluted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60" w:type="dxa"/>
            <w:vAlign w:val="bottom"/>
            <w:gridSpan w:val="2"/>
          </w:tcPr>
          <w:p>
            <w:pPr>
              <w:spacing w:after="0"/>
              <w:rPr>
                <w:sz w:val="20"/>
                <w:szCs w:val="20"/>
                <w:color w:val="auto"/>
              </w:rPr>
            </w:pPr>
            <w:r>
              <w:rPr>
                <w:rFonts w:ascii="Arial" w:cs="Arial" w:eastAsia="Arial" w:hAnsi="Arial"/>
                <w:sz w:val="18"/>
                <w:szCs w:val="18"/>
                <w:color w:val="auto"/>
              </w:rPr>
              <w:t>Weighted average number of units—Basic and diluted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52,911,734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52,898,497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86"/>
              </w:rPr>
              <w:t>50,061,910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244,064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336,279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139,729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770,053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62,399</w:t>
            </w:r>
          </w:p>
        </w:tc>
        <w:tc>
          <w:tcPr>
            <w:tcW w:w="28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121,449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937,220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0"/>
              </w:rPr>
              <w:t>Series A redeemable convertible preferred units; 60,000 units authorized, 50,091 units issued and 0 unit outstanding at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December 31, 2006 and 2005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Series B redeemable convertible preferred units; 550,000 units authorized, 450,692 units issued and 93,997 units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December 31, 2006 and 2005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117,374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117,374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89"/>
              </w:rPr>
              <w:t>Common units; 65,000,000 units authorized, 52,720,784 and 53,091,570 units issued and outstanding at December 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2006 and 2005, respectively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(370,314)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(284,541)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770,053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5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Consolidated Statements of Changes in Unitholders’ Equity and Owners’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Accumulated</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Owner’s</w:t>
            </w:r>
          </w:p>
        </w:tc>
        <w:tc>
          <w:tcPr>
            <w:tcW w:w="160" w:type="dxa"/>
            <w:vAlign w:val="bottom"/>
          </w:tcPr>
          <w:p>
            <w:pPr>
              <w:spacing w:after="0"/>
              <w:rPr>
                <w:sz w:val="11"/>
                <w:szCs w:val="11"/>
                <w:color w:val="auto"/>
              </w:rPr>
            </w:pPr>
          </w:p>
        </w:tc>
        <w:tc>
          <w:tcPr>
            <w:tcW w:w="194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w w:val="96"/>
              </w:rPr>
              <w:t>Deferred Stock   Accumulated</w:t>
            </w:r>
          </w:p>
        </w:tc>
        <w:tc>
          <w:tcPr>
            <w:tcW w:w="16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6"/>
              </w:rPr>
              <w:t>Compensation</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Income (loss)</w:t>
            </w:r>
          </w:p>
        </w:tc>
        <w:tc>
          <w:tcPr>
            <w:tcW w:w="16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(Predecessor Company)</w:t>
            </w:r>
          </w:p>
        </w:tc>
        <w:tc>
          <w:tcPr>
            <w:tcW w:w="4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January 1, 2004</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$135,781</w:t>
            </w:r>
          </w:p>
        </w:tc>
        <w:tc>
          <w:tcPr>
            <w:tcW w:w="4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5"/>
              </w:rPr>
              <w:t>2,350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17,183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155,314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 :</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86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43,237</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Foreign currency translation adjustments</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4,842</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4"/>
                <w:szCs w:val="14"/>
                <w:color w:val="auto"/>
              </w:rPr>
              <w:t>Total comprehensive income</w:t>
            </w: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48,079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stock compensation</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3,324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2004</w:t>
            </w: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179,018</w:t>
            </w:r>
          </w:p>
        </w:tc>
        <w:tc>
          <w:tcPr>
            <w:tcW w:w="4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32"/>
              <w:spacing w:after="0" w:line="155" w:lineRule="exact"/>
              <w:rPr>
                <w:sz w:val="20"/>
                <w:szCs w:val="20"/>
                <w:color w:val="auto"/>
              </w:rPr>
            </w:pPr>
            <w:r>
              <w:rPr>
                <w:rFonts w:ascii="Arial" w:cs="Arial" w:eastAsia="Arial" w:hAnsi="Arial"/>
                <w:sz w:val="14"/>
                <w:szCs w:val="14"/>
                <w:color w:val="auto"/>
                <w:w w:val="85"/>
              </w:rPr>
              <w:t>5,674</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22,025</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206,717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(Successor Company)</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October 1, 2004</w:t>
            </w: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49,713,286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$ 49,713</w:t>
            </w:r>
          </w:p>
        </w:tc>
        <w:tc>
          <w:tcPr>
            <w:tcW w:w="2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363,627</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364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Exercise of unit options</w:t>
            </w: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2,456,090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warrants in connection with Original Acquisition</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Payment of accumulated accrued dividends</w:t>
            </w:r>
          </w:p>
        </w:tc>
        <w:tc>
          <w:tcPr>
            <w:tcW w:w="4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(10,891)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(10,891)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accrued on preferred units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(2,537)</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(5,825)</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860"/>
              <w:spacing w:after="0" w:line="149" w:lineRule="exact"/>
              <w:rPr>
                <w:sz w:val="20"/>
                <w:szCs w:val="20"/>
                <w:color w:val="auto"/>
              </w:rPr>
            </w:pPr>
            <w:r>
              <w:rPr>
                <w:rFonts w:ascii="Arial" w:cs="Arial" w:eastAsia="Arial" w:hAnsi="Arial"/>
                <w:sz w:val="14"/>
                <w:szCs w:val="14"/>
                <w:color w:val="auto"/>
              </w:rPr>
              <w:t>Foreign currency translation adjustments</w:t>
            </w:r>
          </w:p>
        </w:tc>
        <w:tc>
          <w:tcPr>
            <w:tcW w:w="4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20,621</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comprehensive income</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14,796</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2004</w:t>
            </w: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5"/>
              </w:rPr>
              <w:t>52,533,003</w:t>
            </w:r>
          </w:p>
        </w:tc>
        <w:tc>
          <w:tcPr>
            <w:tcW w:w="120" w:type="dxa"/>
            <w:vAlign w:val="bottom"/>
          </w:tcPr>
          <w:p>
            <w:pPr>
              <w:spacing w:after="0"/>
              <w:rPr>
                <w:sz w:val="13"/>
                <w:szCs w:val="13"/>
                <w:color w:val="auto"/>
              </w:rPr>
            </w:pP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$ 52,533</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2,100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(19,266)</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20,505</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Issuance of common units</w:t>
            </w:r>
          </w:p>
        </w:tc>
        <w:tc>
          <w:tcPr>
            <w:tcW w:w="1180" w:type="dxa"/>
            <w:vAlign w:val="bottom"/>
            <w:gridSpan w:val="3"/>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504,317</w:t>
            </w:r>
          </w:p>
        </w:tc>
        <w:tc>
          <w:tcPr>
            <w:tcW w:w="58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4"/>
                <w:szCs w:val="14"/>
                <w:color w:val="auto"/>
                <w:w w:val="76"/>
              </w:rPr>
              <w:t>504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Exercise of unit options</w:t>
            </w: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54,250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accrued on preferred units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(9,928)</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(100,898)</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(100,898)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860"/>
              <w:spacing w:after="0" w:line="149" w:lineRule="exact"/>
              <w:rPr>
                <w:sz w:val="20"/>
                <w:szCs w:val="20"/>
                <w:color w:val="auto"/>
              </w:rPr>
            </w:pPr>
            <w:r>
              <w:rPr>
                <w:rFonts w:ascii="Arial" w:cs="Arial" w:eastAsia="Arial" w:hAnsi="Arial"/>
                <w:sz w:val="14"/>
                <w:szCs w:val="14"/>
                <w:color w:val="auto"/>
              </w:rPr>
              <w:t>Fair valuation of derivatives</w:t>
            </w:r>
          </w:p>
        </w:tc>
        <w:tc>
          <w:tcPr>
            <w:tcW w:w="4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4,534</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Foreign currency translation adjustments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3,308</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4"/>
                <w:szCs w:val="14"/>
                <w:color w:val="auto"/>
              </w:rPr>
              <w:t>Total comprehensive loss</w:t>
            </w: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9"/>
              </w:rPr>
              <w:t>(93,056)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2005</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53,091,570</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$ 53,092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(130,092)</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28,347</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4"/>
                <w:szCs w:val="14"/>
                <w:color w:val="auto"/>
              </w:rPr>
              <w:t>Exercise of unit options</w:t>
            </w: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vMerge w:val="continue"/>
          </w:tcPr>
          <w:p>
            <w:pPr>
              <w:spacing w:after="0"/>
              <w:rPr>
                <w:sz w:val="12"/>
                <w:szCs w:val="12"/>
                <w:color w:val="auto"/>
              </w:rPr>
            </w:pPr>
          </w:p>
        </w:tc>
        <w:tc>
          <w:tcPr>
            <w:tcW w:w="1180" w:type="dxa"/>
            <w:vAlign w:val="bottom"/>
            <w:gridSpan w:val="3"/>
          </w:tcPr>
          <w:p>
            <w:pPr>
              <w:jc w:val="right"/>
              <w:ind w:right="120"/>
              <w:spacing w:after="0" w:line="143" w:lineRule="exact"/>
              <w:rPr>
                <w:sz w:val="20"/>
                <w:szCs w:val="20"/>
                <w:color w:val="auto"/>
              </w:rPr>
            </w:pPr>
            <w:r>
              <w:rPr>
                <w:rFonts w:ascii="Arial" w:cs="Arial" w:eastAsia="Arial" w:hAnsi="Arial"/>
                <w:sz w:val="14"/>
                <w:szCs w:val="14"/>
                <w:color w:val="auto"/>
              </w:rPr>
              <w:t>46,062</w:t>
            </w:r>
          </w:p>
        </w:tc>
        <w:tc>
          <w:tcPr>
            <w:tcW w:w="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11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(416,848)</w:t>
            </w: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Unit-based compensation</w:t>
            </w:r>
          </w:p>
        </w:tc>
        <w:tc>
          <w:tcPr>
            <w:tcW w:w="4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243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accrued on preferred units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(10,912)</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420"/>
              <w:spacing w:after="0" w:line="149" w:lineRule="exact"/>
              <w:rPr>
                <w:sz w:val="20"/>
                <w:szCs w:val="20"/>
                <w:color w:val="auto"/>
              </w:rPr>
            </w:pPr>
            <w:r>
              <w:rPr>
                <w:rFonts w:ascii="Arial" w:cs="Arial" w:eastAsia="Arial" w:hAnsi="Arial"/>
                <w:sz w:val="14"/>
                <w:szCs w:val="14"/>
                <w:color w:val="auto"/>
              </w:rPr>
              <w:t>Comprehensive income (loss):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(229,310)</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(229,310)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ind w:left="860"/>
              <w:spacing w:after="0" w:line="149" w:lineRule="exact"/>
              <w:rPr>
                <w:sz w:val="20"/>
                <w:szCs w:val="20"/>
                <w:color w:val="auto"/>
              </w:rPr>
            </w:pPr>
            <w:r>
              <w:rPr>
                <w:rFonts w:ascii="Arial" w:cs="Arial" w:eastAsia="Arial" w:hAnsi="Arial"/>
                <w:sz w:val="14"/>
                <w:szCs w:val="14"/>
                <w:color w:val="auto"/>
              </w:rPr>
              <w:t>Fair valuation of derivatives</w:t>
            </w:r>
          </w:p>
        </w:tc>
        <w:tc>
          <w:tcPr>
            <w:tcW w:w="4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w:t>
            </w: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Foreign currency translation adjustments</w:t>
            </w:r>
          </w:p>
        </w:tc>
        <w:tc>
          <w:tcPr>
            <w:tcW w:w="4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2,447</w:t>
            </w:r>
          </w:p>
        </w:tc>
        <w:tc>
          <w:tcPr>
            <w:tcW w:w="160" w:type="dxa"/>
            <w:vAlign w:val="bottom"/>
            <w:tcBorders>
              <w:right w:val="single" w:sz="8" w:color="CCEEFF"/>
            </w:tcBorders>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4"/>
                <w:szCs w:val="14"/>
                <w:color w:val="auto"/>
              </w:rPr>
              <w:t>Total comprehensive loss</w:t>
            </w:r>
          </w:p>
        </w:tc>
        <w:tc>
          <w:tcPr>
            <w:tcW w:w="440" w:type="dxa"/>
            <w:vAlign w:val="bottom"/>
          </w:tcPr>
          <w:p>
            <w:pPr>
              <w:spacing w:after="0" w:line="20" w:lineRule="exact"/>
              <w:rPr>
                <w:sz w:val="1"/>
                <w:szCs w:val="1"/>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6"/>
              </w:rPr>
              <w:t>(227,056)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52,720,784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$ 52,721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(370,314)</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30,601</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5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vMerge w:val="restart"/>
          </w:tcPr>
          <w:p>
            <w:pPr>
              <w:jc w:val="right"/>
              <w:ind w:right="715"/>
              <w:spacing w:after="0"/>
              <w:rPr>
                <w:sz w:val="20"/>
                <w:szCs w:val="20"/>
                <w:color w:val="auto"/>
              </w:rPr>
            </w:pPr>
            <w:r>
              <w:rPr>
                <w:rFonts w:ascii="Arial" w:cs="Arial" w:eastAsia="Arial" w:hAnsi="Arial"/>
                <w:sz w:val="14"/>
                <w:szCs w:val="14"/>
                <w:b w:val="1"/>
                <w:bCs w:val="1"/>
                <w:color w:val="auto"/>
              </w:rPr>
              <w:t>Year Ended</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w:t>
            </w:r>
          </w:p>
        </w:tc>
        <w:tc>
          <w:tcPr>
            <w:tcW w:w="32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6"/>
            <w:vMerge w:val="restart"/>
          </w:tcPr>
          <w:p>
            <w:pPr>
              <w:jc w:val="right"/>
              <w:ind w:right="67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gridSpan w:val="6"/>
            <w:vMerge w:val="continue"/>
          </w:tcPr>
          <w:p>
            <w:pPr>
              <w:spacing w:after="0"/>
              <w:rPr>
                <w:sz w:val="8"/>
                <w:szCs w:val="8"/>
                <w:color w:val="auto"/>
              </w:rPr>
            </w:pPr>
          </w:p>
        </w:tc>
        <w:tc>
          <w:tcPr>
            <w:tcW w:w="9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320" w:type="dxa"/>
            <w:vAlign w:val="bottom"/>
          </w:tcPr>
          <w:p>
            <w:pPr>
              <w:spacing w:after="0"/>
              <w:rPr>
                <w:sz w:val="8"/>
                <w:szCs w:val="8"/>
                <w:color w:val="auto"/>
              </w:rPr>
            </w:pPr>
          </w:p>
        </w:tc>
        <w:tc>
          <w:tcPr>
            <w:tcW w:w="9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3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ind w:right="92"/>
              <w:spacing w:after="0" w:line="129" w:lineRule="exact"/>
              <w:rPr>
                <w:sz w:val="20"/>
                <w:szCs w:val="20"/>
                <w:color w:val="auto"/>
              </w:rPr>
            </w:pPr>
            <w:r>
              <w:rPr>
                <w:rFonts w:ascii="Arial" w:cs="Arial" w:eastAsia="Arial" w:hAnsi="Arial"/>
                <w:sz w:val="14"/>
                <w:szCs w:val="14"/>
                <w:b w:val="1"/>
                <w:bCs w:val="1"/>
                <w:color w:val="auto"/>
                <w:w w:val="84"/>
              </w:rPr>
              <w:t>(Successor</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w w:val="77"/>
              </w:rPr>
              <w:t>Company)</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7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3"/>
              </w:rPr>
              <w:t>(229,310)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w w:val="83"/>
              </w:rPr>
              <w:t>(100,898)</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(5,825)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43,237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tcBorders>
              <w:right w:val="single" w:sz="8" w:color="auto"/>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188,560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202,929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45,855</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266,862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11,497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3,432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4,411</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foreign currency translation, net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(54,188)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w w:val="95"/>
              </w:rPr>
              <w:t>(15,880)</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(33,263)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rPr>
              <w:t>(829)</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(193)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92,858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Unit/stock-based compensation</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4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44,091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w w:val="95"/>
              </w:rPr>
              <w:t>(25,812)</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(43,270)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37,064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rPr>
              <w:t>(806)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36,513</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3,180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62,821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(56,917)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w w:val="95"/>
              </w:rPr>
              <w:t>(12,935)</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(38,423)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(33,061)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(15,897)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w w:val="95"/>
              </w:rPr>
              <w:t>(66,069)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81,509</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18,329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(7,453)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rPr>
              <w:t>(5,184)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17,711</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5,063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(6,009)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(7,329)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9,842</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(8,589)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w w:val="95"/>
              </w:rPr>
              <w:t>(13,831)</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(2,898)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rPr>
              <w:t>(2,012)</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30,470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103,647</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17,285</w:t>
            </w: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312,171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(39,196)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w w:val="95"/>
              </w:rPr>
              <w:t>(62,334)</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(23,346)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rPr>
              <w:t>(2,174)</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340" w:type="dxa"/>
            <w:vAlign w:val="bottom"/>
          </w:tcPr>
          <w:p>
            <w:pPr>
              <w:ind w:left="420"/>
              <w:spacing w:after="0" w:line="138" w:lineRule="exact"/>
              <w:rPr>
                <w:sz w:val="20"/>
                <w:szCs w:val="20"/>
                <w:color w:val="auto"/>
              </w:rPr>
            </w:pPr>
            <w:r>
              <w:rPr>
                <w:rFonts w:ascii="Arial" w:cs="Arial" w:eastAsia="Arial" w:hAnsi="Arial"/>
                <w:sz w:val="14"/>
                <w:szCs w:val="14"/>
                <w:color w:val="auto"/>
                <w:w w:val="96"/>
              </w:rPr>
              <w:t>Acquisition of business, net of cash acquired of $4,620 and $0 for the year ended December 31, 2005 and for three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40" w:type="dxa"/>
            <w:vAlign w:val="bottom"/>
          </w:tcPr>
          <w:p>
            <w:pPr>
              <w:ind w:left="640"/>
              <w:spacing w:after="0" w:line="159" w:lineRule="exact"/>
              <w:rPr>
                <w:sz w:val="20"/>
                <w:szCs w:val="20"/>
                <w:color w:val="auto"/>
              </w:rPr>
            </w:pPr>
            <w:r>
              <w:rPr>
                <w:rFonts w:ascii="Arial" w:cs="Arial" w:eastAsia="Arial" w:hAnsi="Arial"/>
                <w:sz w:val="14"/>
                <w:szCs w:val="14"/>
                <w:color w:val="auto"/>
              </w:rPr>
              <w:t>months ended December 31, 2004, respectively</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75"/>
              <w:spacing w:after="0" w:line="159" w:lineRule="exact"/>
              <w:rPr>
                <w:sz w:val="20"/>
                <w:szCs w:val="20"/>
                <w:color w:val="auto"/>
              </w:rPr>
            </w:pPr>
            <w:r>
              <w:rPr>
                <w:rFonts w:ascii="Arial" w:cs="Arial" w:eastAsia="Arial" w:hAnsi="Arial"/>
                <w:sz w:val="14"/>
                <w:szCs w:val="14"/>
                <w:color w:val="auto"/>
                <w:w w:val="95"/>
              </w:rPr>
              <w:t>(11,749)</w:t>
            </w:r>
          </w:p>
        </w:tc>
        <w:tc>
          <w:tcPr>
            <w:tcW w:w="18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60"/>
              <w:spacing w:after="0" w:line="159" w:lineRule="exact"/>
              <w:rPr>
                <w:sz w:val="20"/>
                <w:szCs w:val="20"/>
                <w:color w:val="auto"/>
              </w:rPr>
            </w:pPr>
            <w:r>
              <w:rPr>
                <w:rFonts w:ascii="Arial" w:cs="Arial" w:eastAsia="Arial" w:hAnsi="Arial"/>
                <w:sz w:val="14"/>
                <w:szCs w:val="14"/>
                <w:color w:val="auto"/>
              </w:rPr>
              <w:t>(488,152)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restricted cash</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(12,350)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1,205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(2,027)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(33,385)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w w:val="95"/>
              </w:rPr>
              <w:t>(64,072)</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(525,983)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(85,331)</w:t>
            </w:r>
          </w:p>
        </w:tc>
        <w:tc>
          <w:tcPr>
            <w:tcW w:w="0" w:type="dxa"/>
            <w:vAlign w:val="bottom"/>
          </w:tcPr>
          <w:p>
            <w:pPr>
              <w:spacing w:after="0"/>
              <w:rPr>
                <w:sz w:val="1"/>
                <w:szCs w:val="1"/>
                <w:color w:val="auto"/>
              </w:rPr>
            </w:pPr>
          </w:p>
        </w:tc>
      </w:tr>
      <w:tr>
        <w:trPr>
          <w:trHeight w:val="169"/>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Senior Secured and Subordinated Notes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45,867</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75"/>
              <w:spacing w:after="0" w:line="149" w:lineRule="exact"/>
              <w:rPr>
                <w:sz w:val="20"/>
                <w:szCs w:val="20"/>
                <w:color w:val="auto"/>
              </w:rPr>
            </w:pPr>
            <w:r>
              <w:rPr>
                <w:rFonts w:ascii="Arial" w:cs="Arial" w:eastAsia="Arial" w:hAnsi="Arial"/>
                <w:sz w:val="14"/>
                <w:szCs w:val="14"/>
                <w:color w:val="auto"/>
                <w:w w:val="95"/>
              </w:rPr>
              <w:t>(12,883)</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long-term borrowings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(347,718)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(406,786)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Payment of preferred dividends</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75"/>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(10,891)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costs paid</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rPr>
              <w:t>(594)</w:t>
            </w: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(27,635)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5"/>
              <w:spacing w:after="0" w:line="149" w:lineRule="exact"/>
              <w:rPr>
                <w:sz w:val="20"/>
                <w:szCs w:val="20"/>
                <w:color w:val="auto"/>
              </w:rPr>
            </w:pPr>
            <w:r>
              <w:rPr>
                <w:rFonts w:ascii="Arial" w:cs="Arial" w:eastAsia="Arial" w:hAnsi="Arial"/>
                <w:sz w:val="14"/>
                <w:szCs w:val="14"/>
                <w:color w:val="auto"/>
                <w:w w:val="95"/>
              </w:rPr>
              <w:t>(12,849)</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5,846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10,217</w:t>
            </w:r>
          </w:p>
        </w:tc>
        <w:tc>
          <w:tcPr>
            <w:tcW w:w="10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(488,484)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86,574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58,396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546,880</w:t>
            </w:r>
          </w:p>
        </w:tc>
        <w:tc>
          <w:tcPr>
            <w:tcW w:w="100" w:type="dxa"/>
            <w:vAlign w:val="bottom"/>
            <w:tcBorders>
              <w:right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End of the period</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gridSpan w:val="2"/>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89,173</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86,574</w:t>
            </w:r>
          </w:p>
        </w:tc>
        <w:tc>
          <w:tcPr>
            <w:tcW w:w="3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58,396</w:t>
            </w:r>
          </w:p>
        </w:tc>
        <w:tc>
          <w:tcPr>
            <w:tcW w:w="100" w:type="dxa"/>
            <w:vAlign w:val="bottom"/>
            <w:tcBorders>
              <w:right w:val="single" w:sz="8" w:color="auto"/>
            </w:tcBorders>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7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4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56,025</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53,373</w:t>
            </w:r>
          </w:p>
        </w:tc>
        <w:tc>
          <w:tcPr>
            <w:tcW w:w="3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11,862</w:t>
            </w:r>
          </w:p>
        </w:tc>
        <w:tc>
          <w:tcPr>
            <w:tcW w:w="100" w:type="dxa"/>
            <w:vAlign w:val="bottom"/>
            <w:tcBorders>
              <w:right w:val="single" w:sz="8" w:color="auto"/>
            </w:tcBorders>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17,791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income taxes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12,685</w:t>
            </w:r>
          </w:p>
        </w:tc>
        <w:tc>
          <w:tcPr>
            <w:tcW w:w="3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15,370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w:t>
            </w:r>
          </w:p>
        </w:tc>
        <w:tc>
          <w:tcPr>
            <w:tcW w:w="100" w:type="dxa"/>
            <w:vAlign w:val="bottom"/>
            <w:tcBorders>
              <w:right w:val="single" w:sz="8" w:color="auto"/>
            </w:tcBorders>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2,828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9" w:lineRule="exact"/>
        <w:rPr>
          <w:sz w:val="20"/>
          <w:szCs w:val="20"/>
          <w:color w:val="auto"/>
        </w:rPr>
      </w:pPr>
    </w:p>
    <w:p>
      <w:pPr>
        <w:ind w:right="1034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General The Company</w:t>
      </w:r>
    </w:p>
    <w:p>
      <w:pPr>
        <w:spacing w:after="0" w:line="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MagnaChip Semiconductor LLC and its subsidiaries (successor company) (the “Company”) is a leading designer, developer and manufacturer of mixed-signal and digital multimedia semiconductors addressing the convergence of consumer electronics and communication devices.</w:t>
      </w:r>
    </w:p>
    <w:p>
      <w:pPr>
        <w:spacing w:after="0" w:line="85"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Company operates in three segments—Display Solutions, Imaging Solutions and Semiconductor Manufacturing Services. The Display Solutions segment offers flat panel display drivers for the entire product range of small to large panel displays, including mobile handsets, handheld gaming devices, PDAs, displays for desktop and mobile computer monitors and flat panel televisions. The Imaging Solutions segment addresses a broad spectrum of consumer electronics products ranging from camera-equipped mobile handsets to personal computer webcams, offering VGA, 1.3, 2.1 and 3.2 megapixel CMOS image sensors. The Semiconductor Manufacturing Services segment uses the Company’s process technology and manufacturing facilities to manufacture semiconductor wafers for third parties based on their designs. The Company has five wafer fabrication facilities located in Cheongju and Gumi in the Republic of Korea.</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MagnaChip Semiconductor LLC was created on November 26, 2003 and was capitalized on September 10, 2004 under the laws of the State of Delaware. It was created with the sole purpose of acquiring the non-memory business (the “Business”) of Hynix Semiconductor Inc. (“Hynix”), which acquisition was completed with effect from October 1, 2004 (the “Original Acquisition”).</w:t>
      </w:r>
    </w:p>
    <w:p>
      <w:pPr>
        <w:spacing w:after="0" w:line="215" w:lineRule="exact"/>
        <w:rPr>
          <w:sz w:val="20"/>
          <w:szCs w:val="20"/>
          <w:color w:val="auto"/>
        </w:rPr>
      </w:pPr>
    </w:p>
    <w:p>
      <w:pPr>
        <w:ind w:right="794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financial statements are presented in accordance with accounting principles generally accepted in the United States of America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GAAP”). Significant accounting policies followed by the Company in the preparation of the accompanying financial statements are summarized below.</w:t>
      </w:r>
    </w:p>
    <w:p>
      <w:pPr>
        <w:spacing w:after="0" w:line="1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periods as of and prior to September 30, 2004, the accompanying consolidated financial statements are presented on a carve-out basis reflecting the assets, liabilities, revenues, expenses and changes in owner’s equity and cash flows that were directly attributable to the Business of Hynix (predecessor company), which was purchased on October 6, 2004. The Company has used October 1, 2004, as the effective date of the Original Acquisition since the financial results from October 1, 2004 onwards accrue to its benefit.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significant intercompany transactions and balances are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financial statements and disclosures. The most significant estimates and assumptions relate to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Company has assessed in accordance with Statements of Financial Accounting Standards (“SFAS”) No. 52, </w:t>
      </w:r>
      <w:r>
        <w:rPr>
          <w:rFonts w:ascii="Arial" w:cs="Arial" w:eastAsia="Arial" w:hAnsi="Arial"/>
          <w:sz w:val="16"/>
          <w:szCs w:val="16"/>
          <w:i w:val="1"/>
          <w:iCs w:val="1"/>
          <w:color w:val="auto"/>
        </w:rPr>
        <w:t>Foreign Currency Translation</w:t>
      </w:r>
      <w:r>
        <w:rPr>
          <w:rFonts w:ascii="Arial" w:cs="Arial" w:eastAsia="Arial" w:hAnsi="Arial"/>
          <w:sz w:val="16"/>
          <w:szCs w:val="16"/>
          <w:color w:val="auto"/>
        </w:rPr>
        <w:t>, the functional currency of each of its subsidiaries in Luxembourg, the Netherlands and the United Kingdom and has designated the 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SFAS No. 52.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 in the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reserves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w:t>
            </w:r>
          </w:p>
        </w:tc>
        <w:tc>
          <w:tcPr>
            <w:tcW w:w="360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- 40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360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- 20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60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Vehicles and others</w:t>
            </w:r>
          </w:p>
        </w:tc>
        <w:tc>
          <w:tcPr>
            <w:tcW w:w="3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impairment is measured as the difference between the carrying value of the assets and the fair value of assets using the present value of the future net cash flows generated by the respective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Company recognizes restructuring charges in accordance with SFAS No. 146, </w:t>
      </w:r>
      <w:r>
        <w:rPr>
          <w:rFonts w:ascii="Arial" w:cs="Arial" w:eastAsia="Arial" w:hAnsi="Arial"/>
          <w:sz w:val="16"/>
          <w:szCs w:val="16"/>
          <w:i w:val="1"/>
          <w:iCs w:val="1"/>
          <w:color w:val="auto"/>
        </w:rPr>
        <w:t>Accounting for Costs Associated with Exit or Disposal Activities.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costs and expenses related to exit or disposal activities are recorded as restructuring charges when liabilities for those costs and expenses are incurred.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9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(“SOP”) No. 98-1, </w:t>
      </w:r>
      <w:r>
        <w:rPr>
          <w:rFonts w:ascii="Arial" w:cs="Arial" w:eastAsia="Arial" w:hAnsi="Arial"/>
          <w:sz w:val="18"/>
          <w:szCs w:val="18"/>
          <w:i w:val="1"/>
          <w:iCs w:val="1"/>
          <w:color w:val="auto"/>
        </w:rPr>
        <w:t>Accounting for the Costs of Computer Software Developed or Obtained for Internal Use</w:t>
      </w:r>
      <w:r>
        <w:rPr>
          <w:rFonts w:ascii="Arial" w:cs="Arial" w:eastAsia="Arial" w:hAnsi="Arial"/>
          <w:sz w:val="18"/>
          <w:szCs w:val="18"/>
          <w:color w:val="auto"/>
        </w:rPr>
        <w:t>. Depreciation is calculated on a straight line basis over five years.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 assets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Carrying amounts of accounts receivable and accounts payable approximate fair value due to the short maturity of these financial instruments.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estimated fair value of the Company’s debt was $612.6 million, $738.8 million and $750.0 million as of December 31, 2006, 2005 and 2004,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December 31, 2006, 97% of all employees of the Company were eligible for severance benefits.</w:t>
      </w:r>
    </w:p>
    <w:p>
      <w:pPr>
        <w:spacing w:after="0" w:line="10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generally recognized upon delivery of the product at the end-customer’s location when the risks and rewards of ownership have passed to the customer. Revenue is deferred from sales to distributors until the product is ultimately sold to the end-customer.</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amounts billed to a customer related to shipping and handling are classified as sales while all costs incurred by the Company for shipping and handling are classified as selling expenses. The amounts charged to selling expenses are $1,332 thousand and $1,867 thousand for the years ended December 31, 2006 and 2005, $412 thousand for the three-month period ended December 31, 2004 (successor company) and $1,394 thousand for the nine-month period ended September 30, 2004 (predecessor company).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Company’s primary objective for holding derivative financial instruments is to manage cash flow risk inherent in debts with variable interest rates. The company recognizes all derivative financial instruments at fair value as either assets or liabilities and reports changes in the fair value of those instruments in earnings or other comprehensive income depending on whether they meet the criteria for designation as hedging transactions under SFAS No. 133,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Derivative Instruments and Hedging Activities</w:t>
      </w:r>
      <w:r>
        <w:rPr>
          <w:rFonts w:ascii="Arial" w:cs="Arial" w:eastAsia="Arial" w:hAnsi="Arial"/>
          <w:sz w:val="18"/>
          <w:szCs w:val="18"/>
          <w:color w:val="auto"/>
        </w:rPr>
        <w:t>, as amended.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expenses advertising costs as incurred. Advertising expense was approximately $81 thousand and $310 thousand for the years ended December 31, 2006 and 2005, $173 thousand for the three-month period ended December 31, 2004 (successor company), and $71 thousand for the nine-month period ended September 30, 2004 (predecessor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wafer, masks, employee expense, contractor fees, building costs, utilities, and administrative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payments,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Unit-Based Compensation (Successor Company)</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Effective January 1, 2006, the Company adopted the provisions of SFAS 123(R), </w:t>
      </w:r>
      <w:r>
        <w:rPr>
          <w:rFonts w:ascii="Arial" w:cs="Arial" w:eastAsia="Arial" w:hAnsi="Arial"/>
          <w:sz w:val="15"/>
          <w:szCs w:val="15"/>
          <w:i w:val="1"/>
          <w:iCs w:val="1"/>
          <w:color w:val="auto"/>
        </w:rPr>
        <w:t>Share-Based Payment (revised 2004).</w:t>
      </w:r>
      <w:r>
        <w:rPr>
          <w:rFonts w:ascii="Arial" w:cs="Arial" w:eastAsia="Arial" w:hAnsi="Arial"/>
          <w:sz w:val="15"/>
          <w:szCs w:val="15"/>
          <w:color w:val="auto"/>
        </w:rPr>
        <w:t xml:space="preserve"> As the Company elected to use the modified prospective application method, no restatement was made to the consolidated statements of operations for prior periods. Under SFAS 123(R), unit-based compensation cost is measured at grant date, based on the fair value of the award, and is recognized as expense over the requisite service period. As permitted under SFAS No. 123(R), the Company elected to recognize compensation expense for all options with graded vesting based on the graded attribution method.</w:t>
      </w:r>
    </w:p>
    <w:p>
      <w:pPr>
        <w:spacing w:after="0" w:line="9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Prior to 2006, the Company accounted for its unit-based compensation using the intrinsic value method prescribed in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provided the required pro forma disclosures of SFAS No. 123, </w:t>
      </w:r>
      <w:r>
        <w:rPr>
          <w:rFonts w:ascii="Arial" w:cs="Arial" w:eastAsia="Arial" w:hAnsi="Arial"/>
          <w:sz w:val="18"/>
          <w:szCs w:val="18"/>
          <w:i w:val="1"/>
          <w:iCs w:val="1"/>
          <w:color w:val="auto"/>
        </w:rPr>
        <w:t>Accounting for Stock-Based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As the exercise prices for all option grants were in excess of the fair value of the underlying units on the respective grant dates, no compensation cost was recorded for the year ended December 31, 2005 and for the three months ended December 31, 2004.</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Consistent with the valuation method for the disclosure-only provisions of FAS No. 123, 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unit. 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 The fair value of the underlying common unit is determined based on an independent appraisal from a third party and is updated to reflect changes in the Company’s financial results and prospects.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 (Predecessor Company)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Stock options under employee stock plans prior to the Original Acquisition were accounted for using the intrinsic value method prescribed by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As part of the presentation of the Business on a carve-out basis, stock compensation was allocated to the Business based on the employees that historically have worked in the Business. The compensation cost for the Business was $3,324 thousand for the nine-month period ended September 30, 2004.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to purchase common units and warrants to purchase common units. Diluted earnings per unit reflect the dilution of potential common units outstanding during the period. In determining the hypothetical units repurchased, the Company uses the average unit price for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which are subject to local income taxes in those markets.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Related Information</w:t>
      </w:r>
      <w:r>
        <w:rPr>
          <w:rFonts w:ascii="Arial" w:cs="Arial" w:eastAsia="Arial" w:hAnsi="Arial"/>
          <w:sz w:val="18"/>
          <w:szCs w:val="18"/>
          <w:color w:val="auto"/>
        </w:rPr>
        <w:t>, allocates resources to and assesses the performance of each segment using information about its revenue and gross profit. The Company does 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2006, the Company had a single reportable segment. In 2006, subsequent to the appointment of our new CODM, the Company changed the manner in which the CODM reviewed the Company’s operational results and made significant business decisions to include disaggregated financial information of its three primary business units. Segment information for the years ended December 31, 2005 and 2004 was prepared in conformity with the current segment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September 2006, the Financial Accounting Standards Board (“FASB”) issued SFAS No. 158, </w:t>
      </w:r>
      <w:r>
        <w:rPr>
          <w:rFonts w:ascii="Arial" w:cs="Arial" w:eastAsia="Arial" w:hAnsi="Arial"/>
          <w:sz w:val="18"/>
          <w:szCs w:val="18"/>
          <w:i w:val="1"/>
          <w:iCs w:val="1"/>
          <w:color w:val="auto"/>
        </w:rPr>
        <w:t>Employers’ Accounting for Defined Benefit Pension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Postretirement Plan </w:t>
      </w:r>
      <w:r>
        <w:rPr>
          <w:rFonts w:ascii="Arial" w:cs="Arial" w:eastAsia="Arial" w:hAnsi="Arial"/>
          <w:sz w:val="18"/>
          <w:szCs w:val="18"/>
          <w:color w:val="auto"/>
        </w:rPr>
        <w:t>– an amendment of SFAS No. 87, 88, 106 and 132(R). This Statement requires an employer to recognize the over funded or under</w:t>
      </w:r>
      <w:r>
        <w:rPr>
          <w:rFonts w:ascii="Arial" w:cs="Arial" w:eastAsia="Arial" w:hAnsi="Arial"/>
          <w:sz w:val="18"/>
          <w:szCs w:val="18"/>
          <w:i w:val="1"/>
          <w:iCs w:val="1"/>
          <w:color w:val="auto"/>
        </w:rPr>
        <w:t xml:space="preserve"> </w:t>
      </w:r>
      <w:r>
        <w:rPr>
          <w:rFonts w:ascii="Arial" w:cs="Arial" w:eastAsia="Arial" w:hAnsi="Arial"/>
          <w:sz w:val="18"/>
          <w:szCs w:val="18"/>
          <w:color w:val="auto"/>
        </w:rPr>
        <w:t>funded status of a defined benefit post retirement plan (other than a multiemployer plan) as an asset or liability in its statement of financial position, and to recognize changes in that funded status in the year in which the changes occur through comprehensive income. SFAS 158 is effective for fiscal years ending after June 15, 2007. The Company does not expect that the implementation of SFAS No. 158 will have a material impact on its financial position and results of operations.</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September 2006, the Securities and Exchange Commission (“SEC”) issued Staff Accounting Bulletin (“SAB”) No. 108 which provides interpretive guidance on how the effects of the carryover or reversal of prior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year misstatements should be considered in quantifying a current year misstatement. The guidance is applicable for fiscal years ending after November 15,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that adoption of SAB 108 will have a material impact on its consolidated financial statements.</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June 2006, the FASB issued FASB Interpretation (“FIN”)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—an interpretation of SFAS No. 109. FIN 48 clarifies the accounting for uncertain income tax positions accounted for in accordance with SFAS No. 109. The Interpretation stipulates recognition and measurement criteria in addition to classification and interim period accounting. The Interpretation significantly expanded disclosure provisions for uncertain tax positions that are expected to be taken in a company’s tax return. FIN 48 is effective for fiscal years beginning after December 15, 2006. The Company is currently evaluating the impact that the adoption may have on its consolidated financial statements.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an amendment of FASB Statement No. 140</w:t>
      </w:r>
      <w:r>
        <w:rPr>
          <w:rFonts w:ascii="Arial" w:cs="Arial" w:eastAsia="Arial" w:hAnsi="Arial"/>
          <w:sz w:val="16"/>
          <w:szCs w:val="16"/>
          <w:i w:val="1"/>
          <w:iCs w:val="1"/>
          <w:color w:val="auto"/>
        </w:rPr>
        <w:t>.</w:t>
      </w:r>
      <w:r>
        <w:rPr>
          <w:rFonts w:ascii="Arial" w:cs="Arial" w:eastAsia="Arial" w:hAnsi="Arial"/>
          <w:sz w:val="16"/>
          <w:szCs w:val="16"/>
          <w:color w:val="auto"/>
        </w:rPr>
        <w:t xml:space="preserve">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156 requires that all recognized servicing assets and liabilities are initially measured at fair value, and subsequently measured at either fair value or by applying an amortization method for each class of recognized servicing assets and liabilities. SFAS 156 is effective in fiscal years beginning after September 15, 2006. The adoption of SFAS 156 is not expected to have a material impact on the Company’s consolidated financial statements.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February 2006, the FASB issued SFAS No. 155, </w:t>
      </w:r>
      <w:r>
        <w:rPr>
          <w:rFonts w:ascii="Arial" w:cs="Arial" w:eastAsia="Arial" w:hAnsi="Arial"/>
          <w:sz w:val="18"/>
          <w:szCs w:val="18"/>
          <w:i w:val="1"/>
          <w:iCs w:val="1"/>
          <w:color w:val="auto"/>
        </w:rPr>
        <w:t>Accounting for Certain Hybrid Financial Instruments—</w:t>
      </w:r>
      <w:r>
        <w:rPr>
          <w:rFonts w:ascii="Arial" w:cs="Arial" w:eastAsia="Arial" w:hAnsi="Arial"/>
          <w:sz w:val="18"/>
          <w:szCs w:val="18"/>
          <w:color w:val="auto"/>
        </w:rPr>
        <w:t>an amendment of FASB Statements No. 133 and 140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amends SFAS No. 133 and SFAS No. 140, and improves the financial 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Company does not expect that adoption of this Statement will have a material impact on its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Original Acquisition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October 6, 2004, the Company completed its purchase of the Business, as outlined in the Business Transfer Agreement, as amended (the “BTA”) from Hynix, for cash, liabilities assumed, plus a warrant to purchase 5,079,254 common equity interests in the Company, valued by independent valuation. In October 2005, the Company agreed to pay Hynix an additional $6,238 thousand in cash as a working capital settlement payment. This additional amount, which was paid in full subsequently in October 2005, was included as part of the purchase consideration and therefore acquisition costs of related assets were subsequently adjusted.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 summary of purchase consideration including such subsequent working capital settlement as well as assets and liabilities acquired is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475,471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 assumed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285,807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Warrant to purchase common units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763,378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Fair value of assets and liabilities acquired: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(173,517)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(755,618)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5"/>
            <w:vMerge w:val="restart"/>
          </w:tcPr>
          <w:p>
            <w:pPr>
              <w:spacing w:after="0"/>
              <w:rPr>
                <w:sz w:val="20"/>
                <w:szCs w:val="20"/>
                <w:color w:val="auto"/>
              </w:rPr>
            </w:pPr>
            <w:r>
              <w:rPr>
                <w:rFonts w:ascii="Arial" w:cs="Arial" w:eastAsia="Arial" w:hAnsi="Arial"/>
                <w:sz w:val="18"/>
                <w:szCs w:val="18"/>
                <w:color w:val="auto"/>
                <w:w w:val="90"/>
              </w:rPr>
              <w:t>Intangible assets acquired in connection with this acquisition are included in non-current assets and summarized as below:</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8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Acquisition cost</w:t>
            </w:r>
          </w:p>
        </w:tc>
        <w:tc>
          <w:tcPr>
            <w:tcW w:w="11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amortization 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9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174,134</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7.0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5.2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206,598</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date of the Original Acquisition, the Company obtained an independent valuation of the acquired property, plant and equipment and the acquired intangible assets, to ascertain the fair value of these assets, and in addition, applied adjustments to the book value of the other assets and liabilities transferred from Hynix to calculate the total fair value of the assets and liabilities acquired. The Company also re-assessed the remaining useful lives of the acquired property, plant and equipment, and commenced depreciation on a straight-line basis, using the remaining useful lives of the acquired property, plant and equipment and acquired intangibles.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aggregate fair values obtained exceeded the total purchase consideration of $763,378 thousand, and this difference was applied to the Company’s intangible and non-current tangible assets on a pro-rata basis, such that the adjusted fair value of the assets and liabilities acquired equaled the total purchase consideration, with no residual negative goodwill.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December 31, 2006 and 2005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24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65,203</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Notes receivable</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16,812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Allowances for doubtful accounts</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(1,418)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return reserve</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Low yield compensation reserve</w:t>
            </w:r>
          </w:p>
        </w:tc>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(2,482)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76,665</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60" w:type="dxa"/>
            <w:vAlign w:val="bottom"/>
            <w:vMerge w:val="restart"/>
          </w:tcPr>
          <w:p>
            <w:pPr>
              <w:jc w:val="right"/>
              <w:ind w:right="2632"/>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allowance for doubtful accounts for each period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gridSpan w:val="7"/>
            <w:vMerge w:val="restart"/>
          </w:tcPr>
          <w:p>
            <w:pPr>
              <w:jc w:val="right"/>
              <w:ind w:right="1055"/>
              <w:spacing w:after="0"/>
              <w:rPr>
                <w:sz w:val="20"/>
                <w:szCs w:val="20"/>
                <w:color w:val="auto"/>
              </w:rPr>
            </w:pPr>
            <w:r>
              <w:rPr>
                <w:rFonts w:ascii="Arial" w:cs="Arial" w:eastAsia="Arial" w:hAnsi="Arial"/>
                <w:sz w:val="14"/>
                <w:szCs w:val="14"/>
                <w:b w:val="1"/>
                <w:bCs w:val="1"/>
                <w:color w:val="auto"/>
              </w:rPr>
              <w:t>Year ended</w:t>
            </w:r>
          </w:p>
        </w:tc>
        <w:tc>
          <w:tcPr>
            <w:tcW w:w="14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1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4"/>
            <w:vMerge w:val="restart"/>
          </w:tcPr>
          <w:p>
            <w:pPr>
              <w:jc w:val="center"/>
              <w:ind w:right="860"/>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7"/>
                <w:szCs w:val="7"/>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160" w:type="dxa"/>
            <w:vAlign w:val="bottom"/>
            <w:gridSpan w:val="7"/>
            <w:vMerge w:val="restart"/>
          </w:tcPr>
          <w:p>
            <w:pPr>
              <w:jc w:val="right"/>
              <w:ind w:right="1015"/>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60" w:type="dxa"/>
            <w:vAlign w:val="bottom"/>
            <w:gridSpan w:val="7"/>
            <w:vMerge w:val="continue"/>
          </w:tcPr>
          <w:p>
            <w:pPr>
              <w:spacing w:after="0"/>
              <w:rPr>
                <w:sz w:val="8"/>
                <w:szCs w:val="8"/>
                <w:color w:val="auto"/>
              </w:rPr>
            </w:pPr>
          </w:p>
        </w:tc>
        <w:tc>
          <w:tcPr>
            <w:tcW w:w="1480" w:type="dxa"/>
            <w:vAlign w:val="bottom"/>
            <w:gridSpan w:val="6"/>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7"/>
              <w:spacing w:after="0" w:line="129" w:lineRule="exact"/>
              <w:rPr>
                <w:sz w:val="20"/>
                <w:szCs w:val="20"/>
                <w:color w:val="auto"/>
              </w:rPr>
            </w:pPr>
            <w:r>
              <w:rPr>
                <w:rFonts w:ascii="Arial" w:cs="Arial" w:eastAsia="Arial" w:hAnsi="Arial"/>
                <w:sz w:val="14"/>
                <w:szCs w:val="14"/>
                <w:b w:val="1"/>
                <w:bCs w:val="1"/>
                <w:color w:val="auto"/>
                <w:w w:val="90"/>
              </w:rPr>
              <w:t>(Successor</w:t>
            </w:r>
          </w:p>
        </w:tc>
        <w:tc>
          <w:tcPr>
            <w:tcW w:w="640" w:type="dxa"/>
            <w:vAlign w:val="bottom"/>
            <w:gridSpan w:val="2"/>
          </w:tcPr>
          <w:p>
            <w:pPr>
              <w:jc w:val="right"/>
              <w:ind w:right="35"/>
              <w:spacing w:after="0" w:line="129" w:lineRule="exact"/>
              <w:rPr>
                <w:sz w:val="20"/>
                <w:szCs w:val="20"/>
                <w:color w:val="auto"/>
              </w:rPr>
            </w:pPr>
            <w:r>
              <w:rPr>
                <w:rFonts w:ascii="Arial" w:cs="Arial" w:eastAsia="Arial" w:hAnsi="Arial"/>
                <w:sz w:val="14"/>
                <w:szCs w:val="14"/>
                <w:b w:val="1"/>
                <w:bCs w:val="1"/>
                <w:color w:val="auto"/>
                <w:w w:val="75"/>
              </w:rPr>
              <w:t>Company)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(617)</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50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Bad debt expense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2"/>
              <w:spacing w:after="0"/>
              <w:rPr>
                <w:sz w:val="20"/>
                <w:szCs w:val="20"/>
                <w:color w:val="auto"/>
              </w:rPr>
            </w:pPr>
            <w:r>
              <w:rPr>
                <w:rFonts w:ascii="Arial" w:cs="Arial" w:eastAsia="Arial" w:hAnsi="Arial"/>
                <w:sz w:val="18"/>
                <w:szCs w:val="18"/>
                <w:color w:val="auto"/>
              </w:rPr>
              <w:t>(229)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left="218"/>
              <w:spacing w:after="0"/>
              <w:rPr>
                <w:sz w:val="20"/>
                <w:szCs w:val="20"/>
                <w:color w:val="auto"/>
              </w:rPr>
            </w:pPr>
            <w:r>
              <w:rPr>
                <w:rFonts w:ascii="Arial" w:cs="Arial" w:eastAsia="Arial" w:hAnsi="Arial"/>
                <w:sz w:val="18"/>
                <w:szCs w:val="18"/>
                <w:color w:val="auto"/>
                <w:w w:val="90"/>
              </w:rPr>
              <w:t>(340)</w:t>
            </w:r>
          </w:p>
        </w:tc>
        <w:tc>
          <w:tcPr>
            <w:tcW w:w="12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Write off</w:t>
            </w:r>
          </w:p>
        </w:tc>
        <w:tc>
          <w:tcPr>
            <w:tcW w:w="6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auto"/>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2"/>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w:t>
            </w:r>
          </w:p>
        </w:tc>
        <w:tc>
          <w:tcPr>
            <w:tcW w:w="50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left="218"/>
              <w:spacing w:after="0"/>
              <w:rPr>
                <w:sz w:val="20"/>
                <w:szCs w:val="20"/>
                <w:color w:val="auto"/>
              </w:rPr>
            </w:pPr>
            <w:r>
              <w:rPr>
                <w:rFonts w:ascii="Arial" w:cs="Arial" w:eastAsia="Arial" w:hAnsi="Arial"/>
                <w:sz w:val="18"/>
                <w:szCs w:val="18"/>
                <w:color w:val="auto"/>
                <w:w w:val="90"/>
              </w:rPr>
              <w:t>(383)</w:t>
            </w:r>
          </w:p>
        </w:tc>
        <w:tc>
          <w:tcPr>
            <w:tcW w:w="120" w:type="dxa"/>
            <w:vAlign w:val="bottom"/>
            <w:tcBorders>
              <w:left w:val="single" w:sz="8" w:color="auto"/>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40"/>
              <w:spacing w:after="0"/>
              <w:rPr>
                <w:sz w:val="20"/>
                <w:szCs w:val="20"/>
                <w:color w:val="auto"/>
              </w:rPr>
            </w:pPr>
            <w:r>
              <w:rPr>
                <w:rFonts w:ascii="Arial" w:cs="Arial" w:eastAsia="Arial" w:hAnsi="Arial"/>
                <w:sz w:val="18"/>
                <w:szCs w:val="18"/>
                <w:color w:val="auto"/>
              </w:rPr>
              <w:t>Changes in cash return reserve for each period are as follows:</w:t>
            </w: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6"/>
            <w:vMerge w:val="restart"/>
          </w:tcPr>
          <w:p>
            <w:pPr>
              <w:jc w:val="right"/>
              <w:ind w:right="935"/>
              <w:spacing w:after="0"/>
              <w:rPr>
                <w:sz w:val="20"/>
                <w:szCs w:val="20"/>
                <w:color w:val="auto"/>
              </w:rPr>
            </w:pPr>
            <w:r>
              <w:rPr>
                <w:rFonts w:ascii="Arial" w:cs="Arial" w:eastAsia="Arial" w:hAnsi="Arial"/>
                <w:sz w:val="14"/>
                <w:szCs w:val="14"/>
                <w:b w:val="1"/>
                <w:bCs w:val="1"/>
                <w:color w:val="auto"/>
                <w:w w:val="90"/>
              </w:rPr>
              <w:t>Year ended</w:t>
            </w:r>
          </w:p>
        </w:tc>
        <w:tc>
          <w:tcPr>
            <w:tcW w:w="80" w:type="dxa"/>
            <w:vAlign w:val="bottom"/>
          </w:tcPr>
          <w:p>
            <w:pPr>
              <w:spacing w:after="0"/>
              <w:rPr>
                <w:sz w:val="24"/>
                <w:szCs w:val="24"/>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4"/>
            <w:vMerge w:val="restart"/>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7"/>
                <w:szCs w:val="7"/>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700" w:type="dxa"/>
            <w:vAlign w:val="bottom"/>
            <w:gridSpan w:val="6"/>
            <w:vMerge w:val="restart"/>
          </w:tcPr>
          <w:p>
            <w:pPr>
              <w:jc w:val="right"/>
              <w:ind w:right="875"/>
              <w:spacing w:after="0"/>
              <w:rPr>
                <w:sz w:val="20"/>
                <w:szCs w:val="20"/>
                <w:color w:val="auto"/>
              </w:rPr>
            </w:pPr>
            <w:r>
              <w:rPr>
                <w:rFonts w:ascii="Arial" w:cs="Arial" w:eastAsia="Arial" w:hAnsi="Arial"/>
                <w:sz w:val="14"/>
                <w:szCs w:val="14"/>
                <w:b w:val="1"/>
                <w:bCs w:val="1"/>
                <w:color w:val="auto"/>
                <w:w w:val="84"/>
              </w:rPr>
              <w:t>December 31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5"/>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right"/>
              <w:ind w:right="72"/>
              <w:spacing w:after="0" w:line="129" w:lineRule="exact"/>
              <w:rPr>
                <w:sz w:val="20"/>
                <w:szCs w:val="20"/>
                <w:color w:val="auto"/>
              </w:rPr>
            </w:pPr>
            <w:r>
              <w:rPr>
                <w:rFonts w:ascii="Arial" w:cs="Arial" w:eastAsia="Arial" w:hAnsi="Arial"/>
                <w:sz w:val="14"/>
                <w:szCs w:val="14"/>
                <w:b w:val="1"/>
                <w:bCs w:val="1"/>
                <w:color w:val="auto"/>
              </w:rPr>
              <w:t>(Successor</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0"/>
              </w:rPr>
              <w:t>Company)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440" w:type="dxa"/>
            <w:vAlign w:val="bottom"/>
            <w:gridSpan w:val="4"/>
            <w:shd w:val="clear" w:color="auto" w:fill="CCEEFF"/>
          </w:tcPr>
          <w:p>
            <w:pPr>
              <w:jc w:val="right"/>
              <w:ind w:right="355"/>
              <w:spacing w:after="0"/>
              <w:rPr>
                <w:sz w:val="20"/>
                <w:szCs w:val="20"/>
                <w:color w:val="auto"/>
              </w:rPr>
            </w:pPr>
            <w:r>
              <w:rPr>
                <w:rFonts w:ascii="Arial" w:cs="Arial" w:eastAsia="Arial" w:hAnsi="Arial"/>
                <w:sz w:val="18"/>
                <w:szCs w:val="18"/>
                <w:color w:val="auto"/>
              </w:rPr>
              <w:t>$(2,156)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 to (reversal of) reserve</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(2,100)</w:t>
            </w:r>
          </w:p>
        </w:tc>
        <w:tc>
          <w:tcPr>
            <w:tcW w:w="1440" w:type="dxa"/>
            <w:vAlign w:val="bottom"/>
            <w:gridSpan w:val="4"/>
          </w:tcPr>
          <w:p>
            <w:pPr>
              <w:jc w:val="right"/>
              <w:ind w:right="355"/>
              <w:spacing w:after="0"/>
              <w:rPr>
                <w:sz w:val="20"/>
                <w:szCs w:val="20"/>
                <w:color w:val="auto"/>
              </w:rPr>
            </w:pPr>
            <w:r>
              <w:rPr>
                <w:rFonts w:ascii="Arial" w:cs="Arial" w:eastAsia="Arial" w:hAnsi="Arial"/>
                <w:sz w:val="18"/>
                <w:szCs w:val="18"/>
                <w:color w:val="auto"/>
              </w:rPr>
              <w:t>(8,131)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(3,660)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Payment made</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3,862</w:t>
            </w:r>
          </w:p>
        </w:tc>
        <w:tc>
          <w:tcPr>
            <w:tcW w:w="1440" w:type="dxa"/>
            <w:vAlign w:val="bottom"/>
            <w:gridSpan w:val="4"/>
            <w:shd w:val="clear" w:color="auto" w:fill="CCEEFF"/>
          </w:tcPr>
          <w:p>
            <w:pPr>
              <w:jc w:val="right"/>
              <w:ind w:right="415"/>
              <w:spacing w:after="0"/>
              <w:rPr>
                <w:sz w:val="20"/>
                <w:szCs w:val="20"/>
                <w:color w:val="auto"/>
              </w:rPr>
            </w:pPr>
            <w:r>
              <w:rPr>
                <w:rFonts w:ascii="Arial" w:cs="Arial" w:eastAsia="Arial" w:hAnsi="Arial"/>
                <w:sz w:val="18"/>
                <w:szCs w:val="18"/>
                <w:color w:val="auto"/>
              </w:rPr>
              <w:t>7,351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6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(212)</w:t>
            </w:r>
          </w:p>
        </w:tc>
        <w:tc>
          <w:tcPr>
            <w:tcW w:w="1440" w:type="dxa"/>
            <w:vAlign w:val="bottom"/>
            <w:gridSpan w:val="4"/>
          </w:tcPr>
          <w:p>
            <w:pPr>
              <w:jc w:val="right"/>
              <w:ind w:right="355"/>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tcBorders>
              <w:left w:val="single" w:sz="8" w:color="auto"/>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(1,450)</w:t>
            </w:r>
          </w:p>
        </w:tc>
        <w:tc>
          <w:tcPr>
            <w:tcW w:w="1440" w:type="dxa"/>
            <w:vAlign w:val="bottom"/>
            <w:gridSpan w:val="4"/>
            <w:shd w:val="clear" w:color="auto" w:fill="CCEEFF"/>
          </w:tcPr>
          <w:p>
            <w:pPr>
              <w:jc w:val="right"/>
              <w:ind w:right="35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40"/>
              <w:spacing w:after="0"/>
              <w:rPr>
                <w:sz w:val="20"/>
                <w:szCs w:val="20"/>
                <w:color w:val="auto"/>
              </w:rPr>
            </w:pPr>
            <w:r>
              <w:rPr>
                <w:rFonts w:ascii="Arial" w:cs="Arial" w:eastAsia="Arial" w:hAnsi="Arial"/>
                <w:sz w:val="18"/>
                <w:szCs w:val="18"/>
                <w:color w:val="auto"/>
                <w:w w:val="96"/>
              </w:rPr>
              <w:t>Changes in low yield compensation reserve for each period are as follows:</w:t>
            </w: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6"/>
            <w:vMerge w:val="restart"/>
          </w:tcPr>
          <w:p>
            <w:pPr>
              <w:jc w:val="right"/>
              <w:ind w:right="955"/>
              <w:spacing w:after="0"/>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0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4"/>
            <w:vMerge w:val="restart"/>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7"/>
                <w:szCs w:val="7"/>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160" w:type="dxa"/>
            <w:vAlign w:val="bottom"/>
            <w:gridSpan w:val="7"/>
            <w:vMerge w:val="restart"/>
          </w:tcPr>
          <w:p>
            <w:pPr>
              <w:jc w:val="right"/>
              <w:ind w:right="915"/>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5"/>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tcPr>
          <w:p>
            <w:pPr>
              <w:jc w:val="right"/>
              <w:ind w:right="112"/>
              <w:spacing w:after="0" w:line="129" w:lineRule="exact"/>
              <w:rPr>
                <w:sz w:val="20"/>
                <w:szCs w:val="20"/>
                <w:color w:val="auto"/>
              </w:rPr>
            </w:pPr>
            <w:r>
              <w:rPr>
                <w:rFonts w:ascii="Arial" w:cs="Arial" w:eastAsia="Arial" w:hAnsi="Arial"/>
                <w:sz w:val="14"/>
                <w:szCs w:val="14"/>
                <w:b w:val="1"/>
                <w:bCs w:val="1"/>
                <w:color w:val="auto"/>
                <w:w w:val="97"/>
              </w:rPr>
              <w:t>(Successor</w:t>
            </w:r>
          </w:p>
        </w:tc>
        <w:tc>
          <w:tcPr>
            <w:tcW w:w="5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78"/>
              </w:rPr>
              <w:t>Company)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$(2,666)</w:t>
            </w:r>
          </w:p>
        </w:tc>
        <w:tc>
          <w:tcPr>
            <w:tcW w:w="1440" w:type="dxa"/>
            <w:vAlign w:val="bottom"/>
            <w:gridSpan w:val="4"/>
            <w:shd w:val="clear" w:color="auto" w:fill="CCEEFF"/>
          </w:tcPr>
          <w:p>
            <w:pPr>
              <w:jc w:val="right"/>
              <w:ind w:right="375"/>
              <w:spacing w:after="0"/>
              <w:rPr>
                <w:sz w:val="20"/>
                <w:szCs w:val="20"/>
                <w:color w:val="auto"/>
              </w:rPr>
            </w:pPr>
            <w:r>
              <w:rPr>
                <w:rFonts w:ascii="Arial" w:cs="Arial" w:eastAsia="Arial" w:hAnsi="Arial"/>
                <w:sz w:val="18"/>
                <w:szCs w:val="18"/>
                <w:color w:val="auto"/>
              </w:rPr>
              <w:t>$ (2,911)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gridSpan w:val="3"/>
            <w:shd w:val="clear" w:color="auto" w:fill="CCEEFF"/>
          </w:tcPr>
          <w:p>
            <w:pPr>
              <w:jc w:val="center"/>
              <w:ind w:left="98"/>
              <w:spacing w:after="0"/>
              <w:rPr>
                <w:sz w:val="20"/>
                <w:szCs w:val="20"/>
                <w:color w:val="auto"/>
              </w:rPr>
            </w:pPr>
            <w:r>
              <w:rPr>
                <w:rFonts w:ascii="Arial" w:cs="Arial" w:eastAsia="Arial" w:hAnsi="Arial"/>
                <w:sz w:val="18"/>
                <w:szCs w:val="18"/>
                <w:color w:val="auto"/>
                <w:w w:val="87"/>
              </w:rPr>
              <w:t>(2,874)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 to (reversal of) reserve</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(4,117)</w:t>
            </w:r>
          </w:p>
        </w:tc>
        <w:tc>
          <w:tcPr>
            <w:tcW w:w="1440" w:type="dxa"/>
            <w:vAlign w:val="bottom"/>
            <w:gridSpan w:val="4"/>
          </w:tcPr>
          <w:p>
            <w:pPr>
              <w:jc w:val="right"/>
              <w:ind w:right="375"/>
              <w:spacing w:after="0"/>
              <w:rPr>
                <w:sz w:val="20"/>
                <w:szCs w:val="20"/>
                <w:color w:val="auto"/>
              </w:rPr>
            </w:pPr>
            <w:r>
              <w:rPr>
                <w:rFonts w:ascii="Arial" w:cs="Arial" w:eastAsia="Arial" w:hAnsi="Arial"/>
                <w:sz w:val="18"/>
                <w:szCs w:val="18"/>
                <w:color w:val="auto"/>
              </w:rPr>
              <w:t>(4,747)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gridSpan w:val="3"/>
          </w:tcPr>
          <w:p>
            <w:pPr>
              <w:jc w:val="center"/>
              <w:ind w:left="98"/>
              <w:spacing w:after="0"/>
              <w:rPr>
                <w:sz w:val="20"/>
                <w:szCs w:val="20"/>
                <w:color w:val="auto"/>
              </w:rPr>
            </w:pPr>
            <w:r>
              <w:rPr>
                <w:rFonts w:ascii="Arial" w:cs="Arial" w:eastAsia="Arial" w:hAnsi="Arial"/>
                <w:sz w:val="18"/>
                <w:szCs w:val="18"/>
                <w:color w:val="auto"/>
                <w:w w:val="87"/>
              </w:rPr>
              <w:t>(2,260)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Payment made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5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18"/>
              <w:spacing w:after="0"/>
              <w:rPr>
                <w:sz w:val="20"/>
                <w:szCs w:val="20"/>
                <w:color w:val="auto"/>
              </w:rPr>
            </w:pPr>
            <w:r>
              <w:rPr>
                <w:rFonts w:ascii="Arial" w:cs="Arial" w:eastAsia="Arial" w:hAnsi="Arial"/>
                <w:sz w:val="18"/>
                <w:szCs w:val="18"/>
                <w:color w:val="auto"/>
                <w:w w:val="84"/>
              </w:rPr>
              <w:t>2,533</w:t>
            </w:r>
          </w:p>
        </w:tc>
        <w:tc>
          <w:tcPr>
            <w:tcW w:w="120" w:type="dxa"/>
            <w:vAlign w:val="bottom"/>
            <w:tcBorders>
              <w:left w:val="single" w:sz="8" w:color="CCEEFF"/>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6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(219)</w:t>
            </w:r>
          </w:p>
        </w:tc>
        <w:tc>
          <w:tcPr>
            <w:tcW w:w="1440" w:type="dxa"/>
            <w:vAlign w:val="bottom"/>
            <w:gridSpan w:val="4"/>
          </w:tcPr>
          <w:p>
            <w:pPr>
              <w:jc w:val="right"/>
              <w:ind w:right="375"/>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gridSpan w:val="3"/>
          </w:tcPr>
          <w:p>
            <w:pPr>
              <w:ind w:left="360"/>
              <w:spacing w:after="0"/>
              <w:rPr>
                <w:sz w:val="20"/>
                <w:szCs w:val="20"/>
                <w:color w:val="auto"/>
              </w:rPr>
            </w:pPr>
            <w:r>
              <w:rPr>
                <w:rFonts w:ascii="Arial" w:cs="Arial" w:eastAsia="Arial" w:hAnsi="Arial"/>
                <w:sz w:val="18"/>
                <w:szCs w:val="18"/>
                <w:color w:val="auto"/>
                <w:w w:val="95"/>
              </w:rPr>
              <w:t>(310)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(2,482)</w:t>
            </w:r>
          </w:p>
        </w:tc>
        <w:tc>
          <w:tcPr>
            <w:tcW w:w="1440" w:type="dxa"/>
            <w:vAlign w:val="bottom"/>
            <w:gridSpan w:val="4"/>
            <w:shd w:val="clear" w:color="auto" w:fill="CCEEFF"/>
          </w:tcPr>
          <w:p>
            <w:pPr>
              <w:jc w:val="right"/>
              <w:ind w:right="37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gridSpan w:val="3"/>
            <w:shd w:val="clear" w:color="auto" w:fill="CCEEFF"/>
          </w:tcPr>
          <w:p>
            <w:pPr>
              <w:jc w:val="center"/>
              <w:ind w:left="98"/>
              <w:spacing w:after="0"/>
              <w:rPr>
                <w:sz w:val="20"/>
                <w:szCs w:val="20"/>
                <w:color w:val="auto"/>
              </w:rPr>
            </w:pPr>
            <w:r>
              <w:rPr>
                <w:rFonts w:ascii="Arial" w:cs="Arial" w:eastAsia="Arial" w:hAnsi="Arial"/>
                <w:sz w:val="18"/>
                <w:szCs w:val="18"/>
                <w:color w:val="auto"/>
                <w:w w:val="87"/>
              </w:rPr>
              <w:t>(2,911)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December 31, 2006 and 2005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80" w:type="dxa"/>
            <w:vAlign w:val="bottom"/>
            <w:gridSpan w:val="2"/>
            <w:shd w:val="clear" w:color="auto" w:fill="CCEEFF"/>
          </w:tcPr>
          <w:p>
            <w:pPr>
              <w:ind w:left="40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39,492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Materials in-transit</w:t>
            </w: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4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(11,652)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Inventories, net</w:t>
            </w:r>
          </w:p>
        </w:tc>
        <w:tc>
          <w:tcPr>
            <w:tcW w:w="4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60" w:type="dxa"/>
            <w:vAlign w:val="bottom"/>
            <w:vMerge w:val="continue"/>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57,846</w:t>
            </w:r>
          </w:p>
        </w:tc>
        <w:tc>
          <w:tcPr>
            <w:tcW w:w="420" w:type="dxa"/>
            <w:vAlign w:val="bottom"/>
          </w:tcPr>
          <w:p>
            <w:pPr>
              <w:spacing w:after="0"/>
              <w:rPr>
                <w:sz w:val="19"/>
                <w:szCs w:val="19"/>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000" w:type="dxa"/>
            <w:vAlign w:val="bottom"/>
            <w:vMerge w:val="restart"/>
          </w:tcPr>
          <w:p>
            <w:pPr>
              <w:jc w:val="right"/>
              <w:ind w:right="2632"/>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4980" w:type="dxa"/>
            <w:vAlign w:val="bottom"/>
            <w:gridSpan w:val="4"/>
          </w:tcPr>
          <w:p>
            <w:pPr>
              <w:jc w:val="center"/>
              <w:ind w:left="113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620" w:type="dxa"/>
            <w:vAlign w:val="bottom"/>
          </w:tcPr>
          <w:p>
            <w:pPr>
              <w:spacing w:after="0"/>
              <w:rPr>
                <w:sz w:val="24"/>
                <w:szCs w:val="24"/>
                <w:color w:val="auto"/>
              </w:rPr>
            </w:pPr>
          </w:p>
        </w:tc>
        <w:tc>
          <w:tcPr>
            <w:tcW w:w="62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7"/>
              </w:rPr>
              <w:t>Notes to Consolidated Financial Statements—(Continued)</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4980" w:type="dxa"/>
            <w:vAlign w:val="bottom"/>
            <w:gridSpan w:val="4"/>
          </w:tcPr>
          <w:p>
            <w:pPr>
              <w:jc w:val="center"/>
              <w:ind w:left="1132"/>
              <w:spacing w:after="0"/>
              <w:rPr>
                <w:sz w:val="20"/>
                <w:szCs w:val="20"/>
                <w:color w:val="auto"/>
              </w:rPr>
            </w:pPr>
            <w:r>
              <w:rPr>
                <w:rFonts w:ascii="Arial" w:cs="Arial" w:eastAsia="Arial" w:hAnsi="Arial"/>
                <w:sz w:val="18"/>
                <w:szCs w:val="18"/>
                <w:b w:val="1"/>
                <w:bCs w:val="1"/>
                <w:color w:val="auto"/>
                <w:w w:val="87"/>
              </w:rPr>
              <w:t>(Tabular dollars in thousands, except unit data)</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760" w:type="dxa"/>
            <w:vAlign w:val="bottom"/>
            <w:gridSpan w:val="3"/>
          </w:tcPr>
          <w:p>
            <w:pPr>
              <w:ind w:left="460"/>
              <w:spacing w:after="0"/>
              <w:rPr>
                <w:sz w:val="20"/>
                <w:szCs w:val="20"/>
                <w:color w:val="auto"/>
              </w:rPr>
            </w:pPr>
            <w:r>
              <w:rPr>
                <w:rFonts w:ascii="Arial" w:cs="Arial" w:eastAsia="Arial" w:hAnsi="Arial"/>
                <w:sz w:val="18"/>
                <w:szCs w:val="18"/>
                <w:color w:val="auto"/>
              </w:rPr>
              <w:t>Changes in valuation allowances for each period are as follows: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(Successor Company)</w:t>
            </w:r>
          </w:p>
        </w:tc>
        <w:tc>
          <w:tcPr>
            <w:tcW w:w="0" w:type="dxa"/>
            <w:vAlign w:val="bottom"/>
          </w:tcPr>
          <w:p>
            <w:pPr>
              <w:spacing w:after="0"/>
              <w:rPr>
                <w:sz w:val="1"/>
                <w:szCs w:val="1"/>
                <w:color w:val="auto"/>
              </w:rPr>
            </w:pPr>
          </w:p>
        </w:tc>
      </w:tr>
      <w:tr>
        <w:trPr>
          <w:trHeight w:val="330"/>
        </w:trPr>
        <w:tc>
          <w:tcPr>
            <w:tcW w:w="2620" w:type="dxa"/>
            <w:vAlign w:val="bottom"/>
          </w:tcPr>
          <w:p>
            <w:pPr>
              <w:spacing w:after="0"/>
              <w:rPr>
                <w:sz w:val="20"/>
                <w:szCs w:val="20"/>
                <w:color w:val="auto"/>
              </w:rPr>
            </w:pPr>
            <w:r>
              <w:rPr>
                <w:rFonts w:ascii="Arial" w:cs="Arial" w:eastAsia="Arial" w:hAnsi="Arial"/>
                <w:sz w:val="18"/>
                <w:szCs w:val="18"/>
                <w:color w:val="auto"/>
              </w:rPr>
              <w:t>Beginning balance</w:t>
            </w:r>
          </w:p>
        </w:tc>
        <w:tc>
          <w:tcPr>
            <w:tcW w:w="4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(7,612)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Loss on valuation</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(10,212)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Write off</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6,868</w:t>
            </w:r>
          </w:p>
        </w:tc>
        <w:tc>
          <w:tcPr>
            <w:tcW w:w="30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(696)</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4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vMerge w:val="continue"/>
          </w:tcPr>
          <w:p>
            <w:pPr>
              <w:spacing w:after="0"/>
              <w:rPr>
                <w:sz w:val="19"/>
                <w:szCs w:val="19"/>
                <w:color w:val="auto"/>
              </w:rPr>
            </w:pPr>
          </w:p>
        </w:tc>
        <w:tc>
          <w:tcPr>
            <w:tcW w:w="4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(11,652)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737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6"/>
              </w:rPr>
              <w:t>Three months</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16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14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2004</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4"/>
                <w:szCs w:val="14"/>
                <w:color w:val="auto"/>
              </w:rPr>
            </w:pPr>
          </w:p>
        </w:tc>
      </w:tr>
      <w:tr>
        <w:trPr>
          <w:trHeight w:val="129"/>
        </w:trPr>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1"/>
                <w:szCs w:val="11"/>
                <w:color w:val="auto"/>
              </w:rPr>
            </w:pPr>
          </w:p>
        </w:tc>
      </w:tr>
      <w:tr>
        <w:trPr>
          <w:trHeight w:val="153"/>
        </w:trPr>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Company)</w:t>
            </w:r>
          </w:p>
        </w:tc>
      </w:tr>
      <w:tr>
        <w:trPr>
          <w:trHeight w:val="216"/>
        </w:trPr>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(6,651)</w:t>
            </w:r>
          </w:p>
        </w:tc>
      </w:tr>
      <w:tr>
        <w:trPr>
          <w:trHeight w:val="216"/>
        </w:trPr>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(7,728)</w:t>
            </w:r>
          </w:p>
        </w:tc>
      </w:tr>
      <w:tr>
        <w:trPr>
          <w:trHeight w:val="222"/>
        </w:trPr>
        <w:tc>
          <w:tcPr>
            <w:tcW w:w="16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7,923</w:t>
            </w:r>
          </w:p>
        </w:tc>
      </w:tr>
    </w:tbl>
    <w:p>
      <w:pPr>
        <w:ind w:left="1900" w:hanging="1415"/>
        <w:spacing w:after="0"/>
        <w:tabs>
          <w:tab w:leader="none" w:pos="1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(229)</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40"/>
              <w:spacing w:after="0" w:line="204" w:lineRule="exact"/>
              <w:rPr>
                <w:sz w:val="20"/>
                <w:szCs w:val="20"/>
                <w:color w:val="auto"/>
              </w:rPr>
            </w:pPr>
            <w:r>
              <w:rPr>
                <w:rFonts w:ascii="Arial" w:cs="Arial" w:eastAsia="Arial" w:hAnsi="Arial"/>
                <w:sz w:val="18"/>
                <w:szCs w:val="18"/>
                <w:color w:val="auto"/>
              </w:rPr>
              <w:t>(6,274)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(6,685)</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860" w:space="160"/>
            <w:col w:w="2280"/>
          </w:cols>
          <w:pgMar w:left="240" w:top="459" w:right="35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as of December 31, 2006 and 2005 are comprised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162,383</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149,236</w:t>
            </w:r>
          </w:p>
        </w:tc>
        <w:tc>
          <w:tcPr>
            <w:tcW w:w="6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369,683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472,388</w:t>
            </w:r>
          </w:p>
        </w:tc>
        <w:tc>
          <w:tcPr>
            <w:tcW w:w="6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60" w:type="dxa"/>
            <w:vAlign w:val="bottom"/>
            <w:shd w:val="clear" w:color="auto" w:fill="CCEEFF"/>
          </w:tcPr>
          <w:p>
            <w:pPr>
              <w:spacing w:after="0"/>
              <w:rPr>
                <w:sz w:val="18"/>
                <w:szCs w:val="18"/>
                <w:color w:val="auto"/>
              </w:rPr>
            </w:pPr>
          </w:p>
        </w:tc>
      </w:tr>
      <w:tr>
        <w:trPr>
          <w:trHeight w:val="221"/>
        </w:trPr>
        <w:tc>
          <w:tcPr>
            <w:tcW w:w="8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574,838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654,062</w:t>
            </w:r>
          </w:p>
        </w:tc>
        <w:tc>
          <w:tcPr>
            <w:tcW w:w="60" w:type="dxa"/>
            <w:vAlign w:val="bottom"/>
          </w:tcPr>
          <w:p>
            <w:pPr>
              <w:spacing w:after="0"/>
              <w:rPr>
                <w:sz w:val="19"/>
                <w:szCs w:val="19"/>
                <w:color w:val="auto"/>
              </w:rPr>
            </w:pPr>
          </w:p>
        </w:tc>
      </w:tr>
      <w:tr>
        <w:trPr>
          <w:trHeight w:val="218"/>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(252,814)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(181,806)</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12,481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11,492</w:t>
            </w:r>
          </w:p>
        </w:tc>
        <w:tc>
          <w:tcPr>
            <w:tcW w:w="6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8"/>
                <w:szCs w:val="18"/>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336,279</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Aggregate depreciation expenses totaled $153,245 thousand and $157,678 thousand for the years ended December 31, 2006 and 2005, $34,421 thousand for the three-month period ended December 31, 2004 (successor company) and $261,640 thousand for the nine-month period ended September 30, 2004 (predecessor company), respectively. In addition, capitalized interest costs totaled $64 thousand and $144 thousand for the years ended December 31, 2006 and 2005, $53 thousand for the three-month period ended December 31, 2004 (successor company) and $334 thousand for the nine-month period ended September 30, 2004 (predecessor company), respectively.</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Property, plant and equipment are pledged as collateral for our senior secured revolving credit facility and our Second Priority Senior Secured Notes to a maximum of $780 million as of December 31, 2006.</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at December 31, 2006 and 2005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170,209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193,958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(76,606)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(52,544)</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139,729</w:t>
            </w:r>
          </w:p>
        </w:tc>
        <w:tc>
          <w:tcPr>
            <w:tcW w:w="36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Aggregate amortization expenses for intangible assets totaled $35,315 thousand and $45,251 thousand for the years ended December 31, 2006 and 2005, $11,434 thousand for the three-month period ended December 31, 2004 (successor company) and $5,222 thousand for the nine-month period ended September 30, 2004 (predecessor company), respectively. The estimated aggregate amortization expense of intangible assets for the next five years is $29,334 thousand in 2007, $26,477 thousand in 2008, $17,725 thousand in 2009, $16,252 thousand in 2010 and $13,602 thousand in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Intangible assets are pledged as collateral for our senior secured revolving credit facility and our Second Priority Senior Secured Notes as of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Product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for each period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vMerge w:val="restart"/>
          </w:tcPr>
          <w:p>
            <w:pPr>
              <w:jc w:val="right"/>
              <w:ind w:right="972"/>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7"/>
                <w:szCs w:val="7"/>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gridSpan w:val="5"/>
            <w:vMerge w:val="restart"/>
          </w:tcPr>
          <w:p>
            <w:pPr>
              <w:jc w:val="right"/>
              <w:ind w:right="93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140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400" w:type="dxa"/>
            <w:vAlign w:val="bottom"/>
            <w:gridSpan w:val="4"/>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w w:val="97"/>
              </w:rPr>
              <w:t>(Successor</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0"/>
              </w:rPr>
              <w:t>Company)</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1,036</w:t>
            </w:r>
          </w:p>
        </w:tc>
        <w:tc>
          <w:tcPr>
            <w:tcW w:w="14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$ 1,448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Addition to (reversal of) warranty reserve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460" w:type="dxa"/>
            <w:vAlign w:val="bottom"/>
            <w:gridSpan w:val="3"/>
          </w:tcPr>
          <w:p>
            <w:pPr>
              <w:jc w:val="right"/>
              <w:ind w:right="492"/>
              <w:spacing w:after="0"/>
              <w:rPr>
                <w:sz w:val="20"/>
                <w:szCs w:val="20"/>
                <w:color w:val="auto"/>
              </w:rPr>
            </w:pPr>
            <w:r>
              <w:rPr>
                <w:rFonts w:ascii="Arial" w:cs="Arial" w:eastAsia="Arial" w:hAnsi="Arial"/>
                <w:sz w:val="18"/>
                <w:szCs w:val="18"/>
                <w:color w:val="auto"/>
              </w:rPr>
              <w:t>1,362</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c>
          <w:tcPr>
            <w:tcW w:w="14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460" w:type="dxa"/>
            <w:vAlign w:val="bottom"/>
            <w:gridSpan w:val="3"/>
          </w:tcPr>
          <w:p>
            <w:pPr>
              <w:jc w:val="right"/>
              <w:ind w:right="492"/>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4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$ 1,036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At the same time, such subsidiaries issued $250 million aggregate principal amount of 8% Senior Subordinated Notes.</w:t>
      </w:r>
    </w:p>
    <w:p>
      <w:pPr>
        <w:spacing w:after="0" w:line="18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a $100 million senior secured revolving credit facility. Interest is charged at current rates when drawn upon.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MagnaChip Semiconductor LLC and Subsidiaries</w:t>
      </w:r>
    </w:p>
    <w:p>
      <w:pPr>
        <w:spacing w:after="0" w:line="113"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(Tabular dollars in thousands, except unit data)</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December 31, 2006 and 2005 are presented as below:</w:t>
      </w:r>
    </w:p>
    <w:p>
      <w:pPr>
        <w:spacing w:after="0" w:line="369" w:lineRule="exact"/>
        <w:rPr>
          <w:sz w:val="20"/>
          <w:szCs w:val="20"/>
          <w:color w:val="auto"/>
        </w:rPr>
      </w:pPr>
    </w:p>
    <w:p>
      <w:pPr>
        <w:ind w:left="7360"/>
        <w:spacing w:after="0"/>
        <w:rPr>
          <w:sz w:val="20"/>
          <w:szCs w:val="20"/>
          <w:color w:val="auto"/>
        </w:rPr>
      </w:pPr>
      <w:r>
        <w:rPr>
          <w:rFonts w:ascii="Arial" w:cs="Arial" w:eastAsia="Arial" w:hAnsi="Arial"/>
          <w:sz w:val="12"/>
          <w:szCs w:val="12"/>
          <w:b w:val="1"/>
          <w:bCs w:val="1"/>
          <w:color w:val="auto"/>
        </w:rPr>
        <w:t>Maturity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860" w:val="left"/>
        </w:tabs>
        <w:rPr>
          <w:sz w:val="20"/>
          <w:szCs w:val="20"/>
          <w:color w:val="auto"/>
        </w:rPr>
      </w:pPr>
      <w:r>
        <w:rPr>
          <w:rFonts w:ascii="Arial" w:cs="Arial" w:eastAsia="Arial" w:hAnsi="Arial"/>
          <w:sz w:val="14"/>
          <w:szCs w:val="14"/>
          <w:b w:val="1"/>
          <w:bCs w:val="1"/>
          <w:color w:val="auto"/>
        </w:rPr>
        <w:t>Annual interest</w:t>
      </w:r>
      <w:r>
        <w:rPr>
          <w:sz w:val="20"/>
          <w:szCs w:val="20"/>
          <w:color w:val="auto"/>
        </w:rPr>
        <w:tab/>
      </w:r>
      <w:r>
        <w:rPr>
          <w:rFonts w:ascii="Arial" w:cs="Arial" w:eastAsia="Arial" w:hAnsi="Arial"/>
          <w:sz w:val="12"/>
          <w:szCs w:val="12"/>
          <w:b w:val="1"/>
          <w:bCs w:val="1"/>
          <w:color w:val="auto"/>
        </w:rPr>
        <w:t>Amount of</w:t>
      </w:r>
    </w:p>
    <w:p>
      <w:pPr>
        <w:spacing w:after="0" w:line="1" w:lineRule="exact"/>
        <w:rPr>
          <w:sz w:val="20"/>
          <w:szCs w:val="20"/>
          <w:color w:val="auto"/>
        </w:rPr>
      </w:pPr>
    </w:p>
    <w:p>
      <w:pPr>
        <w:ind w:left="200"/>
        <w:spacing w:after="0"/>
        <w:tabs>
          <w:tab w:leader="none" w:pos="1900" w:val="left"/>
        </w:tabs>
        <w:rPr>
          <w:sz w:val="20"/>
          <w:szCs w:val="20"/>
          <w:color w:val="auto"/>
        </w:rPr>
      </w:pPr>
      <w:r>
        <w:rPr>
          <w:rFonts w:ascii="Arial" w:cs="Arial" w:eastAsia="Arial" w:hAnsi="Arial"/>
          <w:sz w:val="14"/>
          <w:szCs w:val="14"/>
          <w:b w:val="1"/>
          <w:bCs w:val="1"/>
          <w:color w:val="auto"/>
        </w:rPr>
        <w:t>rate (%)</w:t>
      </w:r>
      <w:r>
        <w:rPr>
          <w:sz w:val="20"/>
          <w:szCs w:val="20"/>
          <w:color w:val="auto"/>
        </w:rPr>
        <w:tab/>
      </w:r>
      <w:r>
        <w:rPr>
          <w:rFonts w:ascii="Arial" w:cs="Arial" w:eastAsia="Arial" w:hAnsi="Arial"/>
          <w:sz w:val="12"/>
          <w:szCs w:val="12"/>
          <w:b w:val="1"/>
          <w:bCs w:val="1"/>
          <w:color w:val="auto"/>
        </w:rPr>
        <w:t>principal</w:t>
      </w:r>
    </w:p>
    <w:p>
      <w:pPr>
        <w:spacing w:after="0" w:line="21" w:lineRule="exact"/>
        <w:rPr>
          <w:sz w:val="20"/>
          <w:szCs w:val="20"/>
          <w:color w:val="auto"/>
        </w:rPr>
      </w:pPr>
    </w:p>
    <w:p>
      <w:pPr>
        <w:sectPr>
          <w:pgSz w:w="11900" w:h="16838" w:orient="portrait"/>
          <w:cols w:equalWidth="0" w:num="2">
            <w:col w:w="8080" w:space="720"/>
            <w:col w:w="26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7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90"/>
        </w:trPr>
        <w:tc>
          <w:tcPr>
            <w:tcW w:w="7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Floating Rate Second Priority Senior Secured Notes</w:t>
            </w:r>
          </w:p>
        </w:tc>
        <w:tc>
          <w:tcPr>
            <w:tcW w:w="8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2011</w:t>
            </w:r>
          </w:p>
        </w:tc>
        <w:tc>
          <w:tcPr>
            <w:tcW w:w="2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3 month LIBOR +3.250</w:t>
            </w:r>
          </w:p>
        </w:tc>
        <w:tc>
          <w:tcPr>
            <w:tcW w:w="4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300,000</w:t>
            </w:r>
          </w:p>
        </w:tc>
      </w:tr>
      <w:tr>
        <w:trPr>
          <w:trHeight w:val="216"/>
        </w:trPr>
        <w:tc>
          <w:tcPr>
            <w:tcW w:w="728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180" w:type="dxa"/>
            <w:vAlign w:val="bottom"/>
          </w:tcPr>
          <w:p>
            <w:pPr>
              <w:jc w:val="center"/>
              <w:spacing w:after="0"/>
              <w:rPr>
                <w:sz w:val="20"/>
                <w:szCs w:val="20"/>
                <w:color w:val="auto"/>
              </w:rPr>
            </w:pPr>
            <w:r>
              <w:rPr>
                <w:rFonts w:ascii="Arial" w:cs="Arial" w:eastAsia="Arial" w:hAnsi="Arial"/>
                <w:sz w:val="18"/>
                <w:szCs w:val="18"/>
                <w:color w:val="auto"/>
                <w:w w:val="84"/>
              </w:rPr>
              <w:t>6.875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8.000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22"/>
        </w:trPr>
        <w:tc>
          <w:tcPr>
            <w:tcW w:w="7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7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notes will be paid in full upon maturity.</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2006, the Company and all of its subsidiaries except for MagnaChip Semiconductor (Shanghai) Company Limited have jointly and severally guaranteed each series of the Second Priority Senior Secured Notes on a second priority senior secured basis. As of December 31, 2006,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issuance of the notes and obtaining of the credit facility, the Company capitalized certain costs and fees, which are being amortized using the effective interest method or straight-line method over their respective terms, 2009 to 2014. Amortization costs, which were included in interest expense in the accompanying statements of operations, amounted to $3,701 thousand, $3,432 thousand and $167 thousand for the years ended December 31, 2006 and 2005, and the three-month period ended December 31, 2004, respectively. The remaining capitalized costs as of December 31, 2006, 2005 and 2004 were $21,860 thousand, $25,113 thousand and $27,812 thousand, respectively. In addition, in connection with the repayment of the assumed debt from Hynix, the Company wrote off $4,084 thousand of previously capitalized financing fees for the three-month period ended December 31, 2004. These amounts have all been included in interest expense in the accompanying statement of operations.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December 29, 2006, the Company entered into the Fifth Amendment to Credit Agreement (as amended, the “Credit Agreement”), dated as of December 29, 2006 (the “Fifth Amendment”), with MagnaChip Semiconductor S.A. and MagnaChip Semiconductor Finance Company, as borrowers, the Subsidiary Guarantors party thereto, the Lenders party thereto (the “Lenders”), and UBS AG, Stamford Branch, as administrative agent and collateral agent (the “Agent”). Under the Fifth Amendment, among other things, (i) the Company agreed to furnish to the Agent and the Lenders (a) monthly liquidity and flash revenue reports along with an officer’s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certificate, (b) monthly narrative reports and management’s discussion and analysis regarding the Company’s consolidated financial condition and results of operations, and (c) monthly reports regarding the cash accounts maintained by the Company and its subsidiaries; and (ii) the existing financial covenants set forth in Section 6.10 of the Credit Agreement were revised and additional financial covenants related to minimum EBITDA and liquidity requirements were</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added. The foregoing description does not purport to be complete and is qualified in its entirety by reference to the text of the Fifth Amendment, which is referenced herein as Exhibit 10.3.e to this report and is incorporated herein by reference.</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26, 2007, the Company entered into the Sixth Amendment to Credit Agreement, dated as of March 26, 2007 (the “Sixth Amendment”), with MagnaChip Semiconductor S.A. and MagnaChip Semiconductor Finance Company, as borrowers, the Subsidiary Guarantors party thereto, the Lenders party thereto, and the Agent. Under the Sixth Amendment, among other things, the existing financial covenants set forth in Section 6.10 of the Credit Agreement were revised to provide that authorized but unspent capital expenditures in a calendar quarter during 2007 carry over to increase the authorized limit on capital expenditures in successive quarters.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based on the 3-month London Inter-bank Offering Rate (“LIBOR”) plus 3.25% to fixed interest rate on the Company’s Floating Rate Second Priority Senior Secured Notes (the “Notes”). This Swap will be in effect until 15 June, 2008.</w:t>
      </w:r>
    </w:p>
    <w:p>
      <w:pPr>
        <w:spacing w:after="0" w:line="14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The Swap qualifies as a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Changes in fair value of the Swap are recorded under other comprehensive income in the accompanying condensed consolidated financial statements. The Company recorded a decrease in the fair value of $193 thousand and an increase in the fair value of $4,534 thousand for the years ended December 31, 2006 and 2005, respectively. In addition, the Company recognized interest income of $2,944 thousand and interest expense of $550 thousand for the years ended December 31, 2006 and 2005, respectively, which represents the differences between fixed and variable rates.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Severance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for each period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gridSpan w:val="5"/>
            <w:vMerge w:val="restart"/>
          </w:tcPr>
          <w:p>
            <w:pPr>
              <w:jc w:val="right"/>
              <w:ind w:right="10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7"/>
                <w:szCs w:val="7"/>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80" w:type="dxa"/>
            <w:vAlign w:val="bottom"/>
            <w:gridSpan w:val="5"/>
            <w:vMerge w:val="restart"/>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35"/>
        </w:trPr>
        <w:tc>
          <w:tcPr>
            <w:tcW w:w="5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4"/>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93"/>
              </w:rPr>
              <w:t>(Successor Company)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$56,967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$ 52,925</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40,015</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Provisions</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11,497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16,583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1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Severance payments</w:t>
            </w:r>
          </w:p>
        </w:tc>
        <w:tc>
          <w:tcPr>
            <w:tcW w:w="1980" w:type="dxa"/>
            <w:vAlign w:val="bottom"/>
            <w:gridSpan w:val="3"/>
          </w:tcPr>
          <w:p>
            <w:pPr>
              <w:jc w:val="right"/>
              <w:ind w:right="160"/>
              <w:spacing w:after="0"/>
              <w:rPr>
                <w:sz w:val="20"/>
                <w:szCs w:val="20"/>
                <w:color w:val="auto"/>
              </w:rPr>
            </w:pPr>
            <w:r>
              <w:rPr>
                <w:rFonts w:ascii="Arial" w:cs="Arial" w:eastAsia="Arial" w:hAnsi="Arial"/>
                <w:sz w:val="18"/>
                <w:szCs w:val="18"/>
                <w:color w:val="auto"/>
              </w:rPr>
              <w:t>(8,589)</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(13,831)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(2,898)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64,642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56,967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52,925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50,003</w:t>
            </w:r>
          </w:p>
        </w:tc>
        <w:tc>
          <w:tcPr>
            <w:tcW w:w="0" w:type="dxa"/>
            <w:vAlign w:val="bottom"/>
          </w:tcPr>
          <w:p>
            <w:pPr>
              <w:spacing w:after="0"/>
              <w:rPr>
                <w:sz w:val="1"/>
                <w:szCs w:val="1"/>
                <w:color w:val="auto"/>
              </w:rPr>
            </w:pPr>
          </w:p>
        </w:tc>
      </w:tr>
      <w:tr>
        <w:trPr>
          <w:trHeight w:val="218"/>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rPr>
                <w:sz w:val="20"/>
                <w:szCs w:val="20"/>
                <w:color w:val="auto"/>
              </w:rPr>
            </w:pPr>
            <w:r>
              <w:rPr>
                <w:rFonts w:ascii="Arial" w:cs="Arial" w:eastAsia="Arial" w:hAnsi="Arial"/>
                <w:sz w:val="18"/>
                <w:szCs w:val="18"/>
                <w:color w:val="auto"/>
              </w:rPr>
              <w:t>Group severance insurance plan</w:t>
            </w:r>
          </w:p>
        </w:tc>
        <w:tc>
          <w:tcPr>
            <w:tcW w:w="1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(939)</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$ 55,124</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severance benefits are funded approximately 2.79%, 3.24% and 4.18% as of December 31, 2006, 2005 and 2004, respectively, through severance insurance deposits for the payment of severance benefits, and the account is deducted from accrued severance benefits. In addition, the Company expects to pay the following future benefits to its employees upon their normal retirement ages: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2007 – 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 – 2016</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r>
    </w:tbl>
    <w:p>
      <w:pPr>
        <w:spacing w:after="0" w:line="154"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Unit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 (the “Series A”) and 447,420 units as Series B redeemable convertible preferred unit (the “Series B”) on September 23, 2004 and additionally issued 364 units of Series A and 3,272 units of Series B on November 30, 2004, respectively. All of Series A were redeemed by cash on December 27, 2004 and a portion of the Series B were redeemed by cash on December 15, 2004 and December 27, 2004.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Series B for the years ended December 31, 2006 and 2005 and for the three months ended December 31, 2004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Borders>
              <w:bottom w:val="single" w:sz="8" w:color="auto"/>
            </w:tcBorders>
            <w:gridSpan w:val="5"/>
          </w:tcPr>
          <w:p>
            <w:pPr>
              <w:jc w:val="right"/>
              <w:ind w:right="314"/>
              <w:spacing w:after="0"/>
              <w:rPr>
                <w:sz w:val="20"/>
                <w:szCs w:val="20"/>
                <w:color w:val="auto"/>
              </w:rPr>
            </w:pPr>
            <w:r>
              <w:rPr>
                <w:rFonts w:ascii="Arial" w:cs="Arial" w:eastAsia="Arial" w:hAnsi="Arial"/>
                <w:sz w:val="14"/>
                <w:szCs w:val="14"/>
                <w:b w:val="1"/>
                <w:bCs w:val="1"/>
                <w:color w:val="auto"/>
              </w:rPr>
              <w:t>December 31, 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5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6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49,727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Redemption</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(51,907)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Accrual of preferred dividends</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93,997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106,462</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93,997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96,534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447,420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447,420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Redemption</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(356,695)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(365,770)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Accrual of preferred dividends</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93,997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117,374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93,997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106,462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93,997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outstanding Series B units are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is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the event of liquidation, the holders of Series B are entitled to receive, out of the assets of the Company legally available for distribution to its members, whether from capital, surplus or earnings, an amount equal to the Series B original issue price in cash per unit plus an amount equal to full cumulative dividends accrued and unpaid thereon to the date of final distribution, and no more. If the net assets of the Company are insufficient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pay the holders of all outstanding Series B and of any units ranking on a parity with the Series B, the full amounts to which they respectively shall be entitled, such assets, or the proceeds thereof, shall be distributed ratably among the holders of the Series B and any units ranking on a parity with the Series B in accordance with the amounts which would be payable on such distribution if the amount to which the holders of the Series B and any units ranking on a parity with the Series B are entitled were paid in full.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provided in Company Operating Agreement, the holders of Series B shall not be entitled to vote on any matter submitted to a vote of the Members, and not be entitled to notice of any meeting of Members.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7"/>
          <w:szCs w:val="17"/>
          <w:color w:val="auto"/>
        </w:rPr>
        <w:t>If any outstanding Series B remain outstanding on the 14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anniversary after issuance of the Series B, then the holders of a majority of the then outstanding Series B shall have the right to elect to have the Company redeem all outstanding Series B from funds legally available, at a price per unit equal to $1,000 plus an amount per unit equal to full cumulative dividends accrued and unpaid thereon to the redemption date.</w:t>
      </w:r>
    </w:p>
    <w:p>
      <w:pPr>
        <w:spacing w:after="0" w:line="1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Also the Series B may be redeemed from funds legally available, in whole or in part, at the election of the Company, expressed by resolution of the board of directors, at any time and from time to time at a price of $1,000 per unit plus any cumulative dividends accrued and unpaid.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the Original Acquisition, the Company issued a warrant, which is recorded as additional paid in capital, to Hynix, which enables Hynix to purchase 5,079,254 common units of the Company. The value of each warrant to purchase one common unit is $0.414, which was estimated using the Black-Scholes option pricing model using the following assumptions: fair value of $1.00 per unit; exercise price of $1.00 per unit; risk free rate of interest of 2.50%; volatility of 86%; dividend rate of 0%; and term of 2 years. This warrant expired unexercised in accordance with its terms on October 6,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Incentive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 The term of options in no event exceed ten years from the date of grant. As of December 31, 2006, an aggregate maximum of 7,890,864 common units were authorized and reserved for all future and outstanding grants of options.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Restricted units are issued upon the exercise of certain options to purchase restricted common units. Restricted units issued are subject to restrictions which generally lapse in installments over a four-year period.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summarizes unit option and restricted unit activities for the year ended December 31, 2006. At the date of grant, all options had an exercise price at or above the fair value of common units: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3"/>
              </w:rPr>
              <w:t>Weighted average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4540" w:type="dxa"/>
            <w:vAlign w:val="bottom"/>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Number of</w:t>
            </w:r>
          </w:p>
        </w:tc>
        <w:tc>
          <w:tcPr>
            <w:tcW w:w="760" w:type="dxa"/>
            <w:vAlign w:val="bottom"/>
          </w:tcPr>
          <w:p>
            <w:pPr>
              <w:spacing w:after="0"/>
              <w:rPr>
                <w:sz w:val="12"/>
                <w:szCs w:val="12"/>
                <w:color w:val="auto"/>
              </w:rPr>
            </w:pPr>
          </w:p>
        </w:tc>
        <w:tc>
          <w:tcPr>
            <w:tcW w:w="1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exercise price</w:t>
            </w:r>
          </w:p>
        </w:tc>
        <w:tc>
          <w:tcPr>
            <w:tcW w:w="104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remaining</w:t>
            </w:r>
          </w:p>
        </w:tc>
      </w:tr>
      <w:tr>
        <w:trPr>
          <w:trHeight w:val="175"/>
        </w:trPr>
        <w:tc>
          <w:tcPr>
            <w:tcW w:w="45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restricted stock</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options</w:t>
            </w:r>
          </w:p>
        </w:tc>
        <w:tc>
          <w:tcPr>
            <w:tcW w:w="760" w:type="dxa"/>
            <w:vAlign w:val="bottom"/>
          </w:tcPr>
          <w:p>
            <w:pPr>
              <w:spacing w:after="0"/>
              <w:rPr>
                <w:sz w:val="15"/>
                <w:szCs w:val="15"/>
                <w:color w:val="auto"/>
              </w:rPr>
            </w:pPr>
          </w:p>
        </w:tc>
        <w:tc>
          <w:tcPr>
            <w:tcW w:w="10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w w:val="96"/>
              </w:rPr>
              <w:t>(in US dollars)</w:t>
            </w:r>
          </w:p>
        </w:tc>
        <w:tc>
          <w:tcPr>
            <w:tcW w:w="760" w:type="dxa"/>
            <w:vAlign w:val="bottom"/>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4"/>
              </w:rPr>
              <w:t>contractual life</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1,726,062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3,780,643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2,107,500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46,063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 Repurchased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409,348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772,552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Released from restriction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517,936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spacing w:after="0"/>
              <w:rPr>
                <w:sz w:val="18"/>
                <w:szCs w:val="18"/>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 2006</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798,778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5,069,528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 years</w:t>
            </w:r>
          </w:p>
        </w:tc>
      </w:tr>
      <w:tr>
        <w:trPr>
          <w:trHeight w:val="20"/>
        </w:trPr>
        <w:tc>
          <w:tcPr>
            <w:tcW w:w="4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years</w:t>
            </w:r>
          </w:p>
        </w:tc>
      </w:tr>
      <w:tr>
        <w:trPr>
          <w:trHeight w:val="20"/>
        </w:trPr>
        <w:tc>
          <w:tcPr>
            <w:tcW w:w="4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Total unit option related compensation expense pursuant to SFAS No. 123(R) for the year ended December 31, 2006 was $243 thousand. As of December 31, 2006, there was $358 thousand of total unrecognized compensation cost related to unvested options, which is expected to be recognized over a weighted average future period of 1.2 years. Total fair value of options vested for the year ended December 31, 2006 is $167 thousand.</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17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6"/>
              </w:rPr>
              <w:t>Three months</w:t>
            </w: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000"/>
              <w:spacing w:after="0" w:line="148"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jc w:val="center"/>
              <w:ind w:right="8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0" w:type="dxa"/>
            <w:vAlign w:val="bottom"/>
            <w:gridSpan w:val="4"/>
          </w:tcPr>
          <w:p>
            <w:pPr>
              <w:jc w:val="right"/>
              <w:ind w:right="280"/>
              <w:spacing w:after="0" w:line="129" w:lineRule="exact"/>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of option (in US dollars)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term</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2.3Years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2.1Years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5"/>
              </w:rPr>
              <w:t>2.2 Years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3.5Years</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total cash received from employees as a result of option exercises was $88 thousand, $112 thousand and $2,456 thousand for the years ended December 31, 2006 and 2005 and for the three months ended December 31, 2004, respectively. None of the options exercised during these periods had any intrinsic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presents pro forma net loss and per unit data as if the fair value based method had been applied to account for the unit-based compensation for the year ended December 31, 2005, three months ended December 31, 2004 and nine months ended September 30, 2004: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Borders>
              <w:right w:val="single" w:sz="8" w:color="auto"/>
            </w:tcBorders>
            <w:gridSpan w:val="5"/>
          </w:tcPr>
          <w:p>
            <w:pPr>
              <w:jc w:val="right"/>
              <w:ind w:right="560"/>
              <w:spacing w:after="0" w:line="130" w:lineRule="exact"/>
              <w:rPr>
                <w:sz w:val="20"/>
                <w:szCs w:val="20"/>
                <w:color w:val="auto"/>
              </w:rPr>
            </w:pPr>
            <w:r>
              <w:rPr>
                <w:rFonts w:ascii="Arial" w:cs="Arial" w:eastAsia="Arial" w:hAnsi="Arial"/>
                <w:sz w:val="14"/>
                <w:szCs w:val="14"/>
                <w:b w:val="1"/>
                <w:bCs w:val="1"/>
                <w:color w:val="auto"/>
              </w:rPr>
              <w:t>(Successor Company)</w:t>
            </w:r>
          </w:p>
        </w:tc>
        <w:tc>
          <w:tcPr>
            <w:tcW w:w="520" w:type="dxa"/>
            <w:vAlign w:val="bottom"/>
          </w:tcPr>
          <w:p>
            <w:pPr>
              <w:spacing w:after="0"/>
              <w:rPr>
                <w:sz w:val="11"/>
                <w:szCs w:val="11"/>
                <w:color w:val="auto"/>
              </w:rPr>
            </w:pPr>
          </w:p>
        </w:tc>
        <w:tc>
          <w:tcPr>
            <w:tcW w:w="8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(100,898)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Dividends accrued on preferred units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w:t>
            </w:r>
          </w:p>
        </w:tc>
        <w:tc>
          <w:tcPr>
            <w:tcW w:w="8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 (owner)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(110,826)</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5"/>
              </w:rPr>
              <w:t>Add: unit(stock)-based compensation expense included in reported net income (loss), net of tax</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unit(stock)-based compensation expense determined under the fair value method, net of tax</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(loss)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(111,237)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(20,248)</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As reported loss per unit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 forma loss per unit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presentation for the nine months ended September 30, 2004 is based on stock options granted by Hynix before the Original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none of these options were transferred as part of the Original Acquisition.</w:t>
      </w:r>
    </w:p>
    <w:p>
      <w:pPr>
        <w:spacing w:after="0" w:line="240" w:lineRule="exact"/>
        <w:rPr>
          <w:sz w:val="20"/>
          <w:szCs w:val="20"/>
          <w:color w:val="auto"/>
        </w:rPr>
      </w:pPr>
    </w:p>
    <w:p>
      <w:pPr>
        <w:jc w:val="both"/>
        <w:ind w:right="8140" w:firstLine="8"/>
        <w:spacing w:after="0" w:line="417" w:lineRule="auto"/>
        <w:tabs>
          <w:tab w:leader="none" w:pos="263"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Restructuring and Impairment Charges </w:t>
      </w:r>
      <w:r>
        <w:rPr>
          <w:rFonts w:ascii="Arial" w:cs="Arial" w:eastAsia="Arial" w:hAnsi="Arial"/>
          <w:sz w:val="15"/>
          <w:szCs w:val="15"/>
          <w:b w:val="1"/>
          <w:bCs w:val="1"/>
          <w:i w:val="1"/>
          <w:iCs w:val="1"/>
          <w:color w:val="auto"/>
        </w:rPr>
        <w:t>2006 Restructuring and Impairment Charges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During the year ended December 31, 2006, the Company recorded restructuring and impairment charges totaling $94,266 thousand, which included</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$92,858 thousand of impairment charges under 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and $1,408 thousand of restructuring charges under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impairment charges of $92,540 thousand recorded during 2006 related to certain fixed assets and technology and customer-based intangible assets (the “asset group”) comprising our Imaging Solution business. At the end of fiscal year 2005, the capacity utilization of the Fab was under the level that we believe to be normal. This was primarily due to a transition in product mix coupled with a seasonal decrease in market demand, which was deemed to be temporary and recoverable. However, in 2006, our management determined, based on revised forecasting, that the projected demand for certain of its products was significantly less than previously forecasted and that this decline was not temporary or seasonal. Therefore, we assessed whether there had been a material impairment on the asset group pursuant to SFAS 144 and, based on the assessment, recorded impairment charges.</w:t>
      </w:r>
    </w:p>
    <w:p>
      <w:pPr>
        <w:spacing w:after="0" w:line="12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impairment charge was measured as the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 The net book value of the asset group before the impairment charges was approximately $185,985 thousand.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addition, the Company recorded impairment charges in the amount of $318 thousand related to the disposition of certain assets previously designated as assets held-for-sale and $1,408 thousand of restructuring charges in connection with the termination of certain of our management and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Restructuring and Impairment Charges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year ended December 31, 2005, the Company recorded $36,234 thousand of restructuring and impairment charges which included $33,576 thousand of asset impairments and $2,658 thousand of restructuring.</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an effort to focus on its major business segments - Display Solutions, Imaging Solutions and Semiconductor Manufacturing Services, the Company made a strategic decision to divest its Application Processor business. Based on such decision, the Company recognized impairment charges on certain tangible and intangible assets related to the divesture. The impairment charge was measured as the excess of the carrying value of the asset group over the fair value measured at the selling price of the assets.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Company took a total of $2,658 thousand of restructuring charges which included early retirement costs and other related costs associated with the sale of Application Processor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 Expenses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Company’s income tax expenses are composed of domestic and foreign income taxes depending on the relevant tax jurisdiction. For the Predecessor Company “Domestic” refers to the income before taxes, current income taxes and deferred income taxes generated or incurred in Korea. For the Successor Company, however, it refers to the income before taxes, current income taxes and deferred income taxes generated or incurred in the US, in which the ultimate parent of the Company resides.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(Predecessor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(Successor Company)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5,862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(3,528)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3,136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(225,914)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(95,554)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(220,052)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(99,082)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taxes expense (benefits)</w:t>
            </w:r>
          </w:p>
        </w:tc>
        <w:tc>
          <w:tcPr>
            <w:tcW w:w="2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14,041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14,032</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expense (benefits)</w:t>
            </w:r>
          </w:p>
        </w:tc>
        <w:tc>
          <w:tcPr>
            <w:tcW w:w="2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(12,216)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(12,216)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80" w:type="dxa"/>
            <w:vAlign w:val="bottom"/>
            <w:vMerge w:val="restart"/>
          </w:tcPr>
          <w:p>
            <w:pPr>
              <w:jc w:val="right"/>
              <w:ind w:right="572"/>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ultimate parent of the Company is a limited liability company, a non-taxable entity for US tax purposes and thus the statutory income tax rate shall be zero. A substantial portion of the income tax expenses above is incurred from MagnaChip Korea, which is the principal operating entity within the Company. The statutory income tax rate of MagnaChip Korea, including tax surcharges, applicable to the Company was approximately 27.5% in 2006 and 2005, which was reduced from 29.7% in 2004 in accordance with the Corporate Income Tax Law as amended on December 31, 2003. MagnaChip Korea is eligible for a tax exemption in which its corporate income tax is reduced by 50% from 2004 to 2006 and 30% from 2007 to 2008.</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income tax rate used to calculate the tax provision by the Predecessor Company was the statutory income tax rate of Korea, which was 29.7%. For the Successor Company, the statutory income tax rate is zero as its ultimate parent is a non-taxable US entity. The provision for domestic and foreign income taxes incurred is different from the amount calculated by applying the statutory tax rate to the net income before income taxes. The significant items causing this difference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4"/>
              </w:rPr>
              <w:t>Year ended</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96"/>
              </w:rPr>
              <w:t>ended</w:t>
            </w: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vMerge w:val="continue"/>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(Successor Company)</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(Predecessor Company)</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Permanent differences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13,035</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8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Adjustment for overseas tax rate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(58,493)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w w:val="89"/>
              </w:rPr>
              <w:t>(27,745)</w:t>
            </w:r>
          </w:p>
        </w:tc>
        <w:tc>
          <w:tcPr>
            <w:tcW w:w="16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(1,492)</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Exemption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52,866</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28,826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8,700</w:t>
            </w:r>
          </w:p>
        </w:tc>
        <w:tc>
          <w:tcPr>
            <w:tcW w:w="8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154"/>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composition of net deferred income tax assets (liabilities) at December 31, 2006 and 2005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Inventories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Product warranties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Severance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NOL carry-forwards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9,990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Royalty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6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79,330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(100,016)</w:t>
            </w: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Acquisition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Debt issuance cost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23,927</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15,111</w:t>
            </w:r>
          </w:p>
        </w:tc>
        <w:tc>
          <w:tcPr>
            <w:tcW w:w="3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 (liabilities)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gridSpan w:val="2"/>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320" w:type="dxa"/>
            <w:vAlign w:val="bottom"/>
            <w:gridSpan w:val="8"/>
          </w:tcPr>
          <w:p>
            <w:pPr>
              <w:spacing w:after="0"/>
              <w:rPr>
                <w:sz w:val="20"/>
                <w:szCs w:val="20"/>
                <w:color w:val="auto"/>
              </w:rPr>
            </w:pPr>
            <w:r>
              <w:rPr>
                <w:rFonts w:ascii="Arial" w:cs="Arial" w:eastAsia="Arial" w:hAnsi="Arial"/>
                <w:sz w:val="18"/>
                <w:szCs w:val="18"/>
                <w:color w:val="auto"/>
                <w:w w:val="96"/>
              </w:rPr>
              <w:t>Changes in valuation allowance for deferred tax assets for the years ended December 31, 2006 and 2005 are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42,695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Transferred from acquired company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Charge to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52,866</w:t>
            </w: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Effect on foreign currency translation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4,455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100,016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$10,167 thousand as of December 31, 2006 and $12,216 thousand as of December 31, 2005. Accordingly, the Company recorded a valuation allowance of $100,016 thousand and $42,695 thousand on its net deferred tax assets for 2006 and 2005, respectively.</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December 31, 2006, the Company had approximately $209,881 thousand of net operating loss carry-forwards available to offset future taxable income, which expires in varying amounts starting from 2007 to 2011. A majority of such net operating loss is related to MagnaChip Korea. The Company also has Korean and Dutch tax credit carry-forwards of approximately $9,319 thousand and $7,544 thousand, respectively. The Korean tax credits expire at various dates starting from 2010 to 2011, and the Dutch credits are carried forward to be used for an indefinite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and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ind w:left="5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6"/>
          </w:tcPr>
          <w:p>
            <w:pPr>
              <w:ind w:left="500"/>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2"/>
              </w:rPr>
              <w:t>ended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2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vMerge w:val="restart"/>
          </w:tcPr>
          <w:p>
            <w:pPr>
              <w:jc w:val="center"/>
              <w:ind w:right="99"/>
              <w:spacing w:after="0" w:line="136"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89"/>
        </w:trPr>
        <w:tc>
          <w:tcPr>
            <w:tcW w:w="6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2004</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(Successor Company)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auto"/>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540"/>
              <w:spacing w:after="0"/>
              <w:rPr>
                <w:sz w:val="20"/>
                <w:szCs w:val="20"/>
                <w:color w:val="auto"/>
              </w:rPr>
            </w:pPr>
            <w:r>
              <w:rPr>
                <w:rFonts w:ascii="Arial" w:cs="Arial" w:eastAsia="Arial" w:hAnsi="Arial"/>
                <w:sz w:val="18"/>
                <w:szCs w:val="18"/>
                <w:color w:val="auto"/>
              </w:rPr>
              <w:t>Display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273,656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$326,027</w:t>
            </w:r>
          </w:p>
        </w:tc>
        <w:tc>
          <w:tcPr>
            <w:tcW w:w="5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60,352</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198,823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60,479</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163,326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142,050</w:t>
            </w:r>
          </w:p>
        </w:tc>
        <w:tc>
          <w:tcPr>
            <w:tcW w:w="0" w:type="dxa"/>
            <w:vAlign w:val="bottom"/>
          </w:tcPr>
          <w:p>
            <w:pPr>
              <w:spacing w:after="0"/>
              <w:rPr>
                <w:sz w:val="1"/>
                <w:szCs w:val="1"/>
                <w:color w:val="auto"/>
              </w:rPr>
            </w:pPr>
          </w:p>
        </w:tc>
      </w:tr>
      <w:tr>
        <w:trPr>
          <w:trHeight w:val="216"/>
        </w:trPr>
        <w:tc>
          <w:tcPr>
            <w:tcW w:w="6120" w:type="dxa"/>
            <w:vAlign w:val="bottom"/>
          </w:tcPr>
          <w:p>
            <w:pPr>
              <w:ind w:left="540"/>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342,416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345,437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88,295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270,240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67,802</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102,866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230,475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120" w:type="dxa"/>
            <w:vAlign w:val="bottom"/>
          </w:tcPr>
          <w:p>
            <w:pPr>
              <w:ind w:left="980"/>
              <w:spacing w:after="0"/>
              <w:rPr>
                <w:sz w:val="20"/>
                <w:szCs w:val="20"/>
                <w:color w:val="auto"/>
              </w:rPr>
            </w:pPr>
            <w:r>
              <w:rPr>
                <w:rFonts w:ascii="Arial" w:cs="Arial" w:eastAsia="Arial" w:hAnsi="Arial"/>
                <w:sz w:val="18"/>
                <w:szCs w:val="18"/>
                <w:color w:val="auto"/>
              </w:rPr>
              <w:t>Total segment net sales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744,353</w:t>
            </w:r>
          </w:p>
        </w:tc>
        <w:tc>
          <w:tcPr>
            <w:tcW w:w="1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937,656</w:t>
            </w:r>
          </w:p>
        </w:tc>
        <w:tc>
          <w:tcPr>
            <w:tcW w:w="50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243,582</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841,588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tcBorders>
              <w:right w:val="single" w:sz="8" w:color="auto"/>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540"/>
              <w:spacing w:after="0"/>
              <w:rPr>
                <w:sz w:val="20"/>
                <w:szCs w:val="20"/>
                <w:color w:val="auto"/>
              </w:rPr>
            </w:pPr>
            <w:r>
              <w:rPr>
                <w:rFonts w:ascii="Arial" w:cs="Arial" w:eastAsia="Arial" w:hAnsi="Arial"/>
                <w:sz w:val="18"/>
                <w:szCs w:val="18"/>
                <w:color w:val="auto"/>
              </w:rPr>
              <w:t>Display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35,603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$ 66,534</w:t>
            </w:r>
          </w:p>
        </w:tc>
        <w:tc>
          <w:tcPr>
            <w:tcW w:w="5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4,566</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(4,008)</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56,659</w:t>
            </w:r>
          </w:p>
        </w:tc>
        <w:tc>
          <w:tcPr>
            <w:tcW w:w="0" w:type="dxa"/>
            <w:vAlign w:val="bottom"/>
          </w:tcPr>
          <w:p>
            <w:pPr>
              <w:spacing w:after="0"/>
              <w:rPr>
                <w:sz w:val="1"/>
                <w:szCs w:val="1"/>
                <w:color w:val="auto"/>
              </w:rPr>
            </w:pPr>
          </w:p>
        </w:tc>
      </w:tr>
      <w:tr>
        <w:trPr>
          <w:trHeight w:val="216"/>
        </w:trPr>
        <w:tc>
          <w:tcPr>
            <w:tcW w:w="6120" w:type="dxa"/>
            <w:vAlign w:val="bottom"/>
          </w:tcPr>
          <w:p>
            <w:pPr>
              <w:ind w:left="540"/>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45,712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110,389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19,143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86,301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22,134</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120" w:type="dxa"/>
            <w:vAlign w:val="bottom"/>
          </w:tcPr>
          <w:p>
            <w:pPr>
              <w:ind w:left="980"/>
              <w:spacing w:after="0"/>
              <w:rPr>
                <w:sz w:val="20"/>
                <w:szCs w:val="20"/>
                <w:color w:val="auto"/>
              </w:rPr>
            </w:pPr>
            <w:r>
              <w:rPr>
                <w:rFonts w:ascii="Arial" w:cs="Arial" w:eastAsia="Arial" w:hAnsi="Arial"/>
                <w:sz w:val="18"/>
                <w:szCs w:val="18"/>
                <w:color w:val="auto"/>
              </w:rPr>
              <w:t>Total segment gross profit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99,441</w:t>
            </w:r>
          </w:p>
        </w:tc>
        <w:tc>
          <w:tcPr>
            <w:tcW w:w="1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208,657</w:t>
            </w:r>
          </w:p>
        </w:tc>
        <w:tc>
          <w:tcPr>
            <w:tcW w:w="50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39,121</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187,019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7000" w:type="dxa"/>
            <w:vAlign w:val="bottom"/>
            <w:gridSpan w:val="4"/>
            <w:vMerge w:val="restart"/>
          </w:tcPr>
          <w:p>
            <w:pPr>
              <w:ind w:left="460"/>
              <w:spacing w:after="0"/>
              <w:rPr>
                <w:sz w:val="20"/>
                <w:szCs w:val="20"/>
                <w:color w:val="auto"/>
              </w:rPr>
            </w:pPr>
            <w:r>
              <w:rPr>
                <w:rFonts w:ascii="Arial" w:cs="Arial" w:eastAsia="Arial" w:hAnsi="Arial"/>
                <w:sz w:val="18"/>
                <w:szCs w:val="18"/>
                <w:color w:val="auto"/>
                <w:w w:val="91"/>
              </w:rPr>
              <w:t>The following is a summary of net sales by region, based on the location of the customer:</w:t>
            </w: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6"/>
        </w:trPr>
        <w:tc>
          <w:tcPr>
            <w:tcW w:w="700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6"/>
          </w:tcPr>
          <w:p>
            <w:pPr>
              <w:ind w:left="520"/>
              <w:spacing w:after="0"/>
              <w:rPr>
                <w:sz w:val="20"/>
                <w:szCs w:val="20"/>
                <w:color w:val="auto"/>
              </w:rPr>
            </w:pPr>
            <w:r>
              <w:rPr>
                <w:rFonts w:ascii="Arial" w:cs="Arial" w:eastAsia="Arial" w:hAnsi="Arial"/>
                <w:sz w:val="14"/>
                <w:szCs w:val="14"/>
                <w:b w:val="1"/>
                <w:bCs w:val="1"/>
                <w:color w:val="auto"/>
              </w:rPr>
              <w:t>Year ended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6"/>
              </w:rPr>
              <w:t>Three months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6"/>
          </w:tcPr>
          <w:p>
            <w:pPr>
              <w:ind w:left="460"/>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w w:val="92"/>
              </w:rPr>
              <w:t>ended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87"/>
              </w:rPr>
              <w:t>December 31,</w:t>
            </w: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vMerge w:val="restart"/>
          </w:tcPr>
          <w:p>
            <w:pPr>
              <w:jc w:val="center"/>
              <w:ind w:right="99"/>
              <w:spacing w:after="0" w:line="136"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89"/>
        </w:trPr>
        <w:tc>
          <w:tcPr>
            <w:tcW w:w="6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(Successor Company)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413,670</w:t>
            </w: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$512,366</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127,208</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455,616</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172,981</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251,173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63,094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203,791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78,321</w:t>
            </w: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97,841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143,190</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62,357</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56,907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11,677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Europe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17,024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19,369</w:t>
            </w:r>
          </w:p>
        </w:tc>
        <w:tc>
          <w:tcPr>
            <w:tcW w:w="5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21,603</w:t>
            </w:r>
          </w:p>
        </w:tc>
        <w:tc>
          <w:tcPr>
            <w:tcW w:w="0" w:type="dxa"/>
            <w:vAlign w:val="bottom"/>
          </w:tcPr>
          <w:p>
            <w:pPr>
              <w:spacing w:after="0"/>
              <w:rPr>
                <w:sz w:val="1"/>
                <w:szCs w:val="1"/>
                <w:color w:val="auto"/>
              </w:rPr>
            </w:pPr>
          </w:p>
        </w:tc>
      </w:tr>
      <w:tr>
        <w:trPr>
          <w:trHeight w:val="344"/>
        </w:trPr>
        <w:tc>
          <w:tcPr>
            <w:tcW w:w="6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744,353</w:t>
            </w:r>
          </w:p>
        </w:tc>
        <w:tc>
          <w:tcPr>
            <w:tcW w:w="2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937,656</w:t>
            </w:r>
          </w:p>
        </w:tc>
        <w:tc>
          <w:tcPr>
            <w:tcW w:w="50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243,582</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841,588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Company’ property, plant and equipment are located in Korea as of December 31, 2006.</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sales from the Company’s top ten largest customers accounted for 66%, 63%, 62% and 63%, for the years ended December 31, 2006 and 2005, three months ended December 31, 2004, and nine months ended September 30, 2004,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right="8660" w:firstLine="8"/>
        <w:spacing w:after="0" w:line="417" w:lineRule="auto"/>
        <w:tabs>
          <w:tab w:leader="none" w:pos="263"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Agreements with Hynix</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Original Acquisition, the Company entered into several definitive agreements with Hynix regarding key materials, campus facilities, research and development equipment and information technology, factory automation, wafer foundry services, and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services under these agreements generally lasts for one to five years from the date of the Original Acquisition. The obligation to provide certain services lasts indefinitely.</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Upon the closing of the Original Acquisition, MagnaChip Korea and Hynix also entered into lease agreements under which MagnaChip Korea leases from Hynix (i) certain exclusive-use space plus common- and joint-use space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leased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leases land, office building and equipments under various operating lease agreements that expire through 2034. Rental expenses were approximately $12,008 thousand and $13,913 thousand for the years ended December 31, 2006 and 2005, $2,910 thousand for the three-month period ended December 31, 2004 (successor company) and $2,318 thousand and $1,556 thousand for the nine-month period ended September 30, 2004 (predecessor company), respectively.</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360" w:type="dxa"/>
            <w:vAlign w:val="bottom"/>
            <w:gridSpan w:val="2"/>
          </w:tcPr>
          <w:p>
            <w:pPr>
              <w:jc w:val="right"/>
              <w:ind w:right="552"/>
              <w:spacing w:after="0"/>
              <w:rPr>
                <w:sz w:val="20"/>
                <w:szCs w:val="20"/>
                <w:color w:val="auto"/>
              </w:rPr>
            </w:pPr>
            <w:r>
              <w:rPr>
                <w:rFonts w:ascii="Arial" w:cs="Arial" w:eastAsia="Arial" w:hAnsi="Arial"/>
                <w:sz w:val="18"/>
                <w:szCs w:val="18"/>
                <w:color w:val="auto"/>
                <w:w w:val="87"/>
              </w:rPr>
              <w:t>As of December 31, 2006, the minimum aggregate rental payments due under non-cancelable lease contracts are as follows: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900" w:type="dxa"/>
            <w:vAlign w:val="bottom"/>
            <w:shd w:val="clear" w:color="auto" w:fill="CCEEFF"/>
          </w:tcPr>
          <w:p>
            <w:pPr>
              <w:jc w:val="right"/>
              <w:ind w:right="8452"/>
              <w:spacing w:after="0"/>
              <w:rPr>
                <w:sz w:val="20"/>
                <w:szCs w:val="20"/>
                <w:color w:val="auto"/>
              </w:rPr>
            </w:pPr>
            <w:r>
              <w:rPr>
                <w:rFonts w:ascii="Arial" w:cs="Arial" w:eastAsia="Arial" w:hAnsi="Arial"/>
                <w:sz w:val="18"/>
                <w:szCs w:val="18"/>
                <w:color w:val="auto"/>
                <w:w w:val="84"/>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tcPr>
          <w:p>
            <w:pPr>
              <w:jc w:val="right"/>
              <w:ind w:right="8452"/>
              <w:spacing w:after="0"/>
              <w:rPr>
                <w:sz w:val="20"/>
                <w:szCs w:val="20"/>
                <w:color w:val="auto"/>
              </w:rPr>
            </w:pPr>
            <w:r>
              <w:rPr>
                <w:rFonts w:ascii="Arial" w:cs="Arial" w:eastAsia="Arial" w:hAnsi="Arial"/>
                <w:sz w:val="18"/>
                <w:szCs w:val="18"/>
                <w:color w:val="auto"/>
                <w:w w:val="84"/>
              </w:rPr>
              <w:t>2008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shd w:val="clear" w:color="auto" w:fill="CCEEFF"/>
          </w:tcPr>
          <w:p>
            <w:pPr>
              <w:jc w:val="right"/>
              <w:ind w:right="8452"/>
              <w:spacing w:after="0"/>
              <w:rPr>
                <w:sz w:val="20"/>
                <w:szCs w:val="20"/>
                <w:color w:val="auto"/>
              </w:rPr>
            </w:pPr>
            <w:r>
              <w:rPr>
                <w:rFonts w:ascii="Arial" w:cs="Arial" w:eastAsia="Arial" w:hAnsi="Arial"/>
                <w:sz w:val="18"/>
                <w:szCs w:val="18"/>
                <w:color w:val="auto"/>
                <w:w w:val="84"/>
              </w:rPr>
              <w:t>2009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tcPr>
          <w:p>
            <w:pPr>
              <w:jc w:val="right"/>
              <w:ind w:right="8452"/>
              <w:spacing w:after="0"/>
              <w:rPr>
                <w:sz w:val="20"/>
                <w:szCs w:val="20"/>
                <w:color w:val="auto"/>
              </w:rPr>
            </w:pPr>
            <w:r>
              <w:rPr>
                <w:rFonts w:ascii="Arial" w:cs="Arial" w:eastAsia="Arial" w:hAnsi="Arial"/>
                <w:sz w:val="18"/>
                <w:szCs w:val="18"/>
                <w:color w:val="auto"/>
                <w:w w:val="84"/>
              </w:rPr>
              <w:t>2010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00" w:type="dxa"/>
            <w:vAlign w:val="bottom"/>
            <w:shd w:val="clear" w:color="auto" w:fill="CCEEFF"/>
          </w:tcPr>
          <w:p>
            <w:pPr>
              <w:jc w:val="right"/>
              <w:ind w:right="8452"/>
              <w:spacing w:after="0"/>
              <w:rPr>
                <w:sz w:val="20"/>
                <w:szCs w:val="20"/>
                <w:color w:val="auto"/>
              </w:rPr>
            </w:pPr>
            <w:r>
              <w:rPr>
                <w:rFonts w:ascii="Arial" w:cs="Arial" w:eastAsia="Arial" w:hAnsi="Arial"/>
                <w:sz w:val="18"/>
                <w:szCs w:val="18"/>
                <w:color w:val="auto"/>
                <w:w w:val="84"/>
              </w:rPr>
              <w:t>2011</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11,939</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59,681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An advisory agreement was entered into as of October 6, 2004 by and between the Company and advisors including CVC Management LLC (“CVC Management”), CVC Capital Partners Asia Limited (“CVC Capital”) and Francisco Partners Management LLC (“Francisco Partners”). The Company is to pay each of CVC Management and Francisco Partners an annual advisory fee the 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December 31, 2005 and the three-month period ended December 31, 2004 (successor company), the Company accrued $3,545 thousand and $890 thousand of accrued expenses under these agreements, respectively, which is included in selling, general and administrative expenses in the accompanying consolidated financial statements. During the year ended December 31, 2006, due to lower Company financial performance, the advisors agreed to waive the advisory fee in exchange for an extension of the initial term of the advisory agreements for a period of one year and, therefore, the Company did not accrue any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Undrawn line of credit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undrawn portion of the new senior secured credit line was $93,792 thousand, $82,956 thousand and $86,295 thousand as of December 31, 2006, 2005 and 2004,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Guarantee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December 31, 2006 and 2005, the Company has provided guarantees for bank loans that employees borrowed to participate in the issuance of new shares of Hynix in 1999. The outstanding balances of guarantees for payments provided by the Company amounted to approximately $248 thousand and $304 thousand as of December 31, 2006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Funds related to CVC, Francisco Partners and CVC Asia Pacific own 34.1%, 34.1% and 18.3%, respectively, of the common units, and 35.9%, 35.9% and 19.3%, respectively, of the Series B units outstanding at December 31, 2006. Refer to “Item 12. Security Ownership of Certain Beneficial Owners and Management and Related Stockholder Matters” for details of ownership of each party.</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Hyundai Display Technology, Hyundai Information Technology and Hyundai ASTEC were all subsidiaries of Hynix. As a result of the Original Acquisition, these companies were all excluded from related parties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between the Company and its related parties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w w:val="84"/>
              </w:rPr>
              <w:t>Three months</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Year ended</w:t>
            </w:r>
          </w:p>
        </w:tc>
        <w:tc>
          <w:tcPr>
            <w:tcW w:w="780" w:type="dxa"/>
            <w:vAlign w:val="bottom"/>
          </w:tcPr>
          <w:p>
            <w:pPr>
              <w:spacing w:after="0"/>
              <w:rPr>
                <w:sz w:val="12"/>
                <w:szCs w:val="12"/>
                <w:color w:val="auto"/>
              </w:rPr>
            </w:pP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60" w:type="dxa"/>
            <w:vAlign w:val="bottom"/>
          </w:tcPr>
          <w:p>
            <w:pPr>
              <w:spacing w:after="0"/>
              <w:rPr>
                <w:sz w:val="12"/>
                <w:szCs w:val="12"/>
                <w:color w:val="auto"/>
              </w:rPr>
            </w:pPr>
          </w:p>
        </w:tc>
        <w:tc>
          <w:tcPr>
            <w:tcW w:w="1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80" w:type="dxa"/>
            <w:vAlign w:val="bottom"/>
          </w:tcPr>
          <w:p>
            <w:pPr>
              <w:spacing w:after="0"/>
              <w:rPr>
                <w:sz w:val="12"/>
                <w:szCs w:val="12"/>
                <w:color w:val="auto"/>
              </w:rPr>
            </w:pP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80" w:type="dxa"/>
            <w:vAlign w:val="bottom"/>
            <w:gridSpan w:val="4"/>
          </w:tcPr>
          <w:p>
            <w:pPr>
              <w:jc w:val="right"/>
              <w:ind w:right="10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2006</w:t>
            </w: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2005</w:t>
            </w: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(Successor Company)</w:t>
            </w:r>
          </w:p>
        </w:tc>
        <w:tc>
          <w:tcPr>
            <w:tcW w:w="1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85"/>
              </w:rPr>
              <w:t>(Predecessor Company)</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auto"/>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540"/>
              <w:spacing w:after="0"/>
              <w:rPr>
                <w:sz w:val="20"/>
                <w:szCs w:val="20"/>
                <w:color w:val="auto"/>
              </w:rPr>
            </w:pPr>
            <w:r>
              <w:rPr>
                <w:rFonts w:ascii="Arial" w:cs="Arial" w:eastAsia="Arial" w:hAnsi="Arial"/>
                <w:sz w:val="18"/>
                <w:szCs w:val="18"/>
                <w:color w:val="auto"/>
              </w:rPr>
              <w:t>Hynix</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2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Hynix</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540"/>
              <w:spacing w:after="0"/>
              <w:rPr>
                <w:sz w:val="20"/>
                <w:szCs w:val="20"/>
                <w:color w:val="auto"/>
              </w:rPr>
            </w:pPr>
            <w:r>
              <w:rPr>
                <w:rFonts w:ascii="Arial" w:cs="Arial" w:eastAsia="Arial" w:hAnsi="Arial"/>
                <w:sz w:val="18"/>
                <w:szCs w:val="18"/>
                <w:color w:val="auto"/>
              </w:rPr>
              <w:t>Hyundai Information Technology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Hyundai ASTEC</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540"/>
              <w:spacing w:after="0"/>
              <w:rPr>
                <w:sz w:val="20"/>
                <w:szCs w:val="20"/>
                <w:color w:val="auto"/>
              </w:rPr>
            </w:pPr>
            <w:r>
              <w:rPr>
                <w:rFonts w:ascii="Arial" w:cs="Arial" w:eastAsia="Arial" w:hAnsi="Arial"/>
                <w:sz w:val="18"/>
                <w:szCs w:val="18"/>
                <w:color w:val="auto"/>
              </w:rPr>
              <w:t>Other related parties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20"/>
              <w:spacing w:after="0"/>
              <w:rPr>
                <w:sz w:val="20"/>
                <w:szCs w:val="20"/>
                <w:color w:val="auto"/>
              </w:rPr>
            </w:pPr>
            <w:r>
              <w:rPr>
                <w:rFonts w:ascii="Arial" w:cs="Arial" w:eastAsia="Arial" w:hAnsi="Arial"/>
                <w:sz w:val="18"/>
                <w:szCs w:val="18"/>
                <w:color w:val="auto"/>
              </w:rPr>
              <w:t>Advisory Fee</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Citigroup Venture Capital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tcPr>
          <w:p>
            <w:pPr>
              <w:ind w:left="540"/>
              <w:spacing w:after="0"/>
              <w:rPr>
                <w:sz w:val="20"/>
                <w:szCs w:val="20"/>
                <w:color w:val="auto"/>
              </w:rPr>
            </w:pPr>
            <w:r>
              <w:rPr>
                <w:rFonts w:ascii="Arial" w:cs="Arial" w:eastAsia="Arial" w:hAnsi="Arial"/>
                <w:sz w:val="18"/>
                <w:szCs w:val="18"/>
                <w:color w:val="auto"/>
              </w:rPr>
              <w:t>Francisco Partners</w:t>
            </w:r>
          </w:p>
        </w:tc>
        <w:tc>
          <w:tcPr>
            <w:tcW w:w="160" w:type="dxa"/>
            <w:vAlign w:val="bottom"/>
          </w:tcPr>
          <w:p>
            <w:pPr>
              <w:spacing w:after="0"/>
              <w:rPr>
                <w:sz w:val="21"/>
                <w:szCs w:val="21"/>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21"/>
                <w:szCs w:val="21"/>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CVC Asia Pacific</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21"/>
                <w:szCs w:val="21"/>
                <w:color w:val="auto"/>
              </w:rPr>
            </w:pP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16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180" w:type="dxa"/>
            <w:vAlign w:val="bottom"/>
          </w:tcPr>
          <w:p>
            <w:pPr>
              <w:jc w:val="right"/>
              <w:ind w:right="6"/>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3,545</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to employees as of December 31, 2006 and 2005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10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4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1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loans</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auto"/>
              </w:rPr>
              <w:t>Long-term loans</w:t>
            </w:r>
          </w:p>
        </w:tc>
        <w:tc>
          <w:tcPr>
            <w:tcW w:w="3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r>
      <w:tr>
        <w:trPr>
          <w:trHeight w:val="216"/>
        </w:trPr>
        <w:tc>
          <w:tcPr>
            <w:tcW w:w="4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computation of basic and diluted loss per common unit: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60" w:type="dxa"/>
            <w:vAlign w:val="bottom"/>
            <w:gridSpan w:val="3"/>
          </w:tcPr>
          <w:p>
            <w:pPr>
              <w:jc w:val="right"/>
              <w:ind w:right="120"/>
              <w:spacing w:after="0" w:line="116" w:lineRule="exact"/>
              <w:rPr>
                <w:sz w:val="20"/>
                <w:szCs w:val="20"/>
                <w:color w:val="auto"/>
              </w:rPr>
            </w:pPr>
            <w:r>
              <w:rPr>
                <w:rFonts w:ascii="Arial" w:cs="Arial" w:eastAsia="Arial" w:hAnsi="Arial"/>
                <w:sz w:val="12"/>
                <w:szCs w:val="12"/>
                <w:b w:val="1"/>
                <w:bCs w:val="1"/>
                <w:color w:val="auto"/>
              </w:rPr>
              <w:t>December 31,</w:t>
            </w:r>
          </w:p>
        </w:tc>
        <w:tc>
          <w:tcPr>
            <w:tcW w:w="740" w:type="dxa"/>
            <w:vAlign w:val="bottom"/>
          </w:tcPr>
          <w:p>
            <w:pPr>
              <w:spacing w:after="0"/>
              <w:rPr>
                <w:sz w:val="10"/>
                <w:szCs w:val="10"/>
                <w:color w:val="auto"/>
              </w:rPr>
            </w:pPr>
          </w:p>
        </w:tc>
        <w:tc>
          <w:tcPr>
            <w:tcW w:w="900" w:type="dxa"/>
            <w:vAlign w:val="bottom"/>
            <w:gridSpan w:val="2"/>
          </w:tcPr>
          <w:p>
            <w:pPr>
              <w:jc w:val="right"/>
              <w:spacing w:after="0" w:line="116" w:lineRule="exact"/>
              <w:rPr>
                <w:sz w:val="20"/>
                <w:szCs w:val="20"/>
                <w:color w:val="auto"/>
              </w:rPr>
            </w:pPr>
            <w:r>
              <w:rPr>
                <w:rFonts w:ascii="Arial" w:cs="Arial" w:eastAsia="Arial" w:hAnsi="Arial"/>
                <w:sz w:val="12"/>
                <w:szCs w:val="12"/>
                <w:b w:val="1"/>
                <w:bCs w:val="1"/>
                <w:color w:val="auto"/>
              </w:rPr>
              <w:t>December 31,</w:t>
            </w:r>
          </w:p>
        </w:tc>
        <w:tc>
          <w:tcPr>
            <w:tcW w:w="8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8"/>
              </w:rPr>
              <w:t>December 31, 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(Successor Company)</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(229,310)</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(100,898)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Dividends to preferred unitholders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(10,912)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(9,928)</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attributable to common units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(240,222)</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(110,826)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420"/>
              <w:spacing w:after="0"/>
              <w:rPr>
                <w:sz w:val="20"/>
                <w:szCs w:val="20"/>
                <w:color w:val="auto"/>
              </w:rPr>
            </w:pPr>
            <w:r>
              <w:rPr>
                <w:rFonts w:ascii="Arial" w:cs="Arial" w:eastAsia="Arial" w:hAnsi="Arial"/>
                <w:sz w:val="18"/>
                <w:szCs w:val="18"/>
                <w:color w:val="auto"/>
              </w:rPr>
              <w:t>Weighted-average common units outstanding</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52,911,734</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52,898,497</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50,061,910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 issued, stock-options granted and warrants issued were excluded from the computation of diluted loss per unit as they would have an anti-dilutive effects on the calculation: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600" w:type="dxa"/>
            <w:vAlign w:val="bottom"/>
          </w:tcPr>
          <w:p>
            <w:pPr>
              <w:spacing w:after="0"/>
              <w:rPr>
                <w:sz w:val="14"/>
                <w:szCs w:val="14"/>
                <w:color w:val="auto"/>
              </w:rPr>
            </w:pP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146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83"/>
              </w:rPr>
              <w:t>2005</w:t>
            </w:r>
          </w:p>
        </w:tc>
        <w:tc>
          <w:tcPr>
            <w:tcW w:w="520" w:type="dxa"/>
            <w:vAlign w:val="bottom"/>
          </w:tcPr>
          <w:p>
            <w:pPr>
              <w:spacing w:after="0"/>
              <w:rPr>
                <w:sz w:val="14"/>
                <w:szCs w:val="14"/>
                <w:color w:val="auto"/>
              </w:rPr>
            </w:pPr>
          </w:p>
        </w:tc>
        <w:tc>
          <w:tcPr>
            <w:tcW w:w="960" w:type="dxa"/>
            <w:vAlign w:val="bottom"/>
          </w:tcPr>
          <w:p>
            <w:pPr>
              <w:jc w:val="right"/>
              <w:ind w:right="260"/>
              <w:spacing w:after="0"/>
              <w:rPr>
                <w:sz w:val="20"/>
                <w:szCs w:val="20"/>
                <w:color w:val="auto"/>
              </w:rPr>
            </w:pPr>
            <w:r>
              <w:rPr>
                <w:rFonts w:ascii="Arial" w:cs="Arial" w:eastAsia="Arial" w:hAnsi="Arial"/>
                <w:sz w:val="14"/>
                <w:szCs w:val="14"/>
                <w:b w:val="1"/>
                <w:bCs w:val="1"/>
                <w:color w:val="auto"/>
              </w:rPr>
              <w:t>2004</w:t>
            </w:r>
          </w:p>
        </w:tc>
      </w:tr>
      <w:tr>
        <w:trPr>
          <w:trHeight w:val="142"/>
        </w:trPr>
        <w:tc>
          <w:tcPr>
            <w:tcW w:w="66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75"/>
              </w:rPr>
              <w:t>(Successor Company)</w:t>
            </w:r>
          </w:p>
        </w:tc>
        <w:tc>
          <w:tcPr>
            <w:tcW w:w="5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1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93,997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5,069,528</w:t>
            </w:r>
          </w:p>
        </w:tc>
        <w:tc>
          <w:tcPr>
            <w:tcW w:w="1980" w:type="dxa"/>
            <w:vAlign w:val="bottom"/>
            <w:gridSpan w:val="3"/>
          </w:tcPr>
          <w:p>
            <w:pPr>
              <w:jc w:val="right"/>
              <w:ind w:right="520"/>
              <w:spacing w:after="0"/>
              <w:rPr>
                <w:sz w:val="20"/>
                <w:szCs w:val="20"/>
                <w:color w:val="auto"/>
              </w:rPr>
            </w:pPr>
            <w:r>
              <w:rPr>
                <w:rFonts w:ascii="Arial" w:cs="Arial" w:eastAsia="Arial" w:hAnsi="Arial"/>
                <w:sz w:val="18"/>
                <w:szCs w:val="18"/>
                <w:color w:val="auto"/>
              </w:rPr>
              <w:t>3,780,643</w:t>
            </w:r>
          </w:p>
        </w:tc>
        <w:tc>
          <w:tcPr>
            <w:tcW w:w="960" w:type="dxa"/>
            <w:vAlign w:val="bottom"/>
          </w:tcPr>
          <w:p>
            <w:pPr>
              <w:jc w:val="right"/>
              <w:spacing w:after="0"/>
              <w:rPr>
                <w:sz w:val="20"/>
                <w:szCs w:val="20"/>
                <w:color w:val="auto"/>
              </w:rPr>
            </w:pPr>
            <w:r>
              <w:rPr>
                <w:rFonts w:ascii="Arial" w:cs="Arial" w:eastAsia="Arial" w:hAnsi="Arial"/>
                <w:sz w:val="18"/>
                <w:szCs w:val="18"/>
                <w:color w:val="auto"/>
              </w:rPr>
              <w:t>1,146,178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5,079,254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Below are condensed consolidating balance sheets as of December 31, 2006 and 2005, condensed consolidating statements of operations and of cash flows for the years ended December 31, 2006 and 2005 and for the three months ended December 31, 2004 of those entities that guarantee the Senior Subordinated Notes, those that do not, MagnaChip Semiconductor LLC, and the co-issuers.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(Parent)</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Co-Issuers</w:t>
            </w: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718,126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(325,926)</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636,349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313,699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(305,137)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644,911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81,777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99,441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75,949</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87,677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135,361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94,041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94,266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(223,574)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(213,754)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9,755</w:t>
            </w:r>
          </w:p>
        </w:tc>
        <w:tc>
          <w:tcPr>
            <w:tcW w:w="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equity in loss of related</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8,808</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(223,536)</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(220,052)</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equity in loss of related Investment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8,638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(223,692)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(229,310)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(229,209)</w:t>
            </w: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(243,820)</w:t>
            </w: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(224,982)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(229,310)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(235,182)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(223,692)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(240,450)</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699,324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(229,310)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10,912</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(240,222)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(235,182)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(223,692)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(240,450)</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699,324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(240,222)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MagnaChip</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LLC</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(Parent)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Co-Issuers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Eliminations</w:t>
            </w:r>
          </w:p>
        </w:tc>
        <w:tc>
          <w:tcPr>
            <w:tcW w:w="42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914,445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431,339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(408,128)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723,844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406,669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(401,514)</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728,999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190,601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208,657</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107,326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15,501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123,211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101,318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(54,277)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(13,731)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(35,577)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8,599</w:t>
            </w:r>
          </w:p>
        </w:tc>
        <w:tc>
          <w:tcPr>
            <w:tcW w:w="140" w:type="dxa"/>
            <w:vAlign w:val="bottom"/>
          </w:tcPr>
          <w:p>
            <w:pPr>
              <w:spacing w:after="0"/>
              <w:rPr>
                <w:sz w:val="20"/>
                <w:szCs w:val="20"/>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(40,704)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before income taxes, equity in loss of related</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(15,607)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(89,854)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6,750</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163</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(99,082)</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(15,770)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(89,854)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5,097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163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(100,898)</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(100,364)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(78,445)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(86,985)</w:t>
            </w:r>
          </w:p>
        </w:tc>
        <w:tc>
          <w:tcPr>
            <w:tcW w:w="140" w:type="dxa"/>
            <w:vAlign w:val="bottom"/>
          </w:tcPr>
          <w:p>
            <w:pPr>
              <w:spacing w:after="0"/>
              <w:rPr>
                <w:sz w:val="19"/>
                <w:szCs w:val="19"/>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82"/>
              </w:rPr>
              <w:t>265,794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(94,215)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(89,854)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(81,888)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265,957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(100,898)</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(94,215)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(89,854)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(81,888)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265,957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(110,826)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69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2004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MagnaChip</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2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5"/>
              </w:rPr>
              <w:t>Co-Issuers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241,149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$ 116,639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(114,206)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203,089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114,063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(112,691)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204,461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38,060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39,121</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27,174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2,588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29,784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22,058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(11,172)</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7,857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15"/>
        </w:trPr>
        <w:tc>
          <w:tcPr>
            <w:tcW w:w="4660" w:type="dxa"/>
            <w:vAlign w:val="bottom"/>
            <w:gridSpan w:val="2"/>
          </w:tcPr>
          <w:p>
            <w:pPr>
              <w:spacing w:after="0"/>
              <w:rPr>
                <w:sz w:val="20"/>
                <w:szCs w:val="20"/>
                <w:color w:val="auto"/>
              </w:rPr>
            </w:pPr>
            <w:r>
              <w:rPr>
                <w:rFonts w:ascii="Arial" w:cs="Arial" w:eastAsia="Arial" w:hAnsi="Arial"/>
                <w:sz w:val="18"/>
                <w:szCs w:val="18"/>
                <w:color w:val="auto"/>
                <w:w w:val="93"/>
              </w:rPr>
              <w:t>Income (loss) before income taxes, equity in earnings (loss) of</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related equity investment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11,888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(3,315)</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(8,744)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15"/>
        </w:trPr>
        <w:tc>
          <w:tcPr>
            <w:tcW w:w="4660" w:type="dxa"/>
            <w:vAlign w:val="bottom"/>
            <w:gridSpan w:val="2"/>
          </w:tcPr>
          <w:p>
            <w:pPr>
              <w:spacing w:after="0"/>
              <w:rPr>
                <w:sz w:val="20"/>
                <w:szCs w:val="20"/>
                <w:color w:val="auto"/>
              </w:rPr>
            </w:pPr>
            <w:r>
              <w:rPr>
                <w:rFonts w:ascii="Arial" w:cs="Arial" w:eastAsia="Arial" w:hAnsi="Arial"/>
                <w:sz w:val="18"/>
                <w:szCs w:val="18"/>
                <w:color w:val="auto"/>
              </w:rPr>
              <w:t>Income (loss) before equity in earnings (loss) of related</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Investment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11,888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(9,420)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(9,364)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of related investment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(20,581)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(5,825)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(8,693)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(9,420)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(18,784)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36,897</w:t>
            </w:r>
          </w:p>
        </w:tc>
        <w:tc>
          <w:tcPr>
            <w:tcW w:w="22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units</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(19,253)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(8,693)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(9,420)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(18,784)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36,897</w:t>
            </w:r>
          </w:p>
        </w:tc>
        <w:tc>
          <w:tcPr>
            <w:tcW w:w="22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MagnaChip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(Parent)</w:t>
            </w:r>
          </w:p>
        </w:tc>
        <w:tc>
          <w:tcPr>
            <w:tcW w:w="1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Co-Issuers</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321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86,488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55,676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379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232,859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244,064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334,809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336,279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117,101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(167,545)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(246,126)</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(77,489)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791,648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633,987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(1,425,635)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41,972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584,343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726,741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677,654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67,002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40,191</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(44,794)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22,040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(18,607)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142,689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(93,964)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804,635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(1,425,635)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62,550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753,474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827,430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898,956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(1,542,641)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937,220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117,374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Common units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136,229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39,005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155,415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108,239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(370,314)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(338,112)</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(323,358)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(412,488)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1,073,958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(370,314)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(284,541)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(169,131)</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(100,689)</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(221,302)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491,122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(284,541)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redeemable convertible preferred units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unitholders’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584,343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726,741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677,654</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040" w:type="dxa"/>
            <w:vAlign w:val="bottom"/>
            <w:gridSpan w:val="4"/>
          </w:tcPr>
          <w:p>
            <w:pPr>
              <w:ind w:left="100"/>
              <w:spacing w:after="0"/>
              <w:rPr>
                <w:sz w:val="20"/>
                <w:szCs w:val="20"/>
                <w:color w:val="auto"/>
              </w:rPr>
            </w:pPr>
            <w:r>
              <w:rPr>
                <w:rFonts w:ascii="Arial" w:cs="Arial" w:eastAsia="Arial" w:hAnsi="Arial"/>
                <w:sz w:val="14"/>
                <w:szCs w:val="14"/>
                <w:b w:val="1"/>
                <w:bCs w:val="1"/>
                <w:color w:val="auto"/>
              </w:rPr>
              <w:t>Guarantors</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131,669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298,068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110,944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484,019</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(38,942)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144,131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(130,945)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774,199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621,311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(1,395,510)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24,153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11,131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783,351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992,826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914,595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(1,711,103)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94,581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74,003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(74,673)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3,741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191,590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(157,076)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621,311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774,199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(1,395,510)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753,741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873,027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931,750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(1,578,849)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106,462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106,462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102,986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155,212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(102,930)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(99,666)</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(172,038)</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374,634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(46,484)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29,610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119,799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(17,155)</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(132,254)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Total liabilities, redeemable convertible preferred units and</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783,351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992,826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914,595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(1,711,103)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(Parent)</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240" w:type="dxa"/>
            <w:vAlign w:val="bottom"/>
            <w:gridSpan w:val="4"/>
          </w:tcPr>
          <w:p>
            <w:pPr>
              <w:ind w:left="180"/>
              <w:spacing w:after="0"/>
              <w:rPr>
                <w:sz w:val="20"/>
                <w:szCs w:val="20"/>
                <w:color w:val="auto"/>
              </w:rPr>
            </w:pPr>
            <w:r>
              <w:rPr>
                <w:rFonts w:ascii="Arial" w:cs="Arial" w:eastAsia="Arial" w:hAnsi="Arial"/>
                <w:sz w:val="14"/>
                <w:szCs w:val="14"/>
                <w:b w:val="1"/>
                <w:bCs w:val="1"/>
                <w:color w:val="auto"/>
              </w:rPr>
              <w:t>Guarantors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(229,310)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(235,182)</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3"/>
              </w:rPr>
              <w:t>(223,692)</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(240,450)</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699,324</w:t>
            </w:r>
          </w:p>
        </w:tc>
        <w:tc>
          <w:tcPr>
            <w:tcW w:w="3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(229,310)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income (loss) to net cash provided by operating</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184,430</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188,560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11,478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2,791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910</w:t>
            </w:r>
          </w:p>
        </w:tc>
        <w:tc>
          <w:tcPr>
            <w:tcW w:w="14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(17,449)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(54,564)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1,362</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92,858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Unit/stock-based compensation</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203</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229,209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243,820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224,982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(698,011)</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2,838</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53,839</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(29,879)</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44,091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32,884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(1,270)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1,602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3,145</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(11,283)</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(34,451)</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(33,851)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29,879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(29,954)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11,283</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(4,495)</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6,455</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9,752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(9,678)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w w:val="76"/>
              </w:rPr>
              <w:t>170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(2,320)</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3,223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(8,589)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(467)</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444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(5,235)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(38,194)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(2,085)</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3,723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2,819</w:t>
            </w:r>
          </w:p>
        </w:tc>
        <w:tc>
          <w:tcPr>
            <w:tcW w:w="14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3,002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(1,485)</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(32,220)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(33,385)</w:t>
            </w: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(420)</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6,226</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112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9,173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(6,737)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209</w:t>
            </w:r>
          </w:p>
        </w:tc>
        <w:tc>
          <w:tcPr>
            <w:tcW w:w="3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841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63,435</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22,089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86,574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w w:val="76"/>
              </w:rPr>
              <w:t>321</w:t>
            </w:r>
          </w:p>
        </w:tc>
        <w:tc>
          <w:tcPr>
            <w:tcW w:w="3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ind w:left="300"/>
              <w:spacing w:after="0" w:line="155" w:lineRule="exact"/>
              <w:rPr>
                <w:sz w:val="20"/>
                <w:szCs w:val="20"/>
                <w:color w:val="auto"/>
              </w:rPr>
            </w:pPr>
            <w:r>
              <w:rPr>
                <w:rFonts w:ascii="Arial" w:cs="Arial" w:eastAsia="Arial" w:hAnsi="Arial"/>
                <w:sz w:val="14"/>
                <w:szCs w:val="14"/>
                <w:color w:val="auto"/>
                <w:w w:val="76"/>
              </w:rPr>
              <w:t>892</w:t>
            </w:r>
          </w:p>
        </w:tc>
        <w:tc>
          <w:tcPr>
            <w:tcW w:w="220" w:type="dxa"/>
            <w:vAlign w:val="bottom"/>
          </w:tcPr>
          <w:p>
            <w:pPr>
              <w:spacing w:after="0"/>
              <w:rPr>
                <w:sz w:val="13"/>
                <w:szCs w:val="13"/>
                <w:color w:val="auto"/>
              </w:rPr>
            </w:pPr>
          </w:p>
        </w:tc>
        <w:tc>
          <w:tcPr>
            <w:tcW w:w="32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72,608</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15,352</w:t>
            </w:r>
          </w:p>
        </w:tc>
        <w:tc>
          <w:tcPr>
            <w:tcW w:w="220" w:type="dxa"/>
            <w:vAlign w:val="bottom"/>
          </w:tcPr>
          <w:p>
            <w:pPr>
              <w:spacing w:after="0"/>
              <w:rPr>
                <w:sz w:val="13"/>
                <w:szCs w:val="13"/>
                <w:color w:val="auto"/>
              </w:rPr>
            </w:pPr>
          </w:p>
        </w:tc>
        <w:tc>
          <w:tcPr>
            <w:tcW w:w="34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89,173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MagnaChip</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w:t>
            </w:r>
          </w:p>
        </w:tc>
        <w:tc>
          <w:tcPr>
            <w:tcW w:w="12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(Parent)</w:t>
            </w:r>
          </w:p>
        </w:tc>
        <w:tc>
          <w:tcPr>
            <w:tcW w:w="1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Issuers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(100,898)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4"/>
              </w:rPr>
              <w:t>(94,215)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(89,854)</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(81,888)</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265,957</w:t>
            </w:r>
          </w:p>
        </w:tc>
        <w:tc>
          <w:tcPr>
            <w:tcW w:w="28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196,669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16,486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2,628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21,841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(16,288)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33,576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100,364</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78,445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86,985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(265,794)</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(31,412)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826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63,970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29,438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(19,416)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1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w w:val="76"/>
              </w:rPr>
              <w:t>188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(62,561)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(17,802)</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(5,591)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17,549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(19,153)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4"/>
              </w:rPr>
              <w:t>(16,505)</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19,153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163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(31,266)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(2,682)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(935)</w:t>
            </w:r>
          </w:p>
        </w:tc>
        <w:tc>
          <w:tcPr>
            <w:tcW w:w="180" w:type="dxa"/>
            <w:vAlign w:val="bottom"/>
          </w:tcPr>
          <w:p>
            <w:pPr>
              <w:spacing w:after="0"/>
              <w:rPr>
                <w:sz w:val="14"/>
                <w:szCs w:val="14"/>
                <w:color w:val="auto"/>
              </w:rPr>
            </w:pP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9"/>
              </w:rPr>
              <w:t>(4,618)</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83,209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25,332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659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(62,113)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w w:val="89"/>
              </w:rPr>
              <w:t>Acquisition of business, net of cash acquired of $4,620 for the year ended December 31, 2005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(1,870)</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short-term intercompany loans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Increase in long-term intercompany loans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(1,009)</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short-term intercompany loans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(17,650)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(1,870)</w:t>
            </w:r>
          </w:p>
        </w:tc>
        <w:tc>
          <w:tcPr>
            <w:tcW w:w="180" w:type="dxa"/>
            <w:vAlign w:val="bottom"/>
          </w:tcPr>
          <w:p>
            <w:pPr>
              <w:spacing w:after="0"/>
              <w:rPr>
                <w:sz w:val="14"/>
                <w:szCs w:val="14"/>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2,636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(51,917)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(11,330)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(1,591)</w:t>
            </w:r>
          </w:p>
        </w:tc>
        <w:tc>
          <w:tcPr>
            <w:tcW w:w="180" w:type="dxa"/>
            <w:vAlign w:val="bottom"/>
          </w:tcPr>
          <w:p>
            <w:pPr>
              <w:spacing w:after="0"/>
              <w:rPr>
                <w:sz w:val="14"/>
                <w:szCs w:val="14"/>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(14,000)</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(2,018)</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628</w:t>
            </w:r>
          </w:p>
        </w:tc>
        <w:tc>
          <w:tcPr>
            <w:tcW w:w="180" w:type="dxa"/>
            <w:vAlign w:val="bottom"/>
          </w:tcPr>
          <w:p>
            <w:pPr>
              <w:spacing w:after="0"/>
              <w:rPr>
                <w:sz w:val="12"/>
                <w:szCs w:val="12"/>
                <w:color w:val="auto"/>
              </w:rPr>
            </w:pPr>
          </w:p>
        </w:tc>
        <w:tc>
          <w:tcPr>
            <w:tcW w:w="7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(29,776)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420"/>
              <w:spacing w:after="0" w:line="149" w:lineRule="exact"/>
              <w:rPr>
                <w:sz w:val="20"/>
                <w:szCs w:val="20"/>
                <w:color w:val="auto"/>
              </w:rPr>
            </w:pPr>
            <w:r>
              <w:rPr>
                <w:rFonts w:ascii="Arial" w:cs="Arial" w:eastAsia="Arial" w:hAnsi="Arial"/>
                <w:sz w:val="14"/>
                <w:szCs w:val="14"/>
                <w:color w:val="auto"/>
              </w:rPr>
              <w:t>Debt issuance cost paid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(378)</w:t>
            </w: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600"/>
              <w:spacing w:after="0" w:line="155" w:lineRule="exact"/>
              <w:rPr>
                <w:sz w:val="20"/>
                <w:szCs w:val="20"/>
                <w:color w:val="auto"/>
              </w:rPr>
            </w:pPr>
            <w:r>
              <w:rPr>
                <w:rFonts w:ascii="Arial" w:cs="Arial" w:eastAsia="Arial" w:hAnsi="Arial"/>
                <w:sz w:val="14"/>
                <w:szCs w:val="14"/>
                <w:color w:val="auto"/>
              </w:rPr>
              <w:t>628</w:t>
            </w:r>
          </w:p>
        </w:tc>
        <w:tc>
          <w:tcPr>
            <w:tcW w:w="180" w:type="dxa"/>
            <w:vAlign w:val="bottom"/>
          </w:tcPr>
          <w:p>
            <w:pPr>
              <w:spacing w:after="0"/>
              <w:rPr>
                <w:sz w:val="13"/>
                <w:szCs w:val="13"/>
                <w:color w:val="auto"/>
              </w:rPr>
            </w:pP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(378)</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(14,767)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1,591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(2,177)</w:t>
            </w:r>
          </w:p>
        </w:tc>
        <w:tc>
          <w:tcPr>
            <w:tcW w:w="180" w:type="dxa"/>
            <w:vAlign w:val="bottom"/>
          </w:tcPr>
          <w:p>
            <w:pPr>
              <w:spacing w:after="0"/>
              <w:rPr>
                <w:sz w:val="13"/>
                <w:szCs w:val="13"/>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(2,360)</w:t>
            </w:r>
          </w:p>
        </w:tc>
        <w:tc>
          <w:tcPr>
            <w:tcW w:w="120" w:type="dxa"/>
            <w:vAlign w:val="bottom"/>
          </w:tcPr>
          <w:p>
            <w:pPr>
              <w:spacing w:after="0"/>
              <w:rPr>
                <w:sz w:val="13"/>
                <w:szCs w:val="13"/>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33,764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Beginning of the period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2,386</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3,201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29,671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209</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841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63,435</w:t>
            </w: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22,089</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2004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MagnaChip</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LLC</w:t>
            </w:r>
          </w:p>
        </w:tc>
        <w:tc>
          <w:tcPr>
            <w:tcW w:w="26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Co-</w:t>
            </w:r>
          </w:p>
        </w:tc>
        <w:tc>
          <w:tcPr>
            <w:tcW w:w="12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(Parent)</w:t>
            </w:r>
          </w:p>
        </w:tc>
        <w:tc>
          <w:tcPr>
            <w:tcW w:w="260" w:type="dxa"/>
            <w:vAlign w:val="bottom"/>
          </w:tcPr>
          <w:p>
            <w:pPr>
              <w:spacing w:after="0"/>
              <w:rPr>
                <w:sz w:val="15"/>
                <w:szCs w:val="15"/>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Issuers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(5,825)</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(8,693)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(9,420)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(18,784)</w:t>
            </w:r>
          </w:p>
        </w:tc>
        <w:tc>
          <w:tcPr>
            <w:tcW w:w="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36,897</w:t>
            </w:r>
          </w:p>
        </w:tc>
        <w:tc>
          <w:tcPr>
            <w:tcW w:w="44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Adjustments to reconcile net income (loss) to net cash provided by operating</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45,847</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3,397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152</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4,259</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(7,914)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(32,733)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(193)</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8,411</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20,581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(38,412)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Others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363</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(55,968)</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(42,559)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55,257</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36,137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1,548</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(2,243)</w:t>
            </w:r>
          </w:p>
        </w:tc>
        <w:tc>
          <w:tcPr>
            <w:tcW w:w="2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(810)</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(55,266)</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3,053</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(34,196)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56,392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(55,257)</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(29,266)</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189</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121,181</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(7,428)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(3,167)</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1,128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16,257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(5,909)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(5,909)</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(4,194)</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5,909</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6,965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(2,898)</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(28,923)</w:t>
            </w:r>
          </w:p>
        </w:tc>
        <w:tc>
          <w:tcPr>
            <w:tcW w:w="260" w:type="dxa"/>
            <w:vAlign w:val="bottom"/>
          </w:tcPr>
          <w:p>
            <w:pPr>
              <w:spacing w:after="0"/>
              <w:rPr>
                <w:sz w:val="14"/>
                <w:szCs w:val="14"/>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(1,276)</w:t>
            </w:r>
          </w:p>
        </w:tc>
        <w:tc>
          <w:tcPr>
            <w:tcW w:w="120" w:type="dxa"/>
            <w:vAlign w:val="bottom"/>
          </w:tcPr>
          <w:p>
            <w:pPr>
              <w:spacing w:after="0"/>
              <w:rPr>
                <w:sz w:val="14"/>
                <w:szCs w:val="14"/>
                <w:color w:val="auto"/>
              </w:rPr>
            </w:pPr>
          </w:p>
        </w:tc>
        <w:tc>
          <w:tcPr>
            <w:tcW w:w="9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38,535</w:t>
            </w:r>
          </w:p>
        </w:tc>
        <w:tc>
          <w:tcPr>
            <w:tcW w:w="14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9,030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(81)</w:t>
            </w:r>
          </w:p>
        </w:tc>
        <w:tc>
          <w:tcPr>
            <w:tcW w:w="180" w:type="dxa"/>
            <w:vAlign w:val="bottom"/>
          </w:tcPr>
          <w:p>
            <w:pPr>
              <w:spacing w:after="0"/>
              <w:rPr>
                <w:sz w:val="14"/>
                <w:szCs w:val="14"/>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(23,261)</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business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6"/>
              </w:rPr>
              <w:t>(488,152)</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restricted cash</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(12,350)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Disposal (purchase) of related investment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20,723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(26,026)</w:t>
            </w:r>
          </w:p>
        </w:tc>
        <w:tc>
          <w:tcPr>
            <w:tcW w:w="12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(194,015)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199,318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of intercompany loans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291,824</w:t>
            </w: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(398,250)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(619,991)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726,417</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Others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(2,033)</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312,547</w:t>
            </w: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6"/>
              </w:rPr>
              <w:t>(424,276)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(525,897)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(814,092)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925,735</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(525,983)</w:t>
            </w:r>
          </w:p>
        </w:tc>
        <w:tc>
          <w:tcPr>
            <w:tcW w:w="0" w:type="dxa"/>
            <w:vAlign w:val="bottom"/>
          </w:tcPr>
          <w:p>
            <w:pPr>
              <w:spacing w:after="0"/>
              <w:rPr>
                <w:sz w:val="1"/>
                <w:szCs w:val="1"/>
                <w:color w:val="auto"/>
              </w:rPr>
            </w:pPr>
          </w:p>
        </w:tc>
      </w:tr>
      <w:tr>
        <w:trPr>
          <w:trHeight w:val="156"/>
        </w:trPr>
        <w:tc>
          <w:tcPr>
            <w:tcW w:w="4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Proceeds from issuance of Senior Secured and Subordinated Notes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0"/>
              </w:rPr>
              <w:t>750,000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41,000</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721</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50,212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(91,213)</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663,878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669,396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2"/>
              </w:rPr>
              <w:t>(1,287,407)</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1,429</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203,208</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26,351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(230,988)</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6"/>
              </w:rPr>
              <w:t>(332,824)</w:t>
            </w:r>
          </w:p>
        </w:tc>
        <w:tc>
          <w:tcPr>
            <w:tcW w:w="12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(321,030)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653,854</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long-term borrowings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6"/>
              </w:rPr>
              <w:t>(347,718)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(406,786)</w:t>
            </w:r>
          </w:p>
        </w:tc>
        <w:tc>
          <w:tcPr>
            <w:tcW w:w="26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preferred dividends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(10,891)</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ind w:left="420"/>
              <w:spacing w:after="0" w:line="149" w:lineRule="exact"/>
              <w:rPr>
                <w:sz w:val="20"/>
                <w:szCs w:val="20"/>
                <w:color w:val="auto"/>
              </w:rPr>
            </w:pPr>
            <w:r>
              <w:rPr>
                <w:rFonts w:ascii="Arial" w:cs="Arial" w:eastAsia="Arial" w:hAnsi="Arial"/>
                <w:sz w:val="14"/>
                <w:szCs w:val="14"/>
                <w:color w:val="auto"/>
              </w:rPr>
              <w:t>Debt issuance costs paid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(22,020)</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(5,615)</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(22,476)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22,476</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(411,221)</w:t>
            </w:r>
          </w:p>
        </w:tc>
        <w:tc>
          <w:tcPr>
            <w:tcW w:w="260" w:type="dxa"/>
            <w:vAlign w:val="bottom"/>
          </w:tcPr>
          <w:p>
            <w:pPr>
              <w:spacing w:after="0"/>
              <w:rPr>
                <w:sz w:val="13"/>
                <w:szCs w:val="13"/>
                <w:color w:val="auto"/>
              </w:rPr>
            </w:pPr>
          </w:p>
        </w:tc>
        <w:tc>
          <w:tcPr>
            <w:tcW w:w="92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w w:val="90"/>
              </w:rPr>
              <w:t>415,109</w:t>
            </w:r>
          </w:p>
        </w:tc>
        <w:tc>
          <w:tcPr>
            <w:tcW w:w="120" w:type="dxa"/>
            <w:vAlign w:val="bottom"/>
          </w:tcPr>
          <w:p>
            <w:pPr>
              <w:spacing w:after="0"/>
              <w:rPr>
                <w:sz w:val="13"/>
                <w:szCs w:val="13"/>
                <w:color w:val="auto"/>
              </w:rPr>
            </w:pPr>
          </w:p>
        </w:tc>
        <w:tc>
          <w:tcPr>
            <w:tcW w:w="9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514,458</w:t>
            </w: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424,929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(933,278)</w:t>
            </w:r>
          </w:p>
        </w:tc>
        <w:tc>
          <w:tcPr>
            <w:tcW w:w="1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2,566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7,624</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(127,597)</w:t>
            </w:r>
          </w:p>
        </w:tc>
        <w:tc>
          <w:tcPr>
            <w:tcW w:w="260" w:type="dxa"/>
            <w:vAlign w:val="bottom"/>
          </w:tcPr>
          <w:p>
            <w:pPr>
              <w:spacing w:after="0"/>
              <w:rPr>
                <w:sz w:val="13"/>
                <w:szCs w:val="13"/>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(10,443)</w:t>
            </w:r>
          </w:p>
        </w:tc>
        <w:tc>
          <w:tcPr>
            <w:tcW w:w="120" w:type="dxa"/>
            <w:vAlign w:val="bottom"/>
          </w:tcPr>
          <w:p>
            <w:pPr>
              <w:spacing w:after="0"/>
              <w:rPr>
                <w:sz w:val="13"/>
                <w:szCs w:val="13"/>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29,662</w:t>
            </w:r>
          </w:p>
        </w:tc>
        <w:tc>
          <w:tcPr>
            <w:tcW w:w="14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(380,106)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3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Beginning of the period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129,983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13,644</w:t>
            </w: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403,244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546,880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24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3,201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29,671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2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 Management necessarily applies its judgment in evaluating the cost-benefit relationship of possible controls and procedures.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Our internal control over financial reporting is designed to provide reasonable assurance regarding the reliability of our financial reporting and preparation of financial statements for external purposes in accordance with generally accepted accounting principles. Because of its inherent limitations, internal control over financial reporting may not prevent or detect misstatements.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a Material Definitive Agreement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26, 2007, the Company entered into the Sixth Amendment to Credit Agreement, dated as of March 26, 2007 (the “Sixth Amendment”), with MagnaChip Semiconductor S.A. and MagnaChip Semiconductor Finance Company, as borrowers, the Subsidiary Guarantors party thereto, the Lenders party thereto, and UBS AG, Stamford Branch, as administrative agent and collateral agent. Under the Sixth Amendment, among other things, the existing financial covenants set forth in Section 6.10 of the Credit Agreement were revised to provide that authorized but unspent capital expenditures in a calendar quarter during 2007 carry over to increase the authorized limit on capital expenditures in successive calendar quarters.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Material Definitive Agreement; Departure of an Officer</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23, 2007, Jason Hartlove resigned from his position as our Senior Vice President and General Manager, Imaging Solutions Division, effective March 9, 2007, and terminated that certain Service Agreement dated as of May 16, 2005, by and between Mr. Hartlove and MagnaChip Semiconductor, Ltd., a subsidiary of the Company. Under the termination arrangement, Mr. Hartlove will receive a severance payment equal to seven months of his base salary of $310,000 per annum.</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80"/>
          </w:cols>
          <w:pgMar w:left="24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list of the current directors and executive officers of MagnaChip: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5480" w:type="dxa"/>
            <w:vAlign w:val="bottom"/>
          </w:tcPr>
          <w:p>
            <w:pPr>
              <w:spacing w:after="0" w:line="195" w:lineRule="exact"/>
              <w:rPr>
                <w:sz w:val="20"/>
                <w:szCs w:val="20"/>
                <w:color w:val="auto"/>
              </w:rPr>
            </w:pPr>
            <w:r>
              <w:rPr>
                <w:rFonts w:ascii="Arial" w:cs="Arial" w:eastAsia="Arial" w:hAnsi="Arial"/>
                <w:sz w:val="18"/>
                <w:szCs w:val="18"/>
                <w:color w:val="auto"/>
              </w:rPr>
              <w:t>Sang Park</w:t>
            </w:r>
          </w:p>
        </w:tc>
        <w:tc>
          <w:tcPr>
            <w:tcW w:w="220" w:type="dxa"/>
            <w:vAlign w:val="bottom"/>
          </w:tcPr>
          <w:p>
            <w:pPr>
              <w:spacing w:after="0"/>
              <w:rPr>
                <w:sz w:val="16"/>
                <w:szCs w:val="16"/>
                <w:color w:val="auto"/>
              </w:rPr>
            </w:pPr>
          </w:p>
        </w:tc>
        <w:tc>
          <w:tcPr>
            <w:tcW w:w="260" w:type="dxa"/>
            <w:vAlign w:val="bottom"/>
          </w:tcPr>
          <w:p>
            <w:pPr>
              <w:jc w:val="right"/>
              <w:ind w:right="25"/>
              <w:spacing w:after="0"/>
              <w:rPr>
                <w:sz w:val="20"/>
                <w:szCs w:val="20"/>
                <w:color w:val="auto"/>
              </w:rPr>
            </w:pPr>
            <w:r>
              <w:rPr>
                <w:rFonts w:ascii="Arial" w:cs="Arial" w:eastAsia="Arial" w:hAnsi="Arial"/>
                <w:sz w:val="16"/>
                <w:szCs w:val="16"/>
                <w:color w:val="auto"/>
                <w:w w:val="78"/>
              </w:rPr>
              <w:t>59</w:t>
            </w:r>
          </w:p>
        </w:tc>
        <w:tc>
          <w:tcPr>
            <w:tcW w:w="22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Robert J. Krakauer</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Chief Financial Officer and Director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Tae Young Hwang</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0"/>
              </w:rPr>
              <w:t>Executive Vice President, Manufacturing Division, and General Manager</w:t>
            </w:r>
          </w:p>
        </w:tc>
      </w:tr>
      <w:tr>
        <w:trPr>
          <w:trHeight w:val="216"/>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of Large Display Solutions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Chan Hee Lee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General Manager, Semiconductor</w:t>
            </w:r>
          </w:p>
        </w:tc>
      </w:tr>
      <w:tr>
        <w:trPr>
          <w:trHeight w:val="216"/>
        </w:trPr>
        <w:tc>
          <w:tcPr>
            <w:tcW w:w="5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Manufacturing Services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John McFarland</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Victoria Miller Nam</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Strategic Operations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Brent Rowe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of Worldwide Sales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Margaret Sakai</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Jerry M. Baker</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Dipanjan Deb</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Armando Geday</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Roy Kuan</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 Douglas Norby</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Phokion Potamianos</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Paul C. Schorr IV</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David F. Thomas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i w:val="1"/>
          <w:iCs w:val="1"/>
          <w:color w:val="auto"/>
        </w:rPr>
        <w:t xml:space="preserve">Sang Park, Chairman of the Board of Directors and Chief Executive Officer. </w:t>
      </w:r>
      <w:r>
        <w:rPr>
          <w:rFonts w:ascii="Arial" w:cs="Arial" w:eastAsia="Arial" w:hAnsi="Arial"/>
          <w:sz w:val="16"/>
          <w:szCs w:val="16"/>
          <w:color w:val="auto"/>
        </w:rPr>
        <w:t>Mr. Park became our Chairman of the Board of Directors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on January 1, 2007, after serving as President, Chief Executive Officer and Director since May 2006. Mr. Park has served as an executive fellow for iSuppli Corporation since January 2005. Prior to joining iSuppli, he was founder and president of SP Associates from September 2003 to December 2004.</w:t>
      </w:r>
    </w:p>
    <w:p>
      <w:pPr>
        <w:spacing w:after="0" w:line="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Mr. Park served Hynix Semiconductor Inc. as Chief Executive Officer from May 2002 to March 2003 and Chief Operating Officer and President of the Semiconductor Division from July 1999 to April 2002.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Robert J. Krakauer, President, Chief Financial Officer and Director. </w:t>
      </w:r>
      <w:r>
        <w:rPr>
          <w:rFonts w:ascii="Arial" w:cs="Arial" w:eastAsia="Arial" w:hAnsi="Arial"/>
          <w:sz w:val="16"/>
          <w:szCs w:val="16"/>
          <w:color w:val="auto"/>
        </w:rPr>
        <w:t>Mr. Krakauer became our President, Chief Financial Officer, and Director in January</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2007. In addition, Mr. Krakauer took on duties as General Manager, Imaging Solutions Division, in March 2007. He had previously served as our Executive Vice President of Strategic Operations, Chief Financial Officer and Director from October 2004. From 2003 to 2004, Mr. Krakauer served as Executive Vice President of Corporate Operations and Chief Financial Officer for ChipPAC, Ltd. (now STATS ChipPAC, Ltd.),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 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Tae Young Hwang, Executive Vice President, Manufacturing Division, and General Manager of Large Display Solutions. </w:t>
      </w:r>
      <w:r>
        <w:rPr>
          <w:rFonts w:ascii="Arial" w:cs="Arial" w:eastAsia="Arial" w:hAnsi="Arial"/>
          <w:sz w:val="16"/>
          <w:szCs w:val="16"/>
          <w:color w:val="auto"/>
        </w:rPr>
        <w:t>Mr. Hwang became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Manufacturing Division, and General Manager of Large Display Solutions in January 2007. He had previously served as our Executive Vice President of Manufacturing Operations from October 2004. Prior to that time, Mr. Hwang served as Hynix’s Senior Vice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President of Manufacturing Operations of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Chan Hee Lee, Executive Vice President and General Manager, Semiconductor Manufacturing Services</w:t>
      </w:r>
      <w:r>
        <w:rPr>
          <w:rFonts w:ascii="Arial" w:cs="Arial" w:eastAsia="Arial" w:hAnsi="Arial"/>
          <w:sz w:val="16"/>
          <w:szCs w:val="16"/>
          <w:color w:val="auto"/>
        </w:rPr>
        <w:t>. Mr. Lee became our Executive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Semiconductor Manufacturing Services in September 2005, after serving as Executive Vice President of Product Lines since October 2004. Previously, Mr. Lee had been employed by Hynix as Vice President and General Manager of Semiconductor Manufacturing Services and Digital Driver IC, Business Division from 1999 until September 2004. Mr. Lee holds a bachelor of science degree in electronics from Kyungbuk National University.</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John McFarland, Senior Vice President, General Counsel and Secretary</w:t>
      </w:r>
      <w:r>
        <w:rPr>
          <w:rFonts w:ascii="Arial" w:cs="Arial" w:eastAsia="Arial" w:hAnsi="Arial"/>
          <w:sz w:val="16"/>
          <w:szCs w:val="16"/>
          <w:color w:val="auto"/>
        </w:rPr>
        <w:t>. Mr. McFarland became our Senior Vice President, General Counsel and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2006, after serving as Vice President, General Counsel and Secretary since November 2004. Prior to joining our company, Mr. McFarland served as a foreign legal consultant at Bae, Kim &amp; Lee from August 2003 to November 2004 and an associate at Wilson Sonsini Goodrich &amp; Rosati, P.C., from August 2000 to July 2003.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Victoria Miller Nam, Senior Vice President, Strategic Operations</w:t>
      </w:r>
      <w:r>
        <w:rPr>
          <w:rFonts w:ascii="Arial" w:cs="Arial" w:eastAsia="Arial" w:hAnsi="Arial"/>
          <w:sz w:val="18"/>
          <w:szCs w:val="18"/>
          <w:color w:val="auto"/>
        </w:rPr>
        <w:t>. Ms. Miller Nam became our Senior Vice President, Strategic Operations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2007, after serving as Senior Vice President, Strategic Planning since October 2004. Prior to joining our company, Ms. Miller Nam worked in consulting with McKinsey &amp; Company in the Los Angeles and Seoul offices from 1994 until 2003, when she left as a Partner to found and run a consulting business from 2003 until 2004. Earlier in her career, Ms. Miller Nam worked for Kidder, Peabody &amp; Co. Incorporated, in the corporate finance department, in New York. Ms. Miller Nam holds a bachelor of arts degree, </w:t>
      </w:r>
      <w:r>
        <w:rPr>
          <w:rFonts w:ascii="Arial" w:cs="Arial" w:eastAsia="Arial" w:hAnsi="Arial"/>
          <w:sz w:val="18"/>
          <w:szCs w:val="18"/>
          <w:i w:val="1"/>
          <w:iCs w:val="1"/>
          <w:color w:val="auto"/>
        </w:rPr>
        <w:t>magna cum laude</w:t>
      </w:r>
      <w:r>
        <w:rPr>
          <w:rFonts w:ascii="Arial" w:cs="Arial" w:eastAsia="Arial" w:hAnsi="Arial"/>
          <w:sz w:val="18"/>
          <w:szCs w:val="18"/>
          <w:color w:val="auto"/>
        </w:rPr>
        <w:t>, in international relations from Brown University, where she was elected to Phi Beta Kappa, and a masters in business administration from Harvard Business School.</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Brent Rowe, Senior Vice President of Worldwide Sales</w:t>
      </w:r>
      <w:r>
        <w:rPr>
          <w:rFonts w:ascii="Arial" w:cs="Arial" w:eastAsia="Arial" w:hAnsi="Arial"/>
          <w:sz w:val="16"/>
          <w:szCs w:val="16"/>
          <w:color w:val="auto"/>
        </w:rPr>
        <w:t>. Mr. Rowe became our Senior Vice President for Global Sales in April 2006. Prior to joining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Mr. Rowe served at Fairchild Semiconductor International, Inc. as Vice President of Americas Sales and Marketing from August 2003 to October 2005, Vice President of Europe Sales and Marketing from August 2002 to August 2003, and Vice President of Japan Sales and Marketing from April 2002 to August 2003. Mr. Rowe holds a bachelor of arts degree in chemical engineering from the University of Illinois.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Margaret Sakai, Senior Vice President, Finance. </w:t>
      </w:r>
      <w:r>
        <w:rPr>
          <w:rFonts w:ascii="Arial" w:cs="Arial" w:eastAsia="Arial" w:hAnsi="Arial"/>
          <w:sz w:val="16"/>
          <w:szCs w:val="16"/>
          <w:color w:val="auto"/>
        </w:rPr>
        <w:t>Ms. Sakai became our Senior Vice President, Finance, on November 1, 2006. Prior to joining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she had served as Chief Financial Officer of Asia Finance, Vice President, of Photronics, Inc. since November 2003. From June 1999 to October 2003, Ms. Sakai was Executive Vice President and Chief Financial Officer of PKL Corporation. From October 1995 to May 1999, Ms. Sakai served as Director of Finance of Acqutek International Limited, a lead-frame manufacturer, and from March 1992 to September 1995, Ms. Sakai was Financial Manager at National Semiconductor Corporation. Ms. Sakai worked as an Audit Supervisor at Coopers &amp; Lybrand from January 1988 to March 1992. Ms. Sakai is a Certified Public Accountant in the State of California, and holds a bachelor’s degree in accounting from Babson College.</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Jerry M. Baker, Director. </w:t>
      </w:r>
      <w:r>
        <w:rPr>
          <w:rFonts w:ascii="Arial" w:cs="Arial" w:eastAsia="Arial" w:hAnsi="Arial"/>
          <w:sz w:val="16"/>
          <w:szCs w:val="16"/>
          <w:color w:val="auto"/>
        </w:rPr>
        <w:t>Mr. Baker has been a director since October 2004. He served as Chairman of the Board of Directors from October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2006. From 2000 until 2001, Mr. Baker served as Executive Vice President, Global Operations for Fairchild Semiconductor International, Inc. Previously, Mr. Baker had been Executive Vice President and General Manager, Discrete Power and Signal Technologies Group, since December 1996. Prior to that position, he spent more than 24 years in a variety of engineering and management positions within National Semiconductor, the most recent of which was Vice President and General Manager, Discrete Products Division.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Dipanjan Deb, Director. </w:t>
      </w:r>
      <w:r>
        <w:rPr>
          <w:rFonts w:ascii="Arial" w:cs="Arial" w:eastAsia="Arial" w:hAnsi="Arial"/>
          <w:sz w:val="16"/>
          <w:szCs w:val="16"/>
          <w:color w:val="auto"/>
        </w:rPr>
        <w:t>Mr. Deb has been a director since September 2004. He is a founder and Managing Partner of Francisco Partners and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since its 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SMART Modular Technologies, Inc., and Metrologic Instruments, Inc.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Armando Geday, Director. </w:t>
      </w:r>
      <w:r>
        <w:rPr>
          <w:rFonts w:ascii="Arial" w:cs="Arial" w:eastAsia="Arial" w:hAnsi="Arial"/>
          <w:sz w:val="16"/>
          <w:szCs w:val="16"/>
          <w:color w:val="auto"/>
        </w:rPr>
        <w:t>Mr. Geday has been a director since January 2006. He has served as Chief Executive Officer of Telesen, Inc. since January 2005.</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Telesen, Mr. Geday was Chief Executive Officer of Conexant systems from November 2003 to November 2004. From April 1997 to December 2001, Mr. Geday was President and CEO of GlobeSpan, and from December 2001 to February 2004, Mr. Geday served as the Chief Executive Officer of Globespanvirata. Earlier in his career, Mr. Geday was Vice President and General Manager of the Multimedia Communications Division of Rockwell Semiconductor Systems and held various technical marketing and engineering positions at Harris Semiconductor and MERET Inc. Mr. Geday holds a bachelor of science degree in electrical engineering from the Florida Institute of Technology.</w:t>
      </w:r>
    </w:p>
    <w:p>
      <w:pPr>
        <w:spacing w:after="0" w:line="12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i w:val="1"/>
          <w:iCs w:val="1"/>
          <w:color w:val="auto"/>
        </w:rPr>
        <w:t xml:space="preserve">Roy Kuan, Director. </w:t>
      </w:r>
      <w:r>
        <w:rPr>
          <w:rFonts w:ascii="Arial" w:cs="Arial" w:eastAsia="Arial" w:hAnsi="Arial"/>
          <w:sz w:val="18"/>
          <w:szCs w:val="18"/>
          <w:color w:val="auto"/>
        </w:rPr>
        <w:t>Mr. Kuan has been a director since September 2004. He serves as Managing Director of CVC Asia Pacific Limited, where he has</w:t>
      </w:r>
      <w:r>
        <w:rPr>
          <w:rFonts w:ascii="Arial" w:cs="Arial" w:eastAsia="Arial" w:hAnsi="Arial"/>
          <w:sz w:val="18"/>
          <w:szCs w:val="18"/>
          <w:i w:val="1"/>
          <w:iCs w:val="1"/>
          <w:color w:val="auto"/>
        </w:rPr>
        <w:t xml:space="preserve"> </w:t>
      </w:r>
      <w:r>
        <w:rPr>
          <w:rFonts w:ascii="Arial" w:cs="Arial" w:eastAsia="Arial" w:hAnsi="Arial"/>
          <w:sz w:val="18"/>
          <w:szCs w:val="18"/>
          <w:color w:val="auto"/>
        </w:rPr>
        <w:t>worked since 1999. Prior to that Mr. Kuan worked at Citicorp’s Asia private equity unit from 1996 until 1999. Mr. Kuan holds a bachelor of arts degree in economics from Georgetown University and a masters in business administration with a finance concentration from the Wharton School at the University of Pennsylvania.</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 Douglas Norby, Director and Chairman of the Audit Committee. </w:t>
      </w:r>
      <w:r>
        <w:rPr>
          <w:rFonts w:ascii="Arial" w:cs="Arial" w:eastAsia="Arial" w:hAnsi="Arial"/>
          <w:sz w:val="16"/>
          <w:szCs w:val="16"/>
          <w:color w:val="auto"/>
        </w:rPr>
        <w:t>Mr. Norby has been a director and the Chairperson of the Audit Committee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since May 2006. Mr. Norby served as Senior Vice President and Chief Financial Officer of Tessera Technologies, Inc. from July 2003 to January 2006. He worked as a management consultant with Tessera from May 2003 until July 2003, and was a private investor from March 2003 until May 2003. He served as Vice President and Chief Financial Officer of Zambeel, Inc., a data storage systems company, from March 2002 until February 2003, and as Chief Financial Officer of Novalux, Inc., an optoelectronics company, from December 2000 to March 2002. Prior to his tenure with Novalux, Inc., Mr. Norby served as Executive Vice President and Chief Financial Officer of LSI Logic Corporation from November 1996 to November 2000. Mr. Norby is a director of LSI Logic Corporation, Alexion Pharmaceuticals, Inc., and STATS ChipPAC Ltd. He received his bachelor of arts degree in Economics from Harvard University and a masters in business administration from Harvard Business School.</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Phokion Potamianos, Director. </w:t>
      </w:r>
      <w:r>
        <w:rPr>
          <w:rFonts w:ascii="Arial" w:cs="Arial" w:eastAsia="Arial" w:hAnsi="Arial"/>
          <w:sz w:val="18"/>
          <w:szCs w:val="18"/>
          <w:color w:val="auto"/>
        </w:rPr>
        <w:t>Mr. Potamianos has been a director since March 2005. He has been a Principal with Francisco Partners since March 2005.</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Francisco Partners, Mr. Potamianos was the head of the UBS global semiconductor investment banking group, and a member of Donaldson Lufkin &amp; Jenrette’s investment banking group. Earlier in his career, Mr. Potamianos was an Institutional Investor ranked research analyst at Donaldson, Lufkin &amp; Jenrette. Mr. Potamianos holds a B.A. from American University and received his Masters of Science (Economics) from the London School of Economics and Political Science.</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Paul C. Schorr IV, Director. </w:t>
      </w:r>
      <w:r>
        <w:rPr>
          <w:rFonts w:ascii="Arial" w:cs="Arial" w:eastAsia="Arial" w:hAnsi="Arial"/>
          <w:sz w:val="16"/>
          <w:szCs w:val="16"/>
          <w:color w:val="auto"/>
        </w:rPr>
        <w:t>Mr. Schorr has been a director since September 2004. He has been a Senior Managing Director at Blackstone Group since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2005. Prior to that, he was a Managing Partner of CVC from December 2001. Mr. Schorr joined CVC in 1996, after working as an Engagement Manager with McKinsey &amp; Company, Inc. Mr. Schorr received his B.S.F.S.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from Georgetown University’s School of Foreign Service and his masters in business administration with distinction from Harvard Business School. He is also a director of AMI Semiconductor Inc.</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David F. Thomas, Director. </w:t>
      </w:r>
      <w:r>
        <w:rPr>
          <w:rFonts w:ascii="Arial" w:cs="Arial" w:eastAsia="Arial" w:hAnsi="Arial"/>
          <w:sz w:val="18"/>
          <w:szCs w:val="18"/>
          <w:color w:val="auto"/>
        </w:rPr>
        <w:t>Mr. Thomas has been a director since October 2004. Mr. Thomas is the Managing Partner of Court Square Capital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(formerly known as Citigroup Venture Capital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Partners, L.P.). He joined Court Square in 1980. Previously, he held various positions with Citibank’s Transportation Finance and Acquisition Finance Groups. Prior to joining Citibank, Mr. Thomas was a certified public accountant with Arthur Andersen &amp; Co. Mr. Thomas received degrees in finance and accounting from the University of Akron. He is a director of Network Communications,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securityholders’ agreement among CVC, Francisco Partners, CVC Asia Pacific and the other securityholders of MagnaChip provides that our Board of Directors will consist of eight members, including two designees of CVC, two designees of Francisco Partners, one designee of CVC Asia Pacific, the Chief Executive Officer, the Chief Financial Officer and one additional member jointly designated by CVC and Francisco Partners, provided that the unitholders are permitted to elect additional directors designated as set forth in the securityholders’ agreement. These rights of designation will expire when the initial ownership of these equity sponsors falls below defined ownership thresholds. Pursuant to the securityholders’ agreement, our Board of Directors may not take certain significant actions without the approval of each of CVC and Francisco Partners.</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Effective January 19, 2006, Armando Geday was elected to our Board of Directors to serve at the discretion of the unitholders of the Company until his successor is duly elected and qualified. Mr. Geday serves as an additional designee of Francisco Partners. Mr. Baker serves as an additional designee of CVC. Effective May 27, 2006, R. Douglas Norby was elected to our Board of Directors to serve at the discretion of the unitholders of the Company until his successor is duly elected and qualified. Mr. Norby serves as a joint designee of CVC and Francisco Partners, meaning that our Board of Directors consists of ten members as of the filing date of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adopted a Code of Business Conduct and Ethics that applies to all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audit committee is comprised of Chairperson R. Douglas Norby and directors Phokion Potamianos and Paul Schorr IV. Our Board of Directors has determined that R. Douglas Norby is an audit committee financial expert as defined in Item 407(d)(5) of Regulation S-K promulgated under the Securities Act of 1933, as amended, is an “independent director” as that term is defined in Rule 4200 of the Rules of The NASDAQ Stock Market LLC (the “NASDAQ Rules”) and is “independent” as that term is defined in both Rule 4350(d) of the NASDAQ Rules and Rule 10A-3 promulgated under the Securities Exchange Act of 1934, as amended.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Objectives</w:t>
      </w:r>
      <w:r>
        <w:rPr>
          <w:rFonts w:ascii="Arial" w:cs="Arial" w:eastAsia="Arial" w:hAnsi="Arial"/>
          <w:sz w:val="18"/>
          <w:szCs w:val="18"/>
          <w:color w:val="auto"/>
        </w:rPr>
        <w:t>. The Compensation Committee (for purposes of this section, the “Committee”) of our Board has overall responsibility for evaluating, approving,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monitoring our executive officer and director compensation plans, policies and programs, as well as all equity-based compensation plans and policies. The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ensures that the total compensation paid to executive officers is fair, reasonable, and competitive. Throughout this Form 10-K, the individuals who served as our Chief Executive Officer and Chief Financial Officer during fiscal year 2006, as well as the other individuals included in the Summary Compensation Table within this Item 11, are referred to as the “named executive officers.”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evaluates our compensation packages to ensure that (i) we maintain our ability to attract and retain superior executives in critical positions, and (ii) compensation provided to critical executives remains competitive relative to the compensation paid to similarly situated executives of our peer companies. The Committee believes that the most effective executive compensation packages align executives’ interests with those of our unitholders by rewarding performance above specific annual, long-term, and strategic goals that are intended to improve unitholder value. These goals include, but are not limited to, achievement of financial performance targets and progress in projects that our Board of Directors anticipates will lead to future growth.</w:t>
      </w:r>
    </w:p>
    <w:p>
      <w:pPr>
        <w:spacing w:after="0" w:line="116" w:lineRule="exact"/>
        <w:rPr>
          <w:sz w:val="20"/>
          <w:szCs w:val="20"/>
          <w:color w:val="auto"/>
        </w:rPr>
      </w:pPr>
    </w:p>
    <w:p>
      <w:pPr>
        <w:ind w:right="660" w:firstLine="456"/>
        <w:spacing w:after="0" w:line="335" w:lineRule="auto"/>
        <w:rPr>
          <w:sz w:val="20"/>
          <w:szCs w:val="20"/>
          <w:color w:val="auto"/>
        </w:rPr>
      </w:pPr>
      <w:r>
        <w:rPr>
          <w:rFonts w:ascii="Arial" w:cs="Arial" w:eastAsia="Arial" w:hAnsi="Arial"/>
          <w:sz w:val="15"/>
          <w:szCs w:val="15"/>
          <w:i w:val="1"/>
          <w:iCs w:val="1"/>
          <w:color w:val="auto"/>
        </w:rPr>
        <w:t xml:space="preserve">Determination of Compensation and Role of Executive Officers. </w:t>
      </w:r>
      <w:r>
        <w:rPr>
          <w:rFonts w:ascii="Arial" w:cs="Arial" w:eastAsia="Arial" w:hAnsi="Arial"/>
          <w:sz w:val="15"/>
          <w:szCs w:val="15"/>
          <w:color w:val="auto"/>
        </w:rPr>
        <w:t>We offer compensation to our named executive officers in the form of salary, cash</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incentives, equity incentives, and perquisites. In making decisions regarding the pay of the named executive officers, the Committee looks to set a total compensation package for each officer that will retain high-quality talent and motivate executives to achieve the goals set by our Board of Directors.</w:t>
      </w:r>
    </w:p>
    <w:p>
      <w:pPr>
        <w:spacing w:after="0" w:line="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Committee annually reviews the performance of the Chief Executive Officer, and the Chief Executive Officer annually reviews the performance every other executive officer. The Chief Executive Officer presents conclusions and recommendations regarding the named executive officers, including proposed salary adjustments and incentive amounts, to the Committee, which makes the final decision regarding any adjustments or awards. The Committee’s annual determinations regarding executive compensation are subject to the terms of the respective service agreements between us and the named executive officers. In addition to the annual reviews, the Chief Executive Officer and the Committee also typically consider compensation changes upon a named executive officer’s promotion or other change in job responsibility.</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Committee approves general guidelines and plans regarding the cash compensation of all other officers and employees, but has empowered the Chief Executive Officer to make final compensation decisions within the Committee guidelines and plans. The Committee makes all equity compensation decisions for our officers and employees.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determining a compensation award, the Committee compares each element of total compensation against compensation offered by a group of peer companies in the semiconductor industry (collectively, the “Benchmark Group”). The composition of the Benchmark Group is determined annually by our Human Resources department in consultation with the Chief Executive Officer and the Committee. The Committee’s general objective is to provide a total cash compensation package, including base salary and incentive, slightly above the median total cash compensation package of the Benchmark Group. Variations to this objective may occur as dictated by the experience level of the individual and market factors.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Cash incentives comprise a significant portion of the total compensation package and are designed to reward executives for their contributions to meeting and exceeding our goals and to recognize and reward the accountability of our executives in achieving these goals. Incentives are designed as a percentage of base salary and are awarded based on individual performance and our achievement of the annual, long-term, and strategic goals set by our Board of Directors.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In addition to cash incentives, we offer equity incentives as a way to enhance the link between the creation of unitholder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incentive compensation and to give executives appropriate motivation and rewards for achieving increases in enterprise value. The Committee may grant participants restricted units, unit options, and unit appreciation rights. Although the Committee granted certain restricted units awards upon the Original Acquisition, the Committee has determined that it will only grant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restricted units in the future in exceptional cases. In granting equity awards, the Committee may establish any conditions or restrictions it deems appropriate. Grants of restricted units or unit options typically vest four years after the date of the grant, and all grants of our unit options are made at or above the fair market value of the units at the time of the grant. Vesting and exercise rights generally cease upon termination of employment. Prior to the exercise of a unit option, the holder has no rights as a unitholder with respect to the units subject to such option, including voting rights and the right to receive dividends or dividend equivalents.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unitholders and Board of Directors have delegated to the Committee the authority to grant unit option awards within a total pool of our common units available upon exercise of the unit options. The size of the option pool is based on market surveys of peer companies in a similar growth stage and on our unitholders’ determination of an appropriately-sized pool to ensure recruitment and retention of key executives and employees. Unit option award levels vary among participants based on their job grade and position. The Committee provides higher awards to those executives and employees in positions considered by the Committee to be critical. Unit option awards are not tied to base salary or cash incentive amounts.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this time, the Committee does not grant additional equity compensation to existing executives as part of the normal annual review process. However, the Committee will consider additional equity compensation in the event of a promotion or change in job responsibility. Upon the recommendation of our Board of Directors or Chief Executive Officer, the Committee will from time to time consider performance-based equity incentives. For example, in March 2006, the Committee granted certain executives, including four of the named executive officers, unit options that begin vesting only upon the earlier of the closing of the initial public offering of our common equity or the date on which the Committee determines that the unitholders of the Company as of October 6, 2004, have achieved a 2.5x return on their investment.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Perquisites and Other Benefits</w:t>
      </w:r>
      <w:r>
        <w:rPr>
          <w:rFonts w:ascii="Arial" w:cs="Arial" w:eastAsia="Arial" w:hAnsi="Arial"/>
          <w:sz w:val="16"/>
          <w:szCs w:val="16"/>
          <w:color w:val="auto"/>
        </w:rPr>
        <w:t>. We provide the named executive officers with perquisites and other personal benefits that the Committee believes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and consistent with its overall compensation program to better enable us to attract and retain superior employees for key positions. Several of our named executive officers are assigned to locations outside their home countries and therefore receive expatriate benefits. The Committee determines the level and types of expatriate benefits for the officers based on local market surveys taken by our Human Resources department. Attributed costs of the personal benefits for the named executive officers are as set forth in the Summary Compensation Table below.</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Tax and Accounting Implications. </w:t>
      </w:r>
      <w:r>
        <w:rPr>
          <w:rFonts w:ascii="Arial" w:cs="Arial" w:eastAsia="Arial" w:hAnsi="Arial"/>
          <w:sz w:val="18"/>
          <w:szCs w:val="18"/>
          <w:color w:val="auto"/>
        </w:rPr>
        <w:t>Beginning on January 1, 2006, we began accounting for unit-based payments, including our unit option program,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requirements of FASB Statement No. 123(R).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following table sets forth certain information concerning the compensation earned during the year ended December 31, 2006, of our Chief Executive Officer, of our Chief Financial Officer, of the three other most highly compensated executive officers who were executive officers on December 31, 2006, other than the Chief Executive Officer and Chief Financial Officer, and of our former President and Chief Executive Officer, who resigned as Chief Executive Officer and President effective May 27, 2006, but remained our Senior Advisor and received enough total compensation to qualify for disclosure on this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and</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2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Option</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Deferred</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All Other</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Bonus</w:t>
            </w:r>
          </w:p>
        </w:tc>
        <w:tc>
          <w:tcPr>
            <w:tcW w:w="2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Year</w:t>
            </w:r>
          </w:p>
        </w:tc>
        <w:tc>
          <w:tcPr>
            <w:tcW w:w="720" w:type="dxa"/>
            <w:vAlign w:val="bottom"/>
            <w:gridSpan w:val="2"/>
          </w:tcPr>
          <w:p>
            <w:pPr>
              <w:jc w:val="center"/>
              <w:ind w:left="212"/>
              <w:spacing w:after="0" w:line="14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440" w:type="dxa"/>
            <w:vAlign w:val="bottom"/>
          </w:tcPr>
          <w:p>
            <w:pPr>
              <w:jc w:val="right"/>
              <w:ind w:right="72"/>
              <w:spacing w:after="0" w:line="148"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212"/>
              <w:spacing w:after="0" w:line="148" w:lineRule="exact"/>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 (1)</w:t>
            </w:r>
          </w:p>
        </w:tc>
        <w:tc>
          <w:tcPr>
            <w:tcW w:w="1120" w:type="dxa"/>
            <w:vAlign w:val="bottom"/>
            <w:gridSpan w:val="2"/>
          </w:tcPr>
          <w:p>
            <w:pPr>
              <w:jc w:val="center"/>
              <w:ind w:left="212"/>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2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Earnings ($)</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2"/>
                <w:szCs w:val="12"/>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Sang Park</w:t>
            </w: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2006</w:t>
            </w:r>
          </w:p>
        </w:tc>
        <w:tc>
          <w:tcPr>
            <w:tcW w:w="2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300"/>
              <w:spacing w:after="0" w:line="138" w:lineRule="exact"/>
              <w:rPr>
                <w:sz w:val="20"/>
                <w:szCs w:val="20"/>
                <w:color w:val="auto"/>
              </w:rPr>
            </w:pPr>
            <w:r>
              <w:rPr>
                <w:rFonts w:ascii="Arial" w:cs="Arial" w:eastAsia="Arial" w:hAnsi="Arial"/>
                <w:sz w:val="14"/>
                <w:szCs w:val="14"/>
                <w:color w:val="auto"/>
                <w:w w:val="86"/>
              </w:rPr>
              <w:t>262,500</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130,000</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62,473</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321,129 (2)</w:t>
            </w:r>
          </w:p>
        </w:tc>
        <w:tc>
          <w:tcPr>
            <w:tcW w:w="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776,102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Chairman and Chief Executive Officer</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6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w w:val="83"/>
              </w:rPr>
              <w:t>2006</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375,000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80,000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387,090 (3)</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color w:val="auto"/>
                <w:w w:val="86"/>
              </w:rPr>
              <w:t>842,090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President and Chief Financial Officer</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Victoria Miller Nam</w:t>
            </w:r>
          </w:p>
        </w:tc>
        <w:tc>
          <w:tcPr>
            <w:tcW w:w="5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w w:val="83"/>
              </w:rPr>
              <w:t>2006</w:t>
            </w:r>
          </w:p>
        </w:tc>
        <w:tc>
          <w:tcPr>
            <w:tcW w:w="102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300,000</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7"/>
              </w:rPr>
              <w:t>30,000</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25,246(4)</w:t>
            </w:r>
          </w:p>
        </w:tc>
        <w:tc>
          <w:tcPr>
            <w:tcW w:w="136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96,515 (5)</w:t>
            </w:r>
          </w:p>
        </w:tc>
        <w:tc>
          <w:tcPr>
            <w:tcW w:w="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451,761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Senior Vice President, Strategic Operations</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60" w:type="dxa"/>
            <w:vAlign w:val="bottom"/>
            <w:gridSpan w:val="3"/>
          </w:tcPr>
          <w:p>
            <w:pPr>
              <w:spacing w:after="0"/>
              <w:rPr>
                <w:sz w:val="20"/>
                <w:szCs w:val="20"/>
                <w:color w:val="auto"/>
              </w:rPr>
            </w:pPr>
            <w:r>
              <w:rPr>
                <w:rFonts w:ascii="Arial" w:cs="Arial" w:eastAsia="Arial" w:hAnsi="Arial"/>
                <w:sz w:val="14"/>
                <w:szCs w:val="14"/>
                <w:color w:val="auto"/>
              </w:rPr>
              <w:t>Tae Young Hwang</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w w:val="83"/>
              </w:rPr>
              <w:t>2006</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230,539</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50,000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20,087</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4"/>
                <w:szCs w:val="14"/>
                <w:color w:val="auto"/>
              </w:rPr>
              <w:t>49,283(4)</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11,617(6)</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color w:val="auto"/>
                <w:w w:val="86"/>
              </w:rPr>
              <w:t>361,526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6"/>
              </w:rPr>
              <w:t>Executive Vice President, Manufacturing Division, and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gridSpan w:val="2"/>
          </w:tcPr>
          <w:p>
            <w:pPr>
              <w:ind w:left="420"/>
              <w:spacing w:after="0"/>
              <w:rPr>
                <w:sz w:val="20"/>
                <w:szCs w:val="20"/>
                <w:color w:val="auto"/>
              </w:rPr>
            </w:pPr>
            <w:r>
              <w:rPr>
                <w:rFonts w:ascii="Arial" w:cs="Arial" w:eastAsia="Arial" w:hAnsi="Arial"/>
                <w:sz w:val="14"/>
                <w:szCs w:val="14"/>
                <w:color w:val="auto"/>
              </w:rPr>
              <w:t>General Manager of Large Display Solutions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Chan Hee Lee</w:t>
            </w:r>
          </w:p>
        </w:tc>
        <w:tc>
          <w:tcPr>
            <w:tcW w:w="5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w w:val="83"/>
              </w:rPr>
              <w:t>2006</w:t>
            </w:r>
          </w:p>
        </w:tc>
        <w:tc>
          <w:tcPr>
            <w:tcW w:w="102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209,577</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7"/>
              </w:rPr>
              <w:t>50,000</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20,087</w:t>
            </w: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44,803(4)</w:t>
            </w:r>
          </w:p>
        </w:tc>
        <w:tc>
          <w:tcPr>
            <w:tcW w:w="136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20,272(7)</w:t>
            </w:r>
          </w:p>
        </w:tc>
        <w:tc>
          <w:tcPr>
            <w:tcW w:w="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344,739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 General Manager,</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Semiconductor Manufacturing Services</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460" w:type="dxa"/>
            <w:vAlign w:val="bottom"/>
            <w:gridSpan w:val="3"/>
          </w:tcPr>
          <w:p>
            <w:pPr>
              <w:spacing w:after="0"/>
              <w:rPr>
                <w:sz w:val="20"/>
                <w:szCs w:val="20"/>
                <w:color w:val="auto"/>
              </w:rPr>
            </w:pPr>
            <w:r>
              <w:rPr>
                <w:rFonts w:ascii="Arial" w:cs="Arial" w:eastAsia="Arial" w:hAnsi="Arial"/>
                <w:sz w:val="14"/>
                <w:szCs w:val="14"/>
                <w:color w:val="auto"/>
              </w:rPr>
              <w:t>Jason Hartlove</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w w:val="83"/>
              </w:rPr>
              <w:t>2006</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309,201</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50,000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31,898</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auto"/>
              </w:rPr>
              <w:t>35,481 (9)</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color w:val="auto"/>
                <w:w w:val="86"/>
              </w:rPr>
              <w:t>426,580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8"/>
              </w:rPr>
              <w:t>Former Senior Vice President and General Manager,</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gridSpan w:val="2"/>
          </w:tcPr>
          <w:p>
            <w:pPr>
              <w:ind w:left="420"/>
              <w:spacing w:after="0"/>
              <w:rPr>
                <w:sz w:val="20"/>
                <w:szCs w:val="20"/>
                <w:color w:val="auto"/>
              </w:rPr>
            </w:pPr>
            <w:r>
              <w:rPr>
                <w:rFonts w:ascii="Arial" w:cs="Arial" w:eastAsia="Arial" w:hAnsi="Arial"/>
                <w:sz w:val="14"/>
                <w:szCs w:val="14"/>
                <w:color w:val="auto"/>
              </w:rPr>
              <w:t>Imaging Solutions Division (8)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Youm Huh</w:t>
            </w:r>
          </w:p>
        </w:tc>
        <w:tc>
          <w:tcPr>
            <w:tcW w:w="5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w w:val="83"/>
              </w:rPr>
              <w:t>2006</w:t>
            </w:r>
          </w:p>
        </w:tc>
        <w:tc>
          <w:tcPr>
            <w:tcW w:w="102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400,000</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275,964 (11)</w:t>
            </w:r>
          </w:p>
        </w:tc>
        <w:tc>
          <w:tcPr>
            <w:tcW w:w="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675,964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Senior Advisor and former Chief Executive Officer and</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President (10)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Note: Amounts set forth in the above table that were originally paid in Korean Won have been converted into U.S. dollars at the exchange rate as of each payment date during our fiscal year ended December 31, 2006.</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amount is calculated using the dollar amount recognized for financial statement reporting purposes with respect to the fiscal year in accordance with FAS 123(R).</w:t>
      </w:r>
    </w:p>
    <w:p>
      <w:pPr>
        <w:ind w:left="340" w:right="40" w:hanging="332"/>
        <w:spacing w:after="0" w:line="258"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Park: (a) $62,872 equivalent to five months from $301,785 for prepayment of Mr. Park’s housing expenses for two years; (b) $200,000 of Mr. Park’s relocation allowance when he joined us; and (c) $20,610 for insurance premiums paid during the fiscal year 2006 for the benefit of Mr. Park; and (d) $37,647 for other personal benefits (including monthly rent for Mr. Park’s housing lease for three months, and reimbursement of the use of a car, home leave flights and living expenses).</w:t>
      </w:r>
    </w:p>
    <w:p>
      <w:pPr>
        <w:ind w:left="340" w:right="100" w:hanging="332"/>
        <w:spacing w:after="0" w:line="271"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Krakauer: (a) $176,042 equivalent to one year from $352,083 for prepayment of Mr. Krakauer’s housing expenses for two years; (b) $40,848 for reimbursement of living expenses; (c) $69,485 for reimbursement of tuition expenses for Mr. Krakauer’s children; (d) $32,405 for the amount settled between Mr. Krakauer’s receivables from us and his tax equalization payment to us for the fiscal year 2004; (e) $23,547 for insurance premiums paid during the fiscal year 2006 for the benefit of Mr. Krakauer; (f) $2,399 for tax equalization settlement from us for the fiscal year 2005; and (g) $42,364 for other personal benefits (including reimbursement of the use of a car and personal tax advisory expenses).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30"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statutory severance accrued during the fiscal year ended December 31, 2006. See the section of this Item subtitled “Further Information Regarding Summary Compensation Table and Grants of Plan-Based Awards Table” for a description of the statutory severance benefit.</w:t>
      </w:r>
    </w:p>
    <w:p>
      <w:pPr>
        <w:ind w:left="340" w:right="1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Miller Nam: (a) $22,924 for insurance premiums paid during the fiscal year 2006 for the benefit of Ms. Miller Nam;(b) $68,376 for reimbursement of tuition expenses for Ms. Miller Nam’s children; and (c) $5,215 for reimbursement of the use of a car.</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Reimbursement of the use of a car.</w:t>
      </w:r>
    </w:p>
    <w:p>
      <w:pPr>
        <w:ind w:left="340" w:hanging="332"/>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Lee: (a) $12,812 for reimbursement of the use of a car; and (b) $7,460 for reimbursement of tuition expenses for Mr. Lee’s children.</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Hartlove resigned as Senior Vice President and General Manager, Imaging Solutions Division, effective March 9, 2007.</w:t>
      </w:r>
    </w:p>
    <w:p>
      <w:pPr>
        <w:ind w:left="340" w:right="2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Hartlove: (a) $18,935 for insurance premiums paid during the fiscal year 2006 for the benefit of Mr. Hartlove; (b) $7,802 for reimbursement of personal tax advisory expenses; and (c) $8,744 for other personal benefits (including reimbursement of the use of a car, and personal legal advisory expenses).</w:t>
      </w:r>
    </w:p>
    <w:p>
      <w:pPr>
        <w:ind w:left="340" w:hanging="332"/>
        <w:spacing w:after="0" w:line="22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Dr. Huh resigned as Chief Executive Officer, President, and Director effective May 27, 2006.</w:t>
      </w:r>
    </w:p>
    <w:p>
      <w:pPr>
        <w:ind w:left="340" w:right="80" w:hanging="332"/>
        <w:spacing w:after="0" w:line="22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Dr. Huh: (a) $54,220 for insurance premiums paid during the fiscal year 2006 for the benefit of Dr. Huh; (b) $31,792 for payment for unused annual holidays of Dr. Huh during the fiscal year 2006; (c) $174,569 for the amount settled between Dr. Huh’s receivables from us and his tax equalization payment to us for the fiscal year 2004; and (d) $15,383 for other personal benefits (including reimbursement of the use of a car and tuition expenses for Dr. Huh’s children).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 Based Awards for the Fiscal Year Ended December 31, 2006</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Approval</w:t>
            </w:r>
          </w:p>
        </w:tc>
        <w:tc>
          <w:tcPr>
            <w:tcW w:w="0" w:type="dxa"/>
            <w:vAlign w:val="bottom"/>
          </w:tcPr>
          <w:p>
            <w:pPr>
              <w:spacing w:after="0"/>
              <w:rPr>
                <w:sz w:val="1"/>
                <w:szCs w:val="1"/>
                <w:color w:val="auto"/>
              </w:rPr>
            </w:pPr>
          </w:p>
        </w:tc>
      </w:tr>
      <w:tr>
        <w:trPr>
          <w:trHeight w:val="155"/>
        </w:trPr>
        <w:tc>
          <w:tcPr>
            <w:tcW w:w="23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Estimated Future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jc w:val="center"/>
              <w:ind w:left="32"/>
              <w:spacing w:after="0"/>
              <w:rPr>
                <w:sz w:val="20"/>
                <w:szCs w:val="20"/>
                <w:color w:val="auto"/>
              </w:rPr>
            </w:pPr>
            <w:r>
              <w:rPr>
                <w:rFonts w:ascii="Arial" w:cs="Arial" w:eastAsia="Arial" w:hAnsi="Arial"/>
                <w:sz w:val="14"/>
                <w:szCs w:val="14"/>
                <w:b w:val="1"/>
                <w:bCs w:val="1"/>
                <w:color w:val="auto"/>
                <w:w w:val="91"/>
              </w:rPr>
              <w:t>All 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580" w:type="dxa"/>
            <w:vAlign w:val="bottom"/>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68"/>
        </w:trPr>
        <w:tc>
          <w:tcPr>
            <w:tcW w:w="19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160" w:type="dxa"/>
            <w:vAlign w:val="bottom"/>
          </w:tcPr>
          <w:p>
            <w:pPr>
              <w:spacing w:after="0"/>
              <w:rPr>
                <w:sz w:val="5"/>
                <w:szCs w:val="5"/>
                <w:color w:val="auto"/>
              </w:rPr>
            </w:pPr>
          </w:p>
        </w:tc>
        <w:tc>
          <w:tcPr>
            <w:tcW w:w="21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Estimated Future</w:t>
            </w:r>
          </w:p>
        </w:tc>
        <w:tc>
          <w:tcPr>
            <w:tcW w:w="9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20" w:type="dxa"/>
            <w:vAlign w:val="bottom"/>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1"/>
              </w:rPr>
              <w:t>or Base</w:t>
            </w:r>
          </w:p>
        </w:tc>
        <w:tc>
          <w:tcPr>
            <w:tcW w:w="0" w:type="dxa"/>
            <w:vAlign w:val="bottom"/>
          </w:tcPr>
          <w:p>
            <w:pPr>
              <w:spacing w:after="0"/>
              <w:rPr>
                <w:sz w:val="1"/>
                <w:szCs w:val="1"/>
                <w:color w:val="auto"/>
              </w:rPr>
            </w:pPr>
          </w:p>
        </w:tc>
      </w:tr>
      <w:tr>
        <w:trPr>
          <w:trHeight w:val="68"/>
        </w:trPr>
        <w:tc>
          <w:tcPr>
            <w:tcW w:w="19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Non-Equity Incentive</w:t>
            </w:r>
          </w:p>
        </w:tc>
        <w:tc>
          <w:tcPr>
            <w:tcW w:w="160" w:type="dxa"/>
            <w:vAlign w:val="bottom"/>
          </w:tcPr>
          <w:p>
            <w:pPr>
              <w:spacing w:after="0"/>
              <w:rPr>
                <w:sz w:val="5"/>
                <w:szCs w:val="5"/>
                <w:color w:val="auto"/>
              </w:rPr>
            </w:pPr>
          </w:p>
        </w:tc>
        <w:tc>
          <w:tcPr>
            <w:tcW w:w="21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Payouts Under Equity</w:t>
            </w:r>
          </w:p>
        </w:tc>
        <w:tc>
          <w:tcPr>
            <w:tcW w:w="9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20" w:type="dxa"/>
            <w:vAlign w:val="bottom"/>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Price of</w:t>
            </w: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1340" w:type="dxa"/>
            <w:vAlign w:val="bottom"/>
            <w:gridSpan w:val="2"/>
            <w:vMerge w:val="restart"/>
          </w:tcPr>
          <w:p>
            <w:pPr>
              <w:jc w:val="center"/>
              <w:ind w:right="532"/>
              <w:spacing w:after="0"/>
              <w:rPr>
                <w:sz w:val="20"/>
                <w:szCs w:val="20"/>
                <w:color w:val="auto"/>
              </w:rPr>
            </w:pPr>
            <w:r>
              <w:rPr>
                <w:rFonts w:ascii="Arial" w:cs="Arial" w:eastAsia="Arial" w:hAnsi="Arial"/>
                <w:sz w:val="14"/>
                <w:szCs w:val="14"/>
                <w:b w:val="1"/>
                <w:bCs w:val="1"/>
                <w:color w:val="auto"/>
                <w:w w:val="88"/>
              </w:rPr>
              <w:t>Plan Awards</w:t>
            </w:r>
          </w:p>
        </w:tc>
        <w:tc>
          <w:tcPr>
            <w:tcW w:w="160" w:type="dxa"/>
            <w:vAlign w:val="bottom"/>
          </w:tcPr>
          <w:p>
            <w:pPr>
              <w:spacing w:after="0"/>
              <w:rPr>
                <w:sz w:val="5"/>
                <w:szCs w:val="5"/>
                <w:color w:val="auto"/>
              </w:rPr>
            </w:pPr>
          </w:p>
        </w:tc>
        <w:tc>
          <w:tcPr>
            <w:tcW w:w="2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Incentive Plan Awards</w:t>
            </w:r>
          </w:p>
        </w:tc>
        <w:tc>
          <w:tcPr>
            <w:tcW w:w="9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6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180" w:type="dxa"/>
            <w:vAlign w:val="bottom"/>
            <w:tcBorders>
              <w:bottom w:val="single" w:sz="8" w:color="auto"/>
            </w:tcBorders>
            <w:gridSpan w:val="3"/>
            <w:vMerge w:val="continue"/>
          </w:tcPr>
          <w:p>
            <w:pPr>
              <w:spacing w:after="0"/>
              <w:rPr>
                <w:sz w:val="9"/>
                <w:szCs w:val="9"/>
                <w:color w:val="auto"/>
              </w:rPr>
            </w:pPr>
          </w:p>
        </w:tc>
        <w:tc>
          <w:tcPr>
            <w:tcW w:w="920" w:type="dxa"/>
            <w:vAlign w:val="bottom"/>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4"/>
              </w:rPr>
              <w:t>Shares of</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80" w:type="dxa"/>
            <w:vAlign w:val="bottom"/>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Threshold</w:t>
            </w: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Target</w:t>
            </w:r>
          </w:p>
        </w:tc>
        <w:tc>
          <w:tcPr>
            <w:tcW w:w="80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92"/>
              </w:rPr>
              <w:t>Maximum</w:t>
            </w:r>
          </w:p>
        </w:tc>
        <w:tc>
          <w:tcPr>
            <w:tcW w:w="92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Stock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ind w:left="12"/>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center"/>
              <w:ind w:left="32"/>
              <w:spacing w:after="0"/>
              <w:rPr>
                <w:sz w:val="20"/>
                <w:szCs w:val="20"/>
                <w:color w:val="auto"/>
              </w:rPr>
            </w:pPr>
            <w:r>
              <w:rPr>
                <w:rFonts w:ascii="Arial" w:cs="Arial" w:eastAsia="Arial" w:hAnsi="Arial"/>
                <w:sz w:val="14"/>
                <w:szCs w:val="14"/>
                <w:b w:val="1"/>
                <w:bCs w:val="1"/>
                <w:color w:val="auto"/>
                <w:w w:val="89"/>
              </w:rPr>
              <w:t>Units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580" w:type="dxa"/>
            <w:vAlign w:val="bottom"/>
          </w:tcPr>
          <w:p>
            <w:pPr>
              <w:jc w:val="center"/>
              <w:ind w:left="52"/>
              <w:spacing w:after="0"/>
              <w:rPr>
                <w:sz w:val="20"/>
                <w:szCs w:val="20"/>
                <w:color w:val="auto"/>
              </w:rPr>
            </w:pPr>
            <w:r>
              <w:rPr>
                <w:rFonts w:ascii="Arial" w:cs="Arial" w:eastAsia="Arial" w:hAnsi="Arial"/>
                <w:sz w:val="14"/>
                <w:szCs w:val="14"/>
                <w:b w:val="1"/>
                <w:bCs w:val="1"/>
                <w:color w:val="auto"/>
                <w:w w:val="87"/>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8890</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line="264" w:lineRule="auto"/>
        <w:rPr>
          <w:sz w:val="20"/>
          <w:szCs w:val="20"/>
          <w:color w:val="auto"/>
        </w:rPr>
      </w:pPr>
      <w:r>
        <w:rPr>
          <w:rFonts w:ascii="Arial" w:cs="Arial" w:eastAsia="Arial" w:hAnsi="Arial"/>
          <w:sz w:val="12"/>
          <w:szCs w:val="12"/>
          <w:b w:val="1"/>
          <w:bCs w:val="1"/>
          <w:color w:val="auto"/>
        </w:rPr>
        <w:t>Grant Date Fair Value of Stock and Option Awards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89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3">
            <w:col w:w="3680" w:space="340"/>
            <w:col w:w="6620" w:space="200"/>
            <w:col w:w="580"/>
          </w:cols>
          <w:pgMar w:left="240" w:top="459" w:right="2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98"/>
        </w:trPr>
        <w:tc>
          <w:tcPr>
            <w:tcW w:w="1800" w:type="dxa"/>
            <w:vAlign w:val="bottom"/>
          </w:tcPr>
          <w:p>
            <w:pPr>
              <w:spacing w:after="0" w:line="98" w:lineRule="exact"/>
              <w:rPr>
                <w:sz w:val="20"/>
                <w:szCs w:val="20"/>
                <w:color w:val="auto"/>
              </w:rPr>
            </w:pPr>
            <w:r>
              <w:rPr>
                <w:rFonts w:ascii="Arial" w:cs="Arial" w:eastAsia="Arial" w:hAnsi="Arial"/>
                <w:sz w:val="11"/>
                <w:szCs w:val="11"/>
                <w:color w:val="auto"/>
              </w:rPr>
              <w:t>Sang Park</w:t>
            </w:r>
          </w:p>
        </w:tc>
        <w:tc>
          <w:tcPr>
            <w:tcW w:w="1300" w:type="dxa"/>
            <w:vAlign w:val="bottom"/>
          </w:tcPr>
          <w:p>
            <w:pPr>
              <w:jc w:val="right"/>
              <w:ind w:right="74"/>
              <w:spacing w:after="0" w:line="98" w:lineRule="exact"/>
              <w:rPr>
                <w:sz w:val="20"/>
                <w:szCs w:val="20"/>
                <w:color w:val="auto"/>
              </w:rPr>
            </w:pPr>
            <w:r>
              <w:rPr>
                <w:rFonts w:ascii="Arial" w:cs="Arial" w:eastAsia="Arial" w:hAnsi="Arial"/>
                <w:sz w:val="11"/>
                <w:szCs w:val="11"/>
                <w:color w:val="auto"/>
              </w:rPr>
              <w:t>May 27</w:t>
            </w:r>
          </w:p>
        </w:tc>
        <w:tc>
          <w:tcPr>
            <w:tcW w:w="920" w:type="dxa"/>
            <w:vAlign w:val="bottom"/>
          </w:tcPr>
          <w:p>
            <w:pPr>
              <w:ind w:left="160"/>
              <w:spacing w:after="0" w:line="98" w:lineRule="exact"/>
              <w:rPr>
                <w:sz w:val="20"/>
                <w:szCs w:val="20"/>
                <w:color w:val="auto"/>
              </w:rPr>
            </w:pPr>
            <w:r>
              <w:rPr>
                <w:rFonts w:ascii="Arial" w:cs="Arial" w:eastAsia="Arial" w:hAnsi="Arial"/>
                <w:sz w:val="11"/>
                <w:szCs w:val="11"/>
                <w:color w:val="auto"/>
              </w:rPr>
              <w:t>May 17(2)</w:t>
            </w: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right"/>
              <w:ind w:right="360"/>
              <w:spacing w:after="0" w:line="98" w:lineRule="exact"/>
              <w:rPr>
                <w:sz w:val="20"/>
                <w:szCs w:val="20"/>
                <w:color w:val="auto"/>
              </w:rPr>
            </w:pPr>
            <w:r>
              <w:rPr>
                <w:rFonts w:ascii="Arial" w:cs="Arial" w:eastAsia="Arial" w:hAnsi="Arial"/>
                <w:sz w:val="11"/>
                <w:szCs w:val="11"/>
                <w:color w:val="auto"/>
              </w:rPr>
              <w:t>800,000</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80" w:type="dxa"/>
            <w:vAlign w:val="bottom"/>
            <w:gridSpan w:val="5"/>
          </w:tcPr>
          <w:p>
            <w:pPr>
              <w:jc w:val="right"/>
              <w:spacing w:after="0" w:line="98" w:lineRule="exact"/>
              <w:rPr>
                <w:sz w:val="20"/>
                <w:szCs w:val="20"/>
                <w:color w:val="auto"/>
              </w:rPr>
            </w:pPr>
            <w:r>
              <w:rPr>
                <w:rFonts w:ascii="Arial" w:cs="Arial" w:eastAsia="Arial" w:hAnsi="Arial"/>
                <w:sz w:val="11"/>
                <w:szCs w:val="11"/>
                <w:color w:val="auto"/>
              </w:rPr>
              <w:t>1.02</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Robert J. Krakauer</w:t>
            </w:r>
          </w:p>
        </w:tc>
        <w:tc>
          <w:tcPr>
            <w:tcW w:w="1300" w:type="dxa"/>
            <w:vAlign w:val="bottom"/>
          </w:tcPr>
          <w:p>
            <w:pPr>
              <w:jc w:val="right"/>
              <w:ind w:right="74"/>
              <w:spacing w:after="0" w:line="149" w:lineRule="exact"/>
              <w:rPr>
                <w:sz w:val="20"/>
                <w:szCs w:val="20"/>
                <w:color w:val="auto"/>
              </w:rPr>
            </w:pPr>
            <w:r>
              <w:rPr>
                <w:rFonts w:ascii="Arial" w:cs="Arial" w:eastAsia="Arial" w:hAnsi="Arial"/>
                <w:sz w:val="14"/>
                <w:szCs w:val="14"/>
                <w:color w:val="auto"/>
              </w:rPr>
              <w:t>March 9</w:t>
            </w: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March 9</w:t>
            </w:r>
          </w:p>
        </w:tc>
        <w:tc>
          <w:tcPr>
            <w:tcW w:w="3680" w:type="dxa"/>
            <w:vAlign w:val="bottom"/>
            <w:gridSpan w:val="10"/>
          </w:tcPr>
          <w:p>
            <w:pPr>
              <w:jc w:val="right"/>
              <w:ind w:right="360"/>
              <w:spacing w:after="0" w:line="149" w:lineRule="exact"/>
              <w:rPr>
                <w:sz w:val="20"/>
                <w:szCs w:val="20"/>
                <w:color w:val="auto"/>
              </w:rPr>
            </w:pPr>
            <w:r>
              <w:rPr>
                <w:rFonts w:ascii="Arial" w:cs="Arial" w:eastAsia="Arial" w:hAnsi="Arial"/>
                <w:sz w:val="14"/>
                <w:szCs w:val="14"/>
                <w:color w:val="auto"/>
              </w:rPr>
              <w:t>185,000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Victoria Miller Nam</w:t>
            </w:r>
          </w:p>
        </w:tc>
        <w:tc>
          <w:tcPr>
            <w:tcW w:w="1300" w:type="dxa"/>
            <w:vAlign w:val="bottom"/>
          </w:tcPr>
          <w:p>
            <w:pPr>
              <w:jc w:val="right"/>
              <w:ind w:right="74"/>
              <w:spacing w:after="0" w:line="149" w:lineRule="exact"/>
              <w:rPr>
                <w:sz w:val="20"/>
                <w:szCs w:val="20"/>
                <w:color w:val="auto"/>
              </w:rPr>
            </w:pPr>
            <w:r>
              <w:rPr>
                <w:rFonts w:ascii="Arial" w:cs="Arial" w:eastAsia="Arial" w:hAnsi="Arial"/>
                <w:sz w:val="14"/>
                <w:szCs w:val="14"/>
                <w:color w:val="auto"/>
              </w:rPr>
              <w:t>March 9</w:t>
            </w: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March 9</w:t>
            </w:r>
          </w:p>
        </w:tc>
        <w:tc>
          <w:tcPr>
            <w:tcW w:w="3680" w:type="dxa"/>
            <w:vAlign w:val="bottom"/>
            <w:gridSpan w:val="10"/>
          </w:tcPr>
          <w:p>
            <w:pPr>
              <w:jc w:val="right"/>
              <w:ind w:right="360"/>
              <w:spacing w:after="0" w:line="149" w:lineRule="exact"/>
              <w:rPr>
                <w:sz w:val="20"/>
                <w:szCs w:val="20"/>
                <w:color w:val="auto"/>
              </w:rPr>
            </w:pPr>
            <w:r>
              <w:rPr>
                <w:rFonts w:ascii="Arial" w:cs="Arial" w:eastAsia="Arial" w:hAnsi="Arial"/>
                <w:sz w:val="14"/>
                <w:szCs w:val="14"/>
                <w:color w:val="auto"/>
              </w:rPr>
              <w:t>40,000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Tae Young Hwang</w:t>
            </w:r>
          </w:p>
        </w:tc>
        <w:tc>
          <w:tcPr>
            <w:tcW w:w="1300" w:type="dxa"/>
            <w:vAlign w:val="bottom"/>
          </w:tcPr>
          <w:p>
            <w:pPr>
              <w:jc w:val="right"/>
              <w:ind w:right="74"/>
              <w:spacing w:after="0" w:line="149" w:lineRule="exact"/>
              <w:rPr>
                <w:sz w:val="20"/>
                <w:szCs w:val="20"/>
                <w:color w:val="auto"/>
              </w:rPr>
            </w:pPr>
            <w:r>
              <w:rPr>
                <w:rFonts w:ascii="Arial" w:cs="Arial" w:eastAsia="Arial" w:hAnsi="Arial"/>
                <w:sz w:val="14"/>
                <w:szCs w:val="14"/>
                <w:color w:val="auto"/>
              </w:rPr>
              <w:t>March 9</w:t>
            </w: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March 9</w:t>
            </w:r>
          </w:p>
        </w:tc>
        <w:tc>
          <w:tcPr>
            <w:tcW w:w="3680" w:type="dxa"/>
            <w:vAlign w:val="bottom"/>
            <w:gridSpan w:val="10"/>
          </w:tcPr>
          <w:p>
            <w:pPr>
              <w:jc w:val="right"/>
              <w:ind w:right="360"/>
              <w:spacing w:after="0" w:line="149" w:lineRule="exact"/>
              <w:rPr>
                <w:sz w:val="20"/>
                <w:szCs w:val="20"/>
                <w:color w:val="auto"/>
              </w:rPr>
            </w:pPr>
            <w:r>
              <w:rPr>
                <w:rFonts w:ascii="Arial" w:cs="Arial" w:eastAsia="Arial" w:hAnsi="Arial"/>
                <w:sz w:val="14"/>
                <w:szCs w:val="14"/>
                <w:color w:val="auto"/>
              </w:rPr>
              <w:t>25,000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Chan Hee Lee</w:t>
            </w:r>
          </w:p>
        </w:tc>
        <w:tc>
          <w:tcPr>
            <w:tcW w:w="1300" w:type="dxa"/>
            <w:vAlign w:val="bottom"/>
          </w:tcPr>
          <w:p>
            <w:pPr>
              <w:jc w:val="right"/>
              <w:ind w:right="74"/>
              <w:spacing w:after="0" w:line="149" w:lineRule="exact"/>
              <w:rPr>
                <w:sz w:val="20"/>
                <w:szCs w:val="20"/>
                <w:color w:val="auto"/>
              </w:rPr>
            </w:pPr>
            <w:r>
              <w:rPr>
                <w:rFonts w:ascii="Arial" w:cs="Arial" w:eastAsia="Arial" w:hAnsi="Arial"/>
                <w:sz w:val="14"/>
                <w:szCs w:val="14"/>
                <w:color w:val="auto"/>
              </w:rPr>
              <w:t>March 9</w:t>
            </w: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March 9</w:t>
            </w:r>
          </w:p>
        </w:tc>
        <w:tc>
          <w:tcPr>
            <w:tcW w:w="3680" w:type="dxa"/>
            <w:vAlign w:val="bottom"/>
            <w:gridSpan w:val="10"/>
          </w:tcPr>
          <w:p>
            <w:pPr>
              <w:jc w:val="right"/>
              <w:ind w:right="360"/>
              <w:spacing w:after="0" w:line="149" w:lineRule="exact"/>
              <w:rPr>
                <w:sz w:val="20"/>
                <w:szCs w:val="20"/>
                <w:color w:val="auto"/>
              </w:rPr>
            </w:pPr>
            <w:r>
              <w:rPr>
                <w:rFonts w:ascii="Arial" w:cs="Arial" w:eastAsia="Arial" w:hAnsi="Arial"/>
                <w:sz w:val="14"/>
                <w:szCs w:val="14"/>
                <w:color w:val="auto"/>
              </w:rPr>
              <w:t>25,000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Jason Hartlove</w:t>
            </w:r>
          </w:p>
        </w:tc>
        <w:tc>
          <w:tcPr>
            <w:tcW w:w="1300" w:type="dxa"/>
            <w:vAlign w:val="bottom"/>
          </w:tcPr>
          <w:p>
            <w:pPr>
              <w:jc w:val="right"/>
              <w:ind w:right="74"/>
              <w:spacing w:after="0" w:line="149" w:lineRule="exact"/>
              <w:rPr>
                <w:sz w:val="20"/>
                <w:szCs w:val="20"/>
                <w:color w:val="auto"/>
              </w:rPr>
            </w:pPr>
            <w:r>
              <w:rPr>
                <w:rFonts w:ascii="Arial" w:cs="Arial" w:eastAsia="Arial" w:hAnsi="Arial"/>
                <w:sz w:val="14"/>
                <w:szCs w:val="14"/>
                <w:color w:val="auto"/>
              </w:rPr>
              <w:t>March 9</w:t>
            </w:r>
          </w:p>
        </w:tc>
        <w:tc>
          <w:tcPr>
            <w:tcW w:w="920" w:type="dxa"/>
            <w:vAlign w:val="bottom"/>
          </w:tcPr>
          <w:p>
            <w:pPr>
              <w:ind w:left="120"/>
              <w:spacing w:after="0" w:line="149" w:lineRule="exact"/>
              <w:rPr>
                <w:sz w:val="20"/>
                <w:szCs w:val="20"/>
                <w:color w:val="auto"/>
              </w:rPr>
            </w:pPr>
            <w:r>
              <w:rPr>
                <w:rFonts w:ascii="Arial" w:cs="Arial" w:eastAsia="Arial" w:hAnsi="Arial"/>
                <w:sz w:val="14"/>
                <w:szCs w:val="14"/>
                <w:color w:val="auto"/>
              </w:rPr>
              <w:t>March 9</w:t>
            </w:r>
          </w:p>
        </w:tc>
        <w:tc>
          <w:tcPr>
            <w:tcW w:w="3680" w:type="dxa"/>
            <w:vAlign w:val="bottom"/>
            <w:gridSpan w:val="10"/>
          </w:tcPr>
          <w:p>
            <w:pPr>
              <w:jc w:val="right"/>
              <w:ind w:right="200"/>
              <w:spacing w:after="0" w:line="149" w:lineRule="exact"/>
              <w:rPr>
                <w:sz w:val="20"/>
                <w:szCs w:val="20"/>
                <w:color w:val="auto"/>
              </w:rPr>
            </w:pPr>
            <w:r>
              <w:rPr>
                <w:rFonts w:ascii="Arial" w:cs="Arial" w:eastAsia="Arial" w:hAnsi="Arial"/>
                <w:sz w:val="14"/>
                <w:szCs w:val="14"/>
                <w:color w:val="auto"/>
              </w:rPr>
              <w:t>25,000(3)</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Youm Huh</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6686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color w:val="auto"/>
        </w:rPr>
        <w:t>247,862</w:t>
      </w:r>
    </w:p>
    <w:p>
      <w:pPr>
        <w:jc w:val="right"/>
        <w:spacing w:after="0"/>
        <w:rPr>
          <w:sz w:val="20"/>
          <w:szCs w:val="20"/>
          <w:color w:val="auto"/>
        </w:rPr>
      </w:pPr>
      <w:r>
        <w:rPr>
          <w:rFonts w:ascii="Arial" w:cs="Arial" w:eastAsia="Arial" w:hAnsi="Arial"/>
          <w:sz w:val="14"/>
          <w:szCs w:val="14"/>
          <w:color w:val="auto"/>
        </w:rPr>
        <w:t>40,933</w:t>
      </w:r>
    </w:p>
    <w:p>
      <w:pPr>
        <w:jc w:val="right"/>
        <w:spacing w:after="0" w:line="221" w:lineRule="auto"/>
        <w:rPr>
          <w:sz w:val="20"/>
          <w:szCs w:val="20"/>
          <w:color w:val="auto"/>
        </w:rPr>
      </w:pPr>
      <w:r>
        <w:rPr>
          <w:rFonts w:ascii="Arial" w:cs="Arial" w:eastAsia="Arial" w:hAnsi="Arial"/>
          <w:sz w:val="14"/>
          <w:szCs w:val="14"/>
          <w:color w:val="auto"/>
        </w:rPr>
        <w:t>8,850</w:t>
      </w:r>
    </w:p>
    <w:p>
      <w:pPr>
        <w:jc w:val="right"/>
        <w:spacing w:after="0" w:line="221" w:lineRule="auto"/>
        <w:rPr>
          <w:sz w:val="20"/>
          <w:szCs w:val="20"/>
          <w:color w:val="auto"/>
        </w:rPr>
      </w:pPr>
      <w:r>
        <w:rPr>
          <w:rFonts w:ascii="Arial" w:cs="Arial" w:eastAsia="Arial" w:hAnsi="Arial"/>
          <w:sz w:val="14"/>
          <w:szCs w:val="14"/>
          <w:color w:val="auto"/>
        </w:rPr>
        <w:t>5,532</w:t>
      </w:r>
    </w:p>
    <w:p>
      <w:pPr>
        <w:jc w:val="right"/>
        <w:spacing w:after="0" w:line="222" w:lineRule="auto"/>
        <w:rPr>
          <w:sz w:val="20"/>
          <w:szCs w:val="20"/>
          <w:color w:val="auto"/>
        </w:rPr>
      </w:pPr>
      <w:r>
        <w:rPr>
          <w:rFonts w:ascii="Arial" w:cs="Arial" w:eastAsia="Arial" w:hAnsi="Arial"/>
          <w:sz w:val="14"/>
          <w:szCs w:val="14"/>
          <w:color w:val="auto"/>
        </w:rPr>
        <w:t>5,532</w:t>
      </w:r>
    </w:p>
    <w:p>
      <w:pPr>
        <w:jc w:val="right"/>
        <w:spacing w:after="0"/>
        <w:rPr>
          <w:sz w:val="20"/>
          <w:szCs w:val="20"/>
          <w:color w:val="auto"/>
        </w:rPr>
      </w:pPr>
      <w:r>
        <w:rPr>
          <w:rFonts w:ascii="Arial" w:cs="Arial" w:eastAsia="Arial" w:hAnsi="Arial"/>
          <w:sz w:val="14"/>
          <w:szCs w:val="14"/>
          <w:color w:val="auto"/>
        </w:rPr>
        <w:t>5,532</w:t>
      </w:r>
    </w:p>
    <w:p>
      <w:pPr>
        <w:spacing w:after="0" w:line="515" w:lineRule="exact"/>
        <w:rPr>
          <w:sz w:val="20"/>
          <w:szCs w:val="20"/>
          <w:color w:val="auto"/>
        </w:rPr>
      </w:pPr>
    </w:p>
    <w:p>
      <w:pPr>
        <w:sectPr>
          <w:pgSz w:w="11900" w:h="16838" w:orient="portrait"/>
          <w:cols w:equalWidth="0" w:num="2">
            <w:col w:w="10660" w:space="320"/>
            <w:col w:w="440"/>
          </w:cols>
          <w:pgMar w:left="240" w:top="459" w:right="239" w:bottom="1440" w:gutter="0" w:footer="0" w:header="0"/>
          <w:type w:val="continuous"/>
        </w:sectPr>
      </w:pPr>
    </w:p>
    <w:p>
      <w:pPr>
        <w:ind w:left="340" w:right="30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describe the option award calculation method under to SFAS No. 123(R) in “Item 8. Financial Statements and Supplementary Data—Notes to Consolidated Financial Statements – Note 13. Equity Incentive Plan.”</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Although our Board approved the option grant to Mr. Park on May 17, 2006, the option grant was not effective until the start date of Mr. Park’s employment on May 27, 2006.</w:t>
      </w: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Mr. Hartlove resigned as Senior Vice President and General Manager, Imaging Solutions Division, effective March 9, 2007. The reported equity award terminated unvested upon his resignation date.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Further Information Regarding Summary Compensation Table and Grants of Plan-Based Awards Table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we discuss above in the “Compensation Disclosure and Analysis” subsection, our Board of Directors sets total cash compensation packages slightly above the median total cash compensation of the Benchmark Group, and sets equity awards in accordance with peer companies in a similar growth stage. Equity awards are not tied to base salary or cash incentive amounts, and will constitute lesser or greater proportions of total compensation depending on the fair value of the awards. Mr. Park, Mr. Krakauer, and Ms. Nam were expatriates during part or all of 2006 and received expatriate benefits commensurate with market practice in their assigned location of the Republic of Korea. The base salary and incentives for these named executive officers therefore constitute a lower proportion of total compensation in comparison to Mr. Hwang and Mr. Lee, both of whom reside in their home country.</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option grant to Mr. Park is described in the paragraph below labeled “Sang Park.” The option grants to Mr. Krakauer, Mr. Hartlove, Ms. Miller Nam, Mr. Hwang, and Mr. Lee were a performance-based incentive under the MagnaChip Semiconductor LLC Equity Incentive Plan and were intended by our Board of Directors to further encourage these named executive officers to progress MagnaChip toward an initial public offering of our common equity or other return on investment for our unitholders. The Board made the grants at an exercise price above the then-fair market value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our common units. An installment of 25% of the common units subject to the options become vested and exercisable upon the earlier of: (i) the date of the first closing of a firmly underwritten public offering for any of our equity securities, and (ii) the date as designated in the sole discretion of the Committee as the date upon which our unitholders as of October 6, 2004, have achieved a 2.5x return on their investment. The remaining 75% of the common units subject to the options become vested and exercisable as to 25% of such common units on each of the first three successive annual anniversaries of the first vesting event, subject to the Grantee’s continuous employment from the grant date to each such vesting date. The options expire on the tenth anniversary of the grant date.</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Pursuant to the Labor Standards Act of Korea,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Ms. Miller Nam, Mr. Hwang, and Mr. Lee all accrue statutory severance. Prior to the Original Acquisition, Hynix attached a multiplier to the statutory severance amounts for former Hynix executives Mr. Hwang and Mr. Lee. Although our Board has determined that we will not offer a statutory severance multiplier to any executives, in the interests of fairness our Board permitted Mr. Hwang and Mr. Lee to accrue a statutory severance multiplier of 3x, i.e., triple their statutory severance, for their service from October 6, 2004 to September 20, 2006, after which the sole unitholder of our Korean subsidiary disclaimed the severance multiplier for former Hynix executives.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Other than Youm Huh and Jason Hartlove, our named executive officers are all parties to service agreements. The material terms of these agreements, and the equity compensation granted pursuant to these agreements, are as follows: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Sang Park. </w:t>
      </w:r>
      <w:r>
        <w:rPr>
          <w:rFonts w:ascii="Arial" w:cs="Arial" w:eastAsia="Arial" w:hAnsi="Arial"/>
          <w:sz w:val="16"/>
          <w:szCs w:val="16"/>
          <w:color w:val="auto"/>
        </w:rPr>
        <w:t>Sang Park serves as Chairman and Chief Executive Officer of MagnaChip with an initial base salary of $450,000 per year and with a target</w:t>
      </w:r>
      <w:r>
        <w:rPr>
          <w:rFonts w:ascii="Arial" w:cs="Arial" w:eastAsia="Arial" w:hAnsi="Arial"/>
          <w:sz w:val="16"/>
          <w:szCs w:val="16"/>
          <w:i w:val="1"/>
          <w:iCs w:val="1"/>
          <w:color w:val="auto"/>
        </w:rPr>
        <w:t xml:space="preserve"> </w:t>
      </w:r>
      <w:r>
        <w:rPr>
          <w:rFonts w:ascii="Arial" w:cs="Arial" w:eastAsia="Arial" w:hAnsi="Arial"/>
          <w:sz w:val="16"/>
          <w:szCs w:val="16"/>
          <w:color w:val="auto"/>
        </w:rPr>
        <w:t>annual incentive bonus opportunity of 100% of his base salary. Mr. Park is entitled to customary employee benefits including the cost of housing accommodations and expenses, including relocation expenses. The term of the service agreement extends for two years from May 27, 2006, with such initial term automatically extending for additional two-year periods unless written notice is given by either party prior to the termination date. In accordance with the terms of his service agreement, Mr. Park received options to purchase 800,000 common units of the Company at a price of $1.02 per unit, the then-fair market value of a common unit. Twenty-five percent of Mr. Park’s options vest on the first anniversary of his service date and an additional 6.25% of the options vest at the end of each three month period thereafter on the same day of the month as the grant date or, if earlier, the last day of such month. If Mr. Park’s employment is terminated without cause or if he resigns for good reason, Mr. Park is entitled to receive payment of all salary and benefits accrued up to the date of termination, payment of his base salary for twelve months and annual incentive bonus for the year in which the termination occurs, twelve months’ accelerated vesting on outstanding equity awards, and continued participation in our benefit plans for twelve months. If such termination occurs in connection with a change in control, Mr. Park is entitled to receive payment of all salary and benefits accrued up to the date of termination, payment of his base salary for two years and annual incentive bonus for the year in which the termination occurs, two years’ accelerated vesting on outstanding equity awards, and continued participation in our benefit plans for two years. In the event of his termination as a result of death or disability, Mr. Park (or his beneficiaries) will be entitled to receive payment of all salary and benefits accrued up to the date of termination and a prorated portion of the annual incentive bonus for the year in which the termination occurs. If Mr. Park’s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and non-solicitation covenants lasting two and three years, respectively, from the date of termination of employment and confidentiality covenants of unlimited duration.</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Robert Krakauer. </w:t>
      </w:r>
      <w:r>
        <w:rPr>
          <w:rFonts w:ascii="Arial" w:cs="Arial" w:eastAsia="Arial" w:hAnsi="Arial"/>
          <w:sz w:val="18"/>
          <w:szCs w:val="18"/>
          <w:color w:val="auto"/>
        </w:rPr>
        <w:t>Mr. Krakauer serves as President and Chief Financial Officer of MagnaChip with an initial base salary of $375,000 per year and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incentive bonus opportunity of 100% of his base salary. Mr. Krakauer is entitled to customary employee benefits and, for so long as his place of business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located in Korea, expatriate/repatriation benefits, including relocation expenses, tax equalization payments, cost of housing accommodations and expenses. The term of the service agreement extends for three years from October 6, 2004, with such initial term automatically extending for additional one-year periods unless written notice is given by either party prior to the termination date. In accordance with the terms of his service agreement, Mr. Krakauer was granted 682,247 immediately exercisable options for restricted common units of MagnaChip at a price of $1.00 per unit. Mr. Krakauer exercised his options on November 30, 2004. Under his restricted unit subscription agreement, restrictions on the units lapse as to 25% of the units on September 30, 2005 and as to 6.25% of the units on the last day of each calendar quarter thereafter, subject to his continuous employment with MagnaChip. The restrictions lapse as to all restricted units held by Mr. Krakauer upon a change in control after which Mr. Krakauer no longer serves as the Chief Financial Officer of MagnaChip. The restricted unit subscription agreements provide that the units are nontransferable and shall be subject to forfeiture upon termination of his employment. Upon termination, MagnaChip may repurchase any units for which the restrictions have not lapsed for $1.00, if termination is for cause (as defined in the agreement), or for fair market value, if termination is for any other reason. Mr. Krakauer has the right to vote the restricted units and to receive cash dividends, provided that dividends payable in units or other securities shall have the same status as restricted units. In connection with the exercise, Mr. Krakauer was entitled to a bonus of $677,293 to pay the exercise price of a portion of the options and an additional payment of $380,977 to cover U.S. federal income tax withholding related to such bonus. If</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Mr. Krakauer’s employment is terminated without cause or if he resigns for good reason, Mr. Krakauer is entitled to receive his base salary for twelve months, payment of a prorated portion of the annual incentive bonus for the year in which the termination occurs and continued participation in our benefit plans for twelve months.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w:t>
      </w:r>
    </w:p>
    <w:p>
      <w:pPr>
        <w:spacing w:after="0" w:line="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Krakauer’s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Victoria Miller Nam</w:t>
      </w:r>
      <w:r>
        <w:rPr>
          <w:rFonts w:ascii="Arial" w:cs="Arial" w:eastAsia="Arial" w:hAnsi="Arial"/>
          <w:sz w:val="16"/>
          <w:szCs w:val="16"/>
          <w:color w:val="auto"/>
        </w:rPr>
        <w:t>. Ms. Miller Nam serves as the Senior Vice President of Strategic Planning of MagnaChip with an initial base salary of $300,000 per</w:t>
      </w:r>
      <w:r>
        <w:rPr>
          <w:rFonts w:ascii="Arial" w:cs="Arial" w:eastAsia="Arial" w:hAnsi="Arial"/>
          <w:sz w:val="16"/>
          <w:szCs w:val="16"/>
          <w:i w:val="1"/>
          <w:iCs w:val="1"/>
          <w:color w:val="auto"/>
        </w:rPr>
        <w:t xml:space="preserve"> </w:t>
      </w:r>
      <w:r>
        <w:rPr>
          <w:rFonts w:ascii="Arial" w:cs="Arial" w:eastAsia="Arial" w:hAnsi="Arial"/>
          <w:sz w:val="16"/>
          <w:szCs w:val="16"/>
          <w:color w:val="auto"/>
        </w:rPr>
        <w:t>year and with a target annual incentive bonus opportunity of 75% of her base salary. Ms. Miller Nam is entitled to customary employee benefits. The term of the service agreement extends for three years from December 29, 2004, with such initial term automatically extending for additional one-year periods absent prior written notice given by either party. Ms. Miller Nam was granted 136,450 immediately exercisable options for restricted common units of MagnaChip at a price of $1.00 per unit. Ms. Miller Nam exercised her options on November 30, 2004. Under her restricted unit subscription agreement, restrictions on the units lapse as to 25% of the units on September 30, 2005 and as to 6.25% of the units on the last day of each calendar quarter thereafter, subject to her continuous employment with MagnaChip. The restricted unit subscription agreements provide that the units are nontransferable and shall be subject to forfeiture upon termination of the officer’s employment. Upon termination, MagnaChip may repurchase any units for which the restrictions have not lapsed for $1.00, if termination is for cause (as defined in the agreement), or for fair market value, if termination is for any other reason. Ms. Miller Nam has the right to vote the restricted units and to receive cash dividends, provided that dividends payable in units or other securities shall have the same status as restricted units. If Ms. Miller Nam’s service is terminated without cause or if she resigns for good reason, Ms. Miller Nam will be entitled to receive her base salary for six months, payment of the annual incentive bonus in a prorated amount based on the number of days she was actually employed by us, continued participation in our benefit plans for six months, each of the foregoing net of any statutory severance accrued and payable,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All severance payable pursuant to Ms. Miller Nam’s service agreement will be offset by any accrued statutory severance. The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Chan Hee Lee. </w:t>
      </w:r>
      <w:r>
        <w:rPr>
          <w:rFonts w:ascii="Arial" w:cs="Arial" w:eastAsia="Arial" w:hAnsi="Arial"/>
          <w:sz w:val="16"/>
          <w:szCs w:val="16"/>
          <w:color w:val="auto"/>
        </w:rPr>
        <w:t>Mr. Lee serves as Executive Vice President and General Manager, Semiconductor Manufacturing Services of MagnaChip with an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of 200,000,000 Korean won per year (approximately $209,600) and with a target annual incentive bonus opportunity of 80% of his base salary and rewards opportunities based on his performance. Mr. Lee is also entitled to customary employee benefits. The initial term of Mr. Lee’s service agreement was October 1, 2004, to September 30, 2005, with the initial term automatically extending for additional one-year periods absent prior written notice by either party. In accordance with the terms of his service agreement, Mr. Lee received options to purchase 272,899 common units of MagnaChip at a price of $1.00 per unit. Twenty-five percent of Mr. Lee’s options vest on the first anniversary of his service date and an additional 6.25% of the options vest on the last day of each calendar quarter thereafter. Upon termination of Mr. Lee’s employment for any reason, Mr. Lee is entitled to receive payment of all salary and benefits accrued up to the date of termination and a severance payment calculated as follows: statutory severance multiplied by three for service from the Original Acquisition to September 20, 2006, plus statutory severance with no multiplier for service after September 20, 2006. Mr. Lee’s agreement contains customary service invention assignment provisions, customary non-competition covenants lasting a year from the date of termination of employment, and confidentiality covenants of unlimited duration.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Tae Young Hwang. </w:t>
      </w:r>
      <w:r>
        <w:rPr>
          <w:rFonts w:ascii="Arial" w:cs="Arial" w:eastAsia="Arial" w:hAnsi="Arial"/>
          <w:sz w:val="16"/>
          <w:szCs w:val="16"/>
          <w:color w:val="auto"/>
        </w:rPr>
        <w:t>Mr. Hwang serves as Executive Vice President, Manufacturing Division, and General Manager of Large Display Solutions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MagnaChip with an initial base salary of 220,000,000 Korean won per year (approximately $230,500) and with a target annual incentive bonus opportunity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 of his base salary and rewards opportunities based on his performance. Mr. Hwang is also entitled to customary employee benefits. The initial term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Hwang’s service agreement was October 1, 2004 to September 30, 2005, with the initial term automatically extending for additional one-year periods absent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written notice by either party. In accordance with the terms of his service agreement, Mr. Hwang received options to purchase 272,899 common units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MagnaChip at a price of $1.00 per unit. Twenty-five percent of Mr. Hwang’s options vest on the first anniversary of his service date and an additional 6.25%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options vest on the last day of each calendar quarter thereafter. Upon termination of Mr. Hwang’s employment for any reason, Mr. Hwang is entitled to receive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payment of all salary and benefits accrued up to the date of termination and a severance payment calculated as follows: statutory severance multiplied by three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service from the Original Acquisition to September 20, 2006, plus statutory severance with no multiplier for service after September 20, 2006. Mr. Hwang’s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contains customary service invention assignment provisions, customary non-competition covenants lasting a year from the date of termination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employment, and confidentiality covenants of unlimited duration.</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Prior to their respective resignations, Youm Huh and Jason Hartlove were parties to service agreements. Both received compensation packages similar our current executive officers in comparable positions, including similar base salaries, target incentives, and expatriate benefits. As our first Chief Executive Officer, Dr. Huh additionally received a grant of immediately exercisable options to purchase restricted common units of MagnaChip, while Mr. Hartlove received two grants of options to purchase our common units.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2006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Market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Value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Plan</w:t>
            </w:r>
          </w:p>
        </w:tc>
        <w:tc>
          <w:tcPr>
            <w:tcW w:w="2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Incentive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Plan</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8"/>
              </w:rPr>
              <w:t>Number of</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124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Shares or</w:t>
            </w: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60" w:type="dxa"/>
            <w:vAlign w:val="bottom"/>
          </w:tcPr>
          <w:p>
            <w:pPr>
              <w:spacing w:after="0"/>
              <w:rPr>
                <w:sz w:val="12"/>
                <w:szCs w:val="12"/>
                <w:color w:val="auto"/>
              </w:rPr>
            </w:pP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Units That</w:t>
            </w: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Have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60" w:type="dxa"/>
            <w:vAlign w:val="bottom"/>
          </w:tcPr>
          <w:p>
            <w:pPr>
              <w:spacing w:after="0"/>
              <w:rPr>
                <w:sz w:val="12"/>
                <w:szCs w:val="12"/>
                <w:color w:val="auto"/>
              </w:rPr>
            </w:pP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9"/>
              </w:rPr>
              <w:t>Options (#)</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Unearned</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Have Not</w:t>
            </w: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260" w:type="dxa"/>
            <w:vAlign w:val="bottom"/>
          </w:tcPr>
          <w:p>
            <w:pPr>
              <w:spacing w:after="0"/>
              <w:rPr>
                <w:sz w:val="12"/>
                <w:szCs w:val="12"/>
                <w:color w:val="auto"/>
              </w:rPr>
            </w:pPr>
          </w:p>
        </w:tc>
        <w:tc>
          <w:tcPr>
            <w:tcW w:w="124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Options (#)</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Expiration</w:t>
            </w: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Vested</w:t>
            </w: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Vested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[column b]</w:t>
            </w:r>
          </w:p>
        </w:tc>
        <w:tc>
          <w:tcPr>
            <w:tcW w:w="260" w:type="dxa"/>
            <w:vAlign w:val="bottom"/>
          </w:tcPr>
          <w:p>
            <w:pPr>
              <w:spacing w:after="0"/>
              <w:rPr>
                <w:sz w:val="14"/>
                <w:szCs w:val="14"/>
                <w:color w:val="auto"/>
              </w:rPr>
            </w:pPr>
          </w:p>
        </w:tc>
        <w:tc>
          <w:tcPr>
            <w:tcW w:w="124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7"/>
              </w:rPr>
              <w:t>[column c]</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[column 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86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800,000(1)</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05/27/16</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00" w:type="dxa"/>
            <w:vAlign w:val="bottom"/>
            <w:gridSpan w:val="2"/>
          </w:tcPr>
          <w:p>
            <w:pPr>
              <w:spacing w:after="0"/>
              <w:rPr>
                <w:sz w:val="20"/>
                <w:szCs w:val="20"/>
                <w:color w:val="auto"/>
              </w:rPr>
            </w:pPr>
            <w:r>
              <w:rPr>
                <w:rFonts w:ascii="Arial" w:cs="Arial" w:eastAsia="Arial" w:hAnsi="Arial"/>
                <w:sz w:val="14"/>
                <w:szCs w:val="14"/>
                <w:color w:val="auto"/>
              </w:rPr>
              <w:t>Robert J. Krakauer</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185,000(2)</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1.50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03/09/16</w:t>
            </w:r>
          </w:p>
        </w:tc>
        <w:tc>
          <w:tcPr>
            <w:tcW w:w="1300" w:type="dxa"/>
            <w:vAlign w:val="bottom"/>
            <w:gridSpan w:val="3"/>
          </w:tcPr>
          <w:p>
            <w:pPr>
              <w:jc w:val="right"/>
              <w:ind w:right="280"/>
              <w:spacing w:after="0"/>
              <w:rPr>
                <w:sz w:val="20"/>
                <w:szCs w:val="20"/>
                <w:color w:val="auto"/>
              </w:rPr>
            </w:pPr>
            <w:r>
              <w:rPr>
                <w:rFonts w:ascii="Arial" w:cs="Arial" w:eastAsia="Arial" w:hAnsi="Arial"/>
                <w:sz w:val="14"/>
                <w:szCs w:val="14"/>
                <w:color w:val="auto"/>
                <w:w w:val="97"/>
              </w:rPr>
              <w:t>298,483.0625(3)</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5"/>
              </w:rPr>
              <w:t>304,453(4)</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40,000(2)</w:t>
            </w: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03/09/16</w:t>
            </w:r>
          </w:p>
        </w:tc>
        <w:tc>
          <w:tcPr>
            <w:tcW w:w="13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59,696.875(3)</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60,891(4)</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300" w:type="dxa"/>
            <w:vAlign w:val="bottom"/>
            <w:gridSpan w:val="2"/>
          </w:tcPr>
          <w:p>
            <w:pPr>
              <w:spacing w:after="0"/>
              <w:rPr>
                <w:sz w:val="20"/>
                <w:szCs w:val="20"/>
                <w:color w:val="auto"/>
              </w:rPr>
            </w:pPr>
            <w:r>
              <w:rPr>
                <w:rFonts w:ascii="Arial" w:cs="Arial" w:eastAsia="Arial" w:hAnsi="Arial"/>
                <w:sz w:val="14"/>
                <w:szCs w:val="14"/>
                <w:color w:val="auto"/>
              </w:rPr>
              <w:t>Tae Young Hwang</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153,505.6875</w:t>
            </w:r>
          </w:p>
        </w:tc>
        <w:tc>
          <w:tcPr>
            <w:tcW w:w="1500" w:type="dxa"/>
            <w:vAlign w:val="bottom"/>
            <w:gridSpan w:val="3"/>
          </w:tcPr>
          <w:p>
            <w:pPr>
              <w:jc w:val="right"/>
              <w:ind w:right="192"/>
              <w:spacing w:after="0"/>
              <w:rPr>
                <w:sz w:val="20"/>
                <w:szCs w:val="20"/>
                <w:color w:val="auto"/>
              </w:rPr>
            </w:pPr>
            <w:r>
              <w:rPr>
                <w:rFonts w:ascii="Arial" w:cs="Arial" w:eastAsia="Arial" w:hAnsi="Arial"/>
                <w:sz w:val="14"/>
                <w:szCs w:val="14"/>
                <w:color w:val="auto"/>
              </w:rPr>
              <w:t>119,393.3125(5)</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25,000(2)</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cols. b, c:</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cols. b, c:</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10/06/14</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col. d:</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col. 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1.50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03/09/16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 Hee Lee</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153,505.6875</w:t>
            </w:r>
          </w:p>
        </w:tc>
        <w:tc>
          <w:tcPr>
            <w:tcW w:w="1500" w:type="dxa"/>
            <w:vAlign w:val="bottom"/>
            <w:gridSpan w:val="3"/>
            <w:shd w:val="clear" w:color="auto" w:fill="CCEEFF"/>
          </w:tcPr>
          <w:p>
            <w:pPr>
              <w:jc w:val="right"/>
              <w:ind w:right="192"/>
              <w:spacing w:after="0" w:line="138" w:lineRule="exact"/>
              <w:rPr>
                <w:sz w:val="20"/>
                <w:szCs w:val="20"/>
                <w:color w:val="auto"/>
              </w:rPr>
            </w:pPr>
            <w:r>
              <w:rPr>
                <w:rFonts w:ascii="Arial" w:cs="Arial" w:eastAsia="Arial" w:hAnsi="Arial"/>
                <w:sz w:val="14"/>
                <w:szCs w:val="14"/>
                <w:color w:val="auto"/>
              </w:rPr>
              <w:t>119,393.3125(5)</w:t>
            </w:r>
          </w:p>
        </w:tc>
        <w:tc>
          <w:tcPr>
            <w:tcW w:w="112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25,000(2)</w:t>
            </w:r>
          </w:p>
        </w:tc>
        <w:tc>
          <w:tcPr>
            <w:tcW w:w="8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w w:val="87"/>
              </w:rPr>
              <w:t>cols. b, c:</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cols. b, c:</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10/06/14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col. d:</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col. d:</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1.50</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03/09/16</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300" w:type="dxa"/>
            <w:vAlign w:val="bottom"/>
            <w:gridSpan w:val="2"/>
          </w:tcPr>
          <w:p>
            <w:pPr>
              <w:spacing w:after="0"/>
              <w:rPr>
                <w:sz w:val="20"/>
                <w:szCs w:val="20"/>
                <w:color w:val="auto"/>
              </w:rPr>
            </w:pPr>
            <w:r>
              <w:rPr>
                <w:rFonts w:ascii="Arial" w:cs="Arial" w:eastAsia="Arial" w:hAnsi="Arial"/>
                <w:sz w:val="14"/>
                <w:szCs w:val="14"/>
                <w:color w:val="auto"/>
              </w:rPr>
              <w:t>Jason Hartlove</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112,500</w:t>
            </w:r>
          </w:p>
        </w:tc>
        <w:tc>
          <w:tcPr>
            <w:tcW w:w="1500" w:type="dxa"/>
            <w:vAlign w:val="bottom"/>
            <w:gridSpan w:val="3"/>
          </w:tcPr>
          <w:p>
            <w:pPr>
              <w:jc w:val="right"/>
              <w:ind w:right="192"/>
              <w:spacing w:after="0"/>
              <w:rPr>
                <w:sz w:val="20"/>
                <w:szCs w:val="20"/>
                <w:color w:val="auto"/>
              </w:rPr>
            </w:pPr>
            <w:r>
              <w:rPr>
                <w:rFonts w:ascii="Arial" w:cs="Arial" w:eastAsia="Arial" w:hAnsi="Arial"/>
                <w:sz w:val="14"/>
                <w:szCs w:val="14"/>
                <w:color w:val="auto"/>
              </w:rPr>
              <w:t>187,500(6)</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25,000(6)</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87"/>
              </w:rPr>
              <w:t>cols. b, c:</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cols. b, c:</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05/16/15</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col. d:</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col. 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1.50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03/09/16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6686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40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become vested and exercisable on May 27, 2007, and an additional 6.25% of the options vest at the end of each three month period thereafter on the same day of the month as the grant date or, if earlier, the last day of such month.</w:t>
      </w:r>
    </w:p>
    <w:p>
      <w:pPr>
        <w:ind w:left="340" w:right="140" w:hanging="332"/>
        <w:spacing w:after="0" w:line="25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 installment of 25% of the common units subject to the options become vested and exercisable upon the earlier of: (i) the date of the first closing of a firmly underwritten public offering for any of our equity securities, and (ii) the date as designated in the sole discretion of the Committee as the date upon which our unitholders as of October 6, 2004, have achieved a 2.5x return on their investment. The remaining 75% of the common units subject to the options become vested and exercisable as to 25% of such common units on each of the first three successive annual anniversaries of the first vesting event, subject to the Grantee’s continuous employment from the grant date to each such vesting date.</w:t>
      </w: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Restricted common units received upon the exercise of a fully vested option granted November 30, 2004. The restrictions on the units lapse as to 6.25% of the units on the last day of each calendar quarter.</w:t>
      </w:r>
    </w:p>
    <w:p>
      <w:pPr>
        <w:spacing w:after="0" w:line="10" w:lineRule="exact"/>
        <w:rPr>
          <w:rFonts w:ascii="Arial" w:cs="Arial" w:eastAsia="Arial" w:hAnsi="Arial"/>
          <w:sz w:val="12"/>
          <w:szCs w:val="12"/>
          <w:color w:val="auto"/>
        </w:rPr>
      </w:pPr>
    </w:p>
    <w:p>
      <w:pPr>
        <w:ind w:left="340" w:right="5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There is currently no established public trading market for our outstanding common equity. We determined the reported value based on a third-party fair value appraisal of our common units as of December 31, 2006.</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Installments of 6.25% of the common units subject to the options become vested and exercisable on the last day of each calendar quarter.</w:t>
      </w: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Mr. Hartlove resigned as Senior Vice President and General Manager, Imaging Solutions Division, effective March 9, 2007. The reported unvested option awards terminated upon his resignation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 Exercises and Stock Vested for the Fiscal Year Ended December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39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Victoria Miller Nam</w:t>
      </w:r>
    </w:p>
    <w:p>
      <w:pPr>
        <w:spacing w:after="0" w:line="222" w:lineRule="auto"/>
        <w:rPr>
          <w:sz w:val="20"/>
          <w:szCs w:val="20"/>
          <w:color w:val="auto"/>
        </w:rPr>
      </w:pPr>
      <w:r>
        <w:rPr>
          <w:rFonts w:ascii="Arial" w:cs="Arial" w:eastAsia="Arial" w:hAnsi="Arial"/>
          <w:sz w:val="14"/>
          <w:szCs w:val="14"/>
          <w:color w:val="auto"/>
        </w:rPr>
        <w:t>Tae Young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Chan Hee Lee</w:t>
      </w:r>
    </w:p>
    <w:p>
      <w:pPr>
        <w:spacing w:after="0" w:line="222" w:lineRule="auto"/>
        <w:rPr>
          <w:sz w:val="20"/>
          <w:szCs w:val="20"/>
          <w:color w:val="auto"/>
        </w:rPr>
      </w:pPr>
      <w:r>
        <w:rPr>
          <w:rFonts w:ascii="Arial" w:cs="Arial" w:eastAsia="Arial" w:hAnsi="Arial"/>
          <w:sz w:val="14"/>
          <w:szCs w:val="14"/>
          <w:color w:val="auto"/>
        </w:rPr>
        <w:t>Jason Hartlove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Footnote: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Stock Awards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jc w:val="center"/>
              <w:ind w:right="852"/>
              <w:spacing w:after="0" w:line="129" w:lineRule="exact"/>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4"/>
              </w:rPr>
              <w:t>of Shares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7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740" w:type="dxa"/>
            <w:vAlign w:val="bottom"/>
          </w:tcPr>
          <w:p>
            <w:pPr>
              <w:spacing w:after="0"/>
              <w:rPr>
                <w:sz w:val="12"/>
                <w:szCs w:val="12"/>
                <w:color w:val="auto"/>
              </w:rPr>
            </w:pPr>
          </w:p>
        </w:tc>
        <w:tc>
          <w:tcPr>
            <w:tcW w:w="152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8"/>
              </w:rPr>
              <w:t>Acquired</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7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Realized on</w:t>
            </w:r>
          </w:p>
        </w:tc>
        <w:tc>
          <w:tcPr>
            <w:tcW w:w="740" w:type="dxa"/>
            <w:vAlign w:val="bottom"/>
          </w:tcPr>
          <w:p>
            <w:pPr>
              <w:spacing w:after="0"/>
              <w:rPr>
                <w:sz w:val="12"/>
                <w:szCs w:val="12"/>
                <w:color w:val="auto"/>
              </w:rPr>
            </w:pPr>
          </w:p>
        </w:tc>
        <w:tc>
          <w:tcPr>
            <w:tcW w:w="1520" w:type="dxa"/>
            <w:vAlign w:val="bottom"/>
            <w:gridSpan w:val="2"/>
          </w:tcPr>
          <w:p>
            <w:pPr>
              <w:jc w:val="center"/>
              <w:ind w:right="832"/>
              <w:spacing w:after="0" w:line="149" w:lineRule="exact"/>
              <w:rPr>
                <w:sz w:val="20"/>
                <w:szCs w:val="20"/>
                <w:color w:val="auto"/>
              </w:rPr>
            </w:pPr>
            <w:r>
              <w:rPr>
                <w:rFonts w:ascii="Arial" w:cs="Arial" w:eastAsia="Arial" w:hAnsi="Arial"/>
                <w:sz w:val="14"/>
                <w:szCs w:val="14"/>
                <w:b w:val="1"/>
                <w:bCs w:val="1"/>
                <w:color w:val="auto"/>
                <w:w w:val="81"/>
              </w:rPr>
              <w:t>on</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Realized on</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7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 xml:space="preserve">Exercise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7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Vesting (#)</w:t>
            </w:r>
          </w:p>
        </w:tc>
        <w:tc>
          <w:tcPr>
            <w:tcW w:w="9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 xml:space="preserve">Vesting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160" w:type="dxa"/>
            <w:vAlign w:val="bottom"/>
          </w:tcPr>
          <w:p>
            <w:pPr>
              <w:spacing w:after="0"/>
              <w:rPr>
                <w:sz w:val="14"/>
                <w:szCs w:val="14"/>
                <w:color w:val="auto"/>
              </w:rPr>
            </w:pPr>
          </w:p>
        </w:tc>
      </w:tr>
      <w:tr>
        <w:trPr>
          <w:trHeight w:val="280"/>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gridSpan w:val="3"/>
          </w:tcPr>
          <w:p>
            <w:pPr>
              <w:jc w:val="right"/>
              <w:ind w:right="672"/>
              <w:spacing w:after="0"/>
              <w:rPr>
                <w:sz w:val="20"/>
                <w:szCs w:val="20"/>
                <w:color w:val="auto"/>
              </w:rPr>
            </w:pPr>
            <w:r>
              <w:rPr>
                <w:rFonts w:ascii="Arial" w:cs="Arial" w:eastAsia="Arial" w:hAnsi="Arial"/>
                <w:sz w:val="14"/>
                <w:szCs w:val="14"/>
                <w:color w:val="auto"/>
              </w:rPr>
              <w:t>170,561.75(1)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173,973(2)</w:t>
            </w:r>
          </w:p>
        </w:tc>
      </w:tr>
      <w:tr>
        <w:trPr>
          <w:trHeight w:val="172"/>
        </w:trPr>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60" w:type="dxa"/>
            <w:vAlign w:val="bottom"/>
            <w:gridSpan w:val="3"/>
          </w:tcPr>
          <w:p>
            <w:pPr>
              <w:jc w:val="right"/>
              <w:ind w:right="672"/>
              <w:spacing w:after="0"/>
              <w:rPr>
                <w:sz w:val="20"/>
                <w:szCs w:val="20"/>
                <w:color w:val="auto"/>
              </w:rPr>
            </w:pPr>
            <w:r>
              <w:rPr>
                <w:rFonts w:ascii="Arial" w:cs="Arial" w:eastAsia="Arial" w:hAnsi="Arial"/>
                <w:sz w:val="14"/>
                <w:szCs w:val="14"/>
                <w:color w:val="auto"/>
              </w:rPr>
              <w:t>34,112.50(1)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34,795(2)</w:t>
            </w:r>
          </w:p>
        </w:tc>
      </w:tr>
    </w:tbl>
    <w:p>
      <w:pPr>
        <w:spacing w:after="0" w:line="961" w:lineRule="exact"/>
        <w:rPr>
          <w:sz w:val="20"/>
          <w:szCs w:val="20"/>
          <w:color w:val="auto"/>
        </w:rPr>
      </w:pPr>
    </w:p>
    <w:p>
      <w:pPr>
        <w:sectPr>
          <w:pgSz w:w="11900" w:h="16838" w:orient="portrait"/>
          <w:cols w:equalWidth="0" w:num="2">
            <w:col w:w="6020" w:space="140"/>
            <w:col w:w="5260"/>
          </w:cols>
          <w:pgMar w:left="240" w:top="459" w:right="239" w:bottom="1440" w:gutter="0" w:footer="0" w:header="0"/>
        </w:sectPr>
      </w:pPr>
    </w:p>
    <w:p>
      <w:pPr>
        <w:ind w:left="340" w:hanging="332"/>
        <w:spacing w:after="0" w:line="221"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Restricted common units received upon the exercise of a fully vested option granted November 30, 2004. The restrictions on the units lapsed as to 6.25% of the units on the last day of each calendar quarter of 2006.</w:t>
      </w:r>
    </w:p>
    <w:p>
      <w:pPr>
        <w:ind w:left="340" w:right="540" w:hanging="332"/>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is currently no established public trading market for our outstanding common equity. We determined the reported value based on a third-party fair value appraisal of our common units as of December 31, 2006.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the Fiscal Year Ended December 31,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Years</w:t>
            </w:r>
          </w:p>
        </w:tc>
        <w:tc>
          <w:tcPr>
            <w:tcW w:w="6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Present</w:t>
            </w:r>
          </w:p>
        </w:tc>
        <w:tc>
          <w:tcPr>
            <w:tcW w:w="6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6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6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Last</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6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55"/>
        </w:trPr>
        <w:tc>
          <w:tcPr>
            <w:tcW w:w="490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2600" w:type="dxa"/>
            <w:vAlign w:val="bottom"/>
            <w:gridSpan w:val="2"/>
          </w:tcPr>
          <w:p>
            <w:pPr>
              <w:jc w:val="right"/>
              <w:ind w:right="1300"/>
              <w:spacing w:after="0" w:line="148" w:lineRule="exact"/>
              <w:rPr>
                <w:sz w:val="20"/>
                <w:szCs w:val="20"/>
                <w:color w:val="auto"/>
              </w:rPr>
            </w:pPr>
            <w:r>
              <w:rPr>
                <w:rFonts w:ascii="Arial" w:cs="Arial" w:eastAsia="Arial" w:hAnsi="Arial"/>
                <w:sz w:val="14"/>
                <w:szCs w:val="14"/>
                <w:b w:val="1"/>
                <w:bCs w:val="1"/>
                <w:color w:val="auto"/>
              </w:rPr>
              <w:t>Plan Name</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Service (#)</w:t>
            </w:r>
          </w:p>
        </w:tc>
        <w:tc>
          <w:tcPr>
            <w:tcW w:w="640" w:type="dxa"/>
            <w:vAlign w:val="bottom"/>
          </w:tcPr>
          <w:p>
            <w:pPr>
              <w:spacing w:after="0"/>
              <w:rPr>
                <w:sz w:val="13"/>
                <w:szCs w:val="13"/>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xml:space="preserve">Benefit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(1)</w:t>
            </w:r>
          </w:p>
        </w:tc>
        <w:tc>
          <w:tcPr>
            <w:tcW w:w="660" w:type="dxa"/>
            <w:vAlign w:val="bottom"/>
          </w:tcPr>
          <w:p>
            <w:pPr>
              <w:spacing w:after="0"/>
              <w:rPr>
                <w:sz w:val="13"/>
                <w:szCs w:val="13"/>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640" w:type="dxa"/>
            <w:vAlign w:val="bottom"/>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Robert J. Krakauer</w:t>
            </w: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64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Statutory Severance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56,802</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Tae Young Hwang</w:t>
            </w:r>
          </w:p>
        </w:tc>
        <w:tc>
          <w:tcPr>
            <w:tcW w:w="640" w:type="dxa"/>
            <w:vAlign w:val="bottom"/>
          </w:tcPr>
          <w:p>
            <w:pPr>
              <w:spacing w:after="0"/>
              <w:rPr>
                <w:sz w:val="12"/>
                <w:szCs w:val="12"/>
                <w:color w:val="auto"/>
              </w:rPr>
            </w:pPr>
          </w:p>
        </w:tc>
        <w:tc>
          <w:tcPr>
            <w:tcW w:w="26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89"/>
              </w:rPr>
              <w:t>Statutory Severance with Multiplier</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372,573</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 Hee Lee</w:t>
            </w:r>
          </w:p>
        </w:tc>
        <w:tc>
          <w:tcPr>
            <w:tcW w:w="64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w w:val="89"/>
              </w:rPr>
              <w:t>Statutory Severance with Multiplier</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218,006</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Jason Hartlove</w:t>
            </w: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Youm Huh</w:t>
            </w:r>
          </w:p>
        </w:tc>
        <w:tc>
          <w:tcPr>
            <w:tcW w:w="6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Footnote:</w:t>
      </w: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Actual present value of the accumulated benefit, as if the employment of the named executive officer had been terminated on the last day of our fiscal year ended December 31, 2006.</w:t>
      </w:r>
    </w:p>
    <w:p>
      <w:pPr>
        <w:spacing w:after="0" w:line="16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only pension benefit that we offered in our fiscal year ended December 31, 2006, is statutory severance. See the section of this Item subtitled “Further Information Regarding Summary Compensation Table and Grants of Plan-Based Awards Table” for a description of the statutory severance benefit.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the section of this Item above subtitled “Further Information Regarding Summary Compensation Table and Grants of Plan-Based Awards Table” for a description of the potential benefits to our named executive officers upon a termination or change in control.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the Fiscal Year Ended December 31,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Paid</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in</w:t>
            </w:r>
          </w:p>
        </w:tc>
        <w:tc>
          <w:tcPr>
            <w:tcW w:w="5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52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52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All Other</w:t>
            </w: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Cash</w:t>
            </w:r>
          </w:p>
        </w:tc>
        <w:tc>
          <w:tcPr>
            <w:tcW w:w="52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1"/>
                <w:szCs w:val="11"/>
                <w:color w:val="auto"/>
              </w:rPr>
            </w:pPr>
          </w:p>
        </w:tc>
        <w:tc>
          <w:tcPr>
            <w:tcW w:w="11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5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520" w:type="dxa"/>
            <w:vAlign w:val="bottom"/>
          </w:tcPr>
          <w:p>
            <w:pPr>
              <w:spacing w:after="0"/>
              <w:rPr>
                <w:sz w:val="11"/>
                <w:szCs w:val="11"/>
                <w:color w:val="auto"/>
              </w:rPr>
            </w:pPr>
          </w:p>
        </w:tc>
        <w:tc>
          <w:tcPr>
            <w:tcW w:w="15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($)(1)</w:t>
            </w: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136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Jerry M. Baker</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50,000</w:t>
            </w: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80,956(2)</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130,956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Dipanjan Deb</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Armando Geday</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18,373(3)</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68,373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Roy Kuan</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 Douglas Norby</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32,849</w:t>
            </w: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32,849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Phokion Potamianos</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Paul C. Schorr IV</w:t>
            </w: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4"/>
                <w:szCs w:val="14"/>
                <w:color w:val="auto"/>
              </w:rPr>
              <w:t>David F. Thomas</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22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describe the option award calculation method under to SFAS No. 123(R) in “Item 8. Financial Statements and Supplementary Data — Notes to Consolidated Financial Statements – Note 13. Equity Incentive Plan.”</w:t>
      </w:r>
    </w:p>
    <w:p>
      <w:pPr>
        <w:ind w:left="340" w:right="6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$19,115 for medical and accident insurance premiums, $1,841 for life insurance premiums, and $60,000 for consulting fees, the latter under a separate consulting arrangement effective January 1, 2006.</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grant date fair value of Mr. Geday’s option award is $55,253.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 Regarding Director Compensation Table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Effective January 2006, our Board of Directors began providing director fees to non-employee directors who do not have a current or past affiliation with CVC, Francisco Partners, or CVC Asia. Jerry Baker and Armando Geday each receive $50,000 per annum for service on our Board of Directors. R. Douglas Norby became our director on May 27, 2006. He receives board fees of $55,000 per year for his service as a director and Chairman of our Audit Committee. In addition to director fees, effective January 19, 2006, Armando Geday received options to acquire 175,000 of our common units at a purchase price of $1.04 per unit pursuant to the MagnaChip Semiconductor LLC Equity Incentive Plan. An installment of 25% of the options become exercisable on January 19, 2007, and additional installments of 6.25% of the options become exercisable on the last day of each calendar quarter thereafter. The options expire on the tenth anniversary of the grant date.</w:t>
      </w:r>
    </w:p>
    <w:p>
      <w:pPr>
        <w:spacing w:after="0" w:line="14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Mr. Baker serves as our consultant under a consulting agreement effective January 1, 2006, by and between MagnaChip Korea and Mr. Baker. Under our agreement with Mr. Baker, we pay $60,000 per year as fees for advisory services regarding business development, marketing, executive recruiting, and strategic direction for the company’s products and technology, and Mr. Baker is subject to certain restrictions on competition, solicitation of employees, and competition. The consulting agreement continues indefinitely but may be terminated by either party upon 30 days prior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Committee is comprised of directors Dipanjan Deb, Paul Schorr IV, and David Thomas, none of whom has been an officer or employee of the registrant during the last fiscal year. Prior to the Original Acquisition, both Mr. Deb and Mr. Schorr served as officers of the Company. None of our executive officers currently serves, or in the past has served, on the Committee or as a member of the board of directors or compensation committee of any entity that has one or more executive officers serving on the board or compensation committee of MagnaChip.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Committee has reviewed and discussed the Compensation Discussion and Analysis as set forth above in “Executive Compensation—Compensation Discussion and Analysis” with our management and, based on such review and discussion, has recommended to our Board of Directors that the Compensation Discussion and Analysis be included in this Annual Report on Form 10-K.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Dipanjan Deb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Schorr IV</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Thomas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spacing w:after="0" w:line="491" w:lineRule="auto"/>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 Securities Authorized for Issuance Under Equity Compensation Plans as of the Fiscal Year Ended December 31, 2006</w:t>
      </w:r>
    </w:p>
    <w:tbl>
      <w:tblPr>
        <w:tblLayout w:type="fixed"/>
        <w:tblInd w:w="0" w:type="dxa"/>
        <w:tblCellMar>
          <w:top w:w="0" w:type="dxa"/>
          <w:left w:w="0" w:type="dxa"/>
          <w:bottom w:w="0" w:type="dxa"/>
          <w:right w:w="0" w:type="dxa"/>
        </w:tblCellMar>
      </w:tblPr>
      <w:tr>
        <w:trPr>
          <w:trHeight w:val="160"/>
        </w:trPr>
        <w:tc>
          <w:tcPr>
            <w:tcW w:w="2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5"/>
              </w:rPr>
              <w:t>Weighted-</w:t>
            </w:r>
          </w:p>
        </w:tc>
        <w:tc>
          <w:tcPr>
            <w:tcW w:w="1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available for future issuance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3"/>
              </w:rPr>
              <w:t>Number of securities to be issued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5"/>
              </w:rPr>
              <w:t>average price of</w:t>
            </w:r>
          </w:p>
        </w:tc>
        <w:tc>
          <w:tcPr>
            <w:tcW w:w="1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under equity compensation plans</w:t>
            </w:r>
          </w:p>
        </w:tc>
        <w:tc>
          <w:tcPr>
            <w:tcW w:w="0" w:type="dxa"/>
            <w:vAlign w:val="bottom"/>
          </w:tcPr>
          <w:p>
            <w:pPr>
              <w:spacing w:after="0"/>
              <w:rPr>
                <w:sz w:val="1"/>
                <w:szCs w:val="1"/>
                <w:color w:val="auto"/>
              </w:rPr>
            </w:pPr>
          </w:p>
        </w:tc>
      </w:tr>
      <w:tr>
        <w:trPr>
          <w:trHeight w:val="149"/>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180" w:type="dxa"/>
            <w:vAlign w:val="bottom"/>
          </w:tcPr>
          <w:p>
            <w:pPr>
              <w:spacing w:after="0"/>
              <w:rPr>
                <w:sz w:val="12"/>
                <w:szCs w:val="12"/>
                <w:color w:val="auto"/>
              </w:rPr>
            </w:pPr>
          </w:p>
        </w:tc>
        <w:tc>
          <w:tcPr>
            <w:tcW w:w="2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upon exercise of outstanding</w:t>
            </w:r>
          </w:p>
        </w:tc>
        <w:tc>
          <w:tcPr>
            <w:tcW w:w="600" w:type="dxa"/>
            <w:vAlign w:val="bottom"/>
          </w:tcPr>
          <w:p>
            <w:pPr>
              <w:spacing w:after="0"/>
              <w:rPr>
                <w:sz w:val="12"/>
                <w:szCs w:val="12"/>
                <w:color w:val="auto"/>
              </w:rPr>
            </w:pPr>
          </w:p>
        </w:tc>
        <w:tc>
          <w:tcPr>
            <w:tcW w:w="23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 reflected in</w:t>
            </w:r>
          </w:p>
        </w:tc>
        <w:tc>
          <w:tcPr>
            <w:tcW w:w="0" w:type="dxa"/>
            <w:vAlign w:val="bottom"/>
          </w:tcPr>
          <w:p>
            <w:pPr>
              <w:spacing w:after="0"/>
              <w:rPr>
                <w:sz w:val="1"/>
                <w:szCs w:val="1"/>
                <w:color w:val="auto"/>
              </w:rPr>
            </w:pPr>
          </w:p>
        </w:tc>
      </w:tr>
      <w:tr>
        <w:trPr>
          <w:trHeight w:val="155"/>
        </w:trPr>
        <w:tc>
          <w:tcPr>
            <w:tcW w:w="286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250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7"/>
              </w:rPr>
              <w:t>options, warrants and rights</w:t>
            </w:r>
          </w:p>
        </w:tc>
        <w:tc>
          <w:tcPr>
            <w:tcW w:w="600" w:type="dxa"/>
            <w:vAlign w:val="bottom"/>
          </w:tcPr>
          <w:p>
            <w:pPr>
              <w:spacing w:after="0"/>
              <w:rPr>
                <w:sz w:val="13"/>
                <w:szCs w:val="13"/>
                <w:color w:val="auto"/>
              </w:rPr>
            </w:pPr>
          </w:p>
        </w:tc>
        <w:tc>
          <w:tcPr>
            <w:tcW w:w="2360" w:type="dxa"/>
            <w:vAlign w:val="bottom"/>
            <w:gridSpan w:val="3"/>
          </w:tcPr>
          <w:p>
            <w:pPr>
              <w:jc w:val="center"/>
              <w:ind w:right="1180"/>
              <w:spacing w:after="0" w:line="148" w:lineRule="exact"/>
              <w:rPr>
                <w:sz w:val="20"/>
                <w:szCs w:val="20"/>
                <w:color w:val="auto"/>
              </w:rPr>
            </w:pPr>
            <w:r>
              <w:rPr>
                <w:rFonts w:ascii="Arial" w:cs="Arial" w:eastAsia="Arial" w:hAnsi="Arial"/>
                <w:sz w:val="14"/>
                <w:szCs w:val="14"/>
                <w:b w:val="1"/>
                <w:bCs w:val="1"/>
                <w:color w:val="auto"/>
                <w:w w:val="87"/>
              </w:rPr>
              <w:t>warrants and rights</w:t>
            </w:r>
          </w:p>
        </w:tc>
        <w:tc>
          <w:tcPr>
            <w:tcW w:w="194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149"/>
        </w:trPr>
        <w:tc>
          <w:tcPr>
            <w:tcW w:w="2860" w:type="dxa"/>
            <w:vAlign w:val="bottom"/>
            <w:tcBorders>
              <w:top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(b)</w:t>
            </w:r>
          </w:p>
        </w:tc>
        <w:tc>
          <w:tcPr>
            <w:tcW w:w="1180" w:type="dxa"/>
            <w:vAlign w:val="bottom"/>
          </w:tcPr>
          <w:p>
            <w:pPr>
              <w:spacing w:after="0"/>
              <w:rPr>
                <w:sz w:val="12"/>
                <w:szCs w:val="12"/>
                <w:color w:val="auto"/>
              </w:rPr>
            </w:pPr>
          </w:p>
        </w:tc>
        <w:tc>
          <w:tcPr>
            <w:tcW w:w="1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Equity compensation plans approved by security</w:t>
            </w:r>
          </w:p>
        </w:tc>
        <w:tc>
          <w:tcPr>
            <w:tcW w:w="11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holders</w:t>
            </w:r>
          </w:p>
        </w:tc>
        <w:tc>
          <w:tcPr>
            <w:tcW w:w="3680" w:type="dxa"/>
            <w:vAlign w:val="bottom"/>
            <w:gridSpan w:val="3"/>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5,069,527.5000</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60" w:type="dxa"/>
            <w:vAlign w:val="bottom"/>
            <w:gridSpan w:val="2"/>
            <w:shd w:val="clear" w:color="auto" w:fill="CCEEFF"/>
          </w:tcPr>
          <w:p>
            <w:pPr>
              <w:jc w:val="right"/>
              <w:ind w:right="1180"/>
              <w:spacing w:after="0" w:line="159" w:lineRule="exact"/>
              <w:rPr>
                <w:sz w:val="20"/>
                <w:szCs w:val="20"/>
                <w:color w:val="auto"/>
              </w:rPr>
            </w:pPr>
            <w:r>
              <w:rPr>
                <w:rFonts w:ascii="Arial" w:cs="Arial" w:eastAsia="Arial" w:hAnsi="Arial"/>
                <w:sz w:val="14"/>
                <w:szCs w:val="14"/>
                <w:color w:val="auto"/>
              </w:rPr>
              <w:t>1.60</w:t>
            </w:r>
          </w:p>
        </w:tc>
        <w:tc>
          <w:tcPr>
            <w:tcW w:w="1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674,282.1250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line="138" w:lineRule="exact"/>
              <w:rPr>
                <w:sz w:val="20"/>
                <w:szCs w:val="20"/>
                <w:color w:val="auto"/>
              </w:rPr>
            </w:pPr>
            <w:r>
              <w:rPr>
                <w:rFonts w:ascii="Arial" w:cs="Arial" w:eastAsia="Arial" w:hAnsi="Arial"/>
                <w:sz w:val="14"/>
                <w:szCs w:val="14"/>
                <w:color w:val="auto"/>
                <w:w w:val="87"/>
              </w:rPr>
              <w:t>Equity compensation plans not approved by security</w:t>
            </w:r>
          </w:p>
        </w:tc>
        <w:tc>
          <w:tcPr>
            <w:tcW w:w="1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60" w:type="dxa"/>
            <w:vAlign w:val="bottom"/>
          </w:tcPr>
          <w:p>
            <w:pPr>
              <w:ind w:left="220"/>
              <w:spacing w:after="0" w:line="159" w:lineRule="exact"/>
              <w:rPr>
                <w:sz w:val="20"/>
                <w:szCs w:val="20"/>
                <w:color w:val="auto"/>
              </w:rPr>
            </w:pPr>
            <w:r>
              <w:rPr>
                <w:rFonts w:ascii="Arial" w:cs="Arial" w:eastAsia="Arial" w:hAnsi="Arial"/>
                <w:sz w:val="14"/>
                <w:szCs w:val="14"/>
                <w:color w:val="auto"/>
              </w:rPr>
              <w:t>holders</w:t>
            </w:r>
          </w:p>
        </w:tc>
        <w:tc>
          <w:tcPr>
            <w:tcW w:w="1180" w:type="dxa"/>
            <w:vAlign w:val="bottom"/>
          </w:tcPr>
          <w:p>
            <w:pPr>
              <w:spacing w:after="0"/>
              <w:rPr>
                <w:sz w:val="13"/>
                <w:szCs w:val="13"/>
                <w:color w:val="auto"/>
              </w:rPr>
            </w:pPr>
          </w:p>
        </w:tc>
        <w:tc>
          <w:tcPr>
            <w:tcW w:w="25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n/a</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2"/>
          </w:tcPr>
          <w:p>
            <w:pPr>
              <w:jc w:val="right"/>
              <w:ind w:right="1180"/>
              <w:spacing w:after="0" w:line="159" w:lineRule="exact"/>
              <w:rPr>
                <w:sz w:val="20"/>
                <w:szCs w:val="20"/>
                <w:color w:val="auto"/>
              </w:rPr>
            </w:pPr>
            <w:r>
              <w:rPr>
                <w:rFonts w:ascii="Arial" w:cs="Arial" w:eastAsia="Arial" w:hAnsi="Arial"/>
                <w:sz w:val="14"/>
                <w:szCs w:val="14"/>
                <w:color w:val="auto"/>
              </w:rPr>
              <w:t>n/a</w:t>
            </w:r>
          </w:p>
        </w:tc>
        <w:tc>
          <w:tcPr>
            <w:tcW w:w="1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68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5,069,527.5000</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674,282.1250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MagnaChip Semiconductor LLC California Equity Incentive Plan and the MagnaChip Semiconductor LLC Equity Incentive Plan each provide for the award of nonstatutory options, unit appreciation rights, or SARs, and restricted unit awards to employees, consultants or non-employee directors of MagnaChip and its subsidiaries. Subject to adjustment in the event of certain corporate transactions or events, the maximum aggregate number of MagnaChip units that are available for grant under both plans is 7,890,864, all of which may be granted under either plan. Units subject to awards that expire, are forfeited or otherwise terminate will again be available for grant under the plans. The plans are administered by our Board of Directors.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of our Board of Directors will determine the number of options granted to each participant, the exercise price of each option, the duration of the options (not to exceed ten years), vesting provisions and all other terms and conditions of such options. Unless otherwise determined by the Compensation Committee, the exercise price of each option is required to be not less than the fair market value of the underlying common units subject to the option on the date of grant. The plans provide for payment of the exercise price of options in the form of cash or, subject to the discretion of the Compensation Committee, MagnaChip units. The plans provide that upon a termination of the option-holder’s employment or service with MagnaChip or its subsidiaries, unless otherwise determined by the Compensation Committee at or after grant, the exercise period for vested options will be limited, provided that vested options will be cancelled immediately upon a termination for cause.</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Compensation Committee may elect to grant SARs to plan participants and may determine the number of common units subject to the award, the duration of the SARs (not to exceed ten years), vesting provisions and all other terms and conditions of such SARs. In no event may the base price of a SAR be less than the fair market value of the common units subject to the award on the date of grant. A termination of service or employment of the recipient will have the same effect on SARs granted under the plans as on options.</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Compensation Committee will determine the number of restricted units offered to each participant in the plans, the purchase price of the units, the period the units are unvested and subject to forfeiture, the effect of a termination of the recipient’s employment or service and all other terms and conditions applicable to the restricted units.</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plans provide that upon a change in control or certain other corporate transactions, the Compensation Committee may, on a holder by holder basis, accelerate the vesting of outstanding options, SARs or restricted units, cancel any unexercised outstanding awards in whole or in part, and/or take actions to ensure that such awards shall be honored or assumed by the successor employer or take such other reasonable actions as the Compensation Committee shall determine.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tables set forth information regarding the beneficial ownership of MagnaChip as of March 1, 2007, by (i) each person or entity known to us to beneficially own more than 5% of any class of outstanding securities of MagnaChip, (ii) each member of our Board of Directors, (iii) each of our named executive officers and (iv) all of the members of our Board of Directors and our executive officers as a group. As of March 1, 2007, MagnaChip’s outstanding securities consisted of 52,720,784.047 common units and 93,997.4364 Series B preferred units. The tables do not include common units issuable upon conversion of Series B preferred units.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amounts and percentages of common units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2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Except as indicated by footnote, the persons named in the tables below have sole voting and investment power with respect to all units shown as beneficially owned by them.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Certain Beneficial Owners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Nature of</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55"/>
        </w:trPr>
        <w:tc>
          <w:tcPr>
            <w:tcW w:w="66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Title of Class</w:t>
            </w:r>
          </w:p>
        </w:tc>
        <w:tc>
          <w:tcPr>
            <w:tcW w:w="560" w:type="dxa"/>
            <w:vAlign w:val="bottom"/>
          </w:tcPr>
          <w:p>
            <w:pPr>
              <w:spacing w:after="0"/>
              <w:rPr>
                <w:sz w:val="13"/>
                <w:szCs w:val="13"/>
                <w:color w:val="auto"/>
              </w:rPr>
            </w:pP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Ownership</w:t>
            </w:r>
          </w:p>
        </w:tc>
        <w:tc>
          <w:tcPr>
            <w:tcW w:w="340" w:type="dxa"/>
            <w:vAlign w:val="bottom"/>
          </w:tcPr>
          <w:p>
            <w:pPr>
              <w:spacing w:after="0"/>
              <w:rPr>
                <w:sz w:val="13"/>
                <w:szCs w:val="13"/>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4"/>
                <w:szCs w:val="14"/>
                <w:color w:val="auto"/>
              </w:rPr>
              <w:t>CVC (1)</w:t>
            </w:r>
          </w:p>
        </w:tc>
        <w:tc>
          <w:tcPr>
            <w:tcW w:w="340" w:type="dxa"/>
            <w:vAlign w:val="bottom"/>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Common Units</w:t>
            </w:r>
          </w:p>
        </w:tc>
        <w:tc>
          <w:tcPr>
            <w:tcW w:w="560" w:type="dxa"/>
            <w:vAlign w:val="bottom"/>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17,962,521.9300</w:t>
            </w:r>
          </w:p>
        </w:tc>
        <w:tc>
          <w:tcPr>
            <w:tcW w:w="3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 Court Square Capital Partners</w:t>
            </w: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70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4"/>
              </w:rPr>
              <w:t>33,716.7546</w:t>
            </w:r>
          </w:p>
        </w:tc>
        <w:tc>
          <w:tcPr>
            <w:tcW w:w="110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7"/>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399 Park Avenue, 14th Floor</w:t>
            </w: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New York, NY 10022</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0" w:type="dxa"/>
            <w:vAlign w:val="bottom"/>
          </w:tcPr>
          <w:p>
            <w:pPr>
              <w:spacing w:after="0" w:line="138" w:lineRule="exact"/>
              <w:rPr>
                <w:sz w:val="20"/>
                <w:szCs w:val="20"/>
                <w:color w:val="auto"/>
              </w:rPr>
            </w:pPr>
            <w:r>
              <w:rPr>
                <w:rFonts w:ascii="Arial" w:cs="Arial" w:eastAsia="Arial" w:hAnsi="Arial"/>
                <w:sz w:val="14"/>
                <w:szCs w:val="14"/>
                <w:color w:val="auto"/>
              </w:rPr>
              <w:t>Francisco Partners (2)</w:t>
            </w:r>
          </w:p>
        </w:tc>
        <w:tc>
          <w:tcPr>
            <w:tcW w:w="34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4"/>
                <w:szCs w:val="14"/>
                <w:color w:val="auto"/>
                <w:w w:val="86"/>
              </w:rPr>
              <w:t>Common Units Series</w:t>
            </w:r>
          </w:p>
        </w:tc>
        <w:tc>
          <w:tcPr>
            <w:tcW w:w="1700" w:type="dxa"/>
            <w:vAlign w:val="bottom"/>
            <w:gridSpan w:val="2"/>
          </w:tcPr>
          <w:p>
            <w:pPr>
              <w:jc w:val="center"/>
              <w:ind w:left="492"/>
              <w:spacing w:after="0" w:line="138" w:lineRule="exact"/>
              <w:rPr>
                <w:sz w:val="20"/>
                <w:szCs w:val="20"/>
                <w:color w:val="auto"/>
              </w:rPr>
            </w:pPr>
            <w:r>
              <w:rPr>
                <w:rFonts w:ascii="Arial" w:cs="Arial" w:eastAsia="Arial" w:hAnsi="Arial"/>
                <w:sz w:val="14"/>
                <w:szCs w:val="14"/>
                <w:color w:val="auto"/>
                <w:w w:val="85"/>
              </w:rPr>
              <w:t>17,962,521.9200</w:t>
            </w:r>
          </w:p>
        </w:tc>
        <w:tc>
          <w:tcPr>
            <w:tcW w:w="11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7"/>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Arial" w:cs="Arial" w:eastAsia="Arial" w:hAnsi="Arial"/>
                <w:sz w:val="14"/>
                <w:szCs w:val="14"/>
                <w:color w:val="auto"/>
              </w:rPr>
              <w:t>c/o Francisco Partners, L.P.</w:t>
            </w:r>
          </w:p>
        </w:tc>
        <w:tc>
          <w:tcPr>
            <w:tcW w:w="3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87"/>
              </w:rPr>
              <w:t>B Preferred Units</w:t>
            </w:r>
          </w:p>
        </w:tc>
        <w:tc>
          <w:tcPr>
            <w:tcW w:w="1700" w:type="dxa"/>
            <w:vAlign w:val="bottom"/>
            <w:gridSpan w:val="2"/>
          </w:tcPr>
          <w:p>
            <w:pPr>
              <w:jc w:val="center"/>
              <w:ind w:left="492"/>
              <w:spacing w:after="0" w:line="149" w:lineRule="exact"/>
              <w:rPr>
                <w:sz w:val="20"/>
                <w:szCs w:val="20"/>
                <w:color w:val="auto"/>
              </w:rPr>
            </w:pPr>
            <w:r>
              <w:rPr>
                <w:rFonts w:ascii="Arial" w:cs="Arial" w:eastAsia="Arial" w:hAnsi="Arial"/>
                <w:sz w:val="14"/>
                <w:szCs w:val="14"/>
                <w:color w:val="auto"/>
                <w:w w:val="84"/>
              </w:rPr>
              <w:t>33,716.7547</w:t>
            </w:r>
          </w:p>
        </w:tc>
        <w:tc>
          <w:tcPr>
            <w:tcW w:w="110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7"/>
              </w:rPr>
              <w:t>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Arial" w:cs="Arial" w:eastAsia="Arial" w:hAnsi="Arial"/>
                <w:sz w:val="14"/>
                <w:szCs w:val="14"/>
                <w:color w:val="auto"/>
              </w:rPr>
              <w:t>Sand Hill Road, Suite 280</w:t>
            </w: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0" w:type="dxa"/>
            <w:vAlign w:val="bottom"/>
          </w:tcPr>
          <w:p>
            <w:pPr>
              <w:ind w:left="200"/>
              <w:spacing w:after="0"/>
              <w:rPr>
                <w:sz w:val="20"/>
                <w:szCs w:val="20"/>
                <w:color w:val="auto"/>
              </w:rPr>
            </w:pPr>
            <w:r>
              <w:rPr>
                <w:rFonts w:ascii="Arial" w:cs="Arial" w:eastAsia="Arial" w:hAnsi="Arial"/>
                <w:sz w:val="14"/>
                <w:szCs w:val="14"/>
                <w:color w:val="auto"/>
              </w:rPr>
              <w:t>Menlo Park, CA 94025</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CVC Asia Pacific (3)</w:t>
            </w: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Common Units Series</w:t>
            </w:r>
          </w:p>
        </w:tc>
        <w:tc>
          <w:tcPr>
            <w:tcW w:w="1700" w:type="dxa"/>
            <w:vAlign w:val="bottom"/>
            <w:gridSpan w:val="2"/>
            <w:shd w:val="clear" w:color="auto" w:fill="CCEEFF"/>
          </w:tcPr>
          <w:p>
            <w:pPr>
              <w:jc w:val="center"/>
              <w:ind w:left="512"/>
              <w:spacing w:after="0" w:line="139" w:lineRule="exact"/>
              <w:rPr>
                <w:sz w:val="20"/>
                <w:szCs w:val="20"/>
                <w:color w:val="auto"/>
              </w:rPr>
            </w:pPr>
            <w:r>
              <w:rPr>
                <w:rFonts w:ascii="Arial" w:cs="Arial" w:eastAsia="Arial" w:hAnsi="Arial"/>
                <w:sz w:val="14"/>
                <w:szCs w:val="14"/>
                <w:color w:val="auto"/>
                <w:w w:val="86"/>
              </w:rPr>
              <w:t>9,659,710.5600</w:t>
            </w:r>
          </w:p>
        </w:tc>
        <w:tc>
          <w:tcPr>
            <w:tcW w:w="11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7"/>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 CVC Capital Partners Asia Limited</w:t>
            </w: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 Preferred Units</w:t>
            </w:r>
          </w:p>
        </w:tc>
        <w:tc>
          <w:tcPr>
            <w:tcW w:w="170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4"/>
              </w:rPr>
              <w:t>18,131.8699</w:t>
            </w:r>
          </w:p>
        </w:tc>
        <w:tc>
          <w:tcPr>
            <w:tcW w:w="110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7"/>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22 Grenville Street</w:t>
            </w: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 Helier, Jersey JE4 8PX</w:t>
            </w: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Channel Islands</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0" w:type="dxa"/>
            <w:vAlign w:val="bottom"/>
          </w:tcPr>
          <w:p>
            <w:pPr>
              <w:spacing w:after="0" w:line="138" w:lineRule="exact"/>
              <w:rPr>
                <w:sz w:val="20"/>
                <w:szCs w:val="20"/>
                <w:color w:val="auto"/>
              </w:rPr>
            </w:pPr>
            <w:r>
              <w:rPr>
                <w:rFonts w:ascii="Arial" w:cs="Arial" w:eastAsia="Arial" w:hAnsi="Arial"/>
                <w:sz w:val="14"/>
                <w:szCs w:val="14"/>
                <w:color w:val="auto"/>
              </w:rPr>
              <w:t>Peninsula Investment Pte. Ltd</w:t>
            </w:r>
          </w:p>
        </w:tc>
        <w:tc>
          <w:tcPr>
            <w:tcW w:w="340" w:type="dxa"/>
            <w:vAlign w:val="bottom"/>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4"/>
                <w:szCs w:val="14"/>
                <w:color w:val="auto"/>
                <w:w w:val="86"/>
              </w:rPr>
              <w:t>Common Units Series</w:t>
            </w:r>
          </w:p>
        </w:tc>
        <w:tc>
          <w:tcPr>
            <w:tcW w:w="1700" w:type="dxa"/>
            <w:vAlign w:val="bottom"/>
            <w:gridSpan w:val="2"/>
          </w:tcPr>
          <w:p>
            <w:pPr>
              <w:jc w:val="center"/>
              <w:ind w:left="512"/>
              <w:spacing w:after="0" w:line="138" w:lineRule="exact"/>
              <w:rPr>
                <w:sz w:val="20"/>
                <w:szCs w:val="20"/>
                <w:color w:val="auto"/>
              </w:rPr>
            </w:pPr>
            <w:r>
              <w:rPr>
                <w:rFonts w:ascii="Arial" w:cs="Arial" w:eastAsia="Arial" w:hAnsi="Arial"/>
                <w:sz w:val="14"/>
                <w:szCs w:val="14"/>
                <w:color w:val="auto"/>
                <w:w w:val="86"/>
              </w:rPr>
              <w:t>3,636,271.0700</w:t>
            </w:r>
          </w:p>
        </w:tc>
        <w:tc>
          <w:tcPr>
            <w:tcW w:w="11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1"/>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Arial" w:cs="Arial" w:eastAsia="Arial" w:hAnsi="Arial"/>
                <w:sz w:val="14"/>
                <w:szCs w:val="14"/>
                <w:color w:val="auto"/>
              </w:rPr>
              <w:t>255 Shoreline Drive</w:t>
            </w:r>
          </w:p>
        </w:tc>
        <w:tc>
          <w:tcPr>
            <w:tcW w:w="3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87"/>
              </w:rPr>
              <w:t>B Preferred Units</w:t>
            </w:r>
          </w:p>
        </w:tc>
        <w:tc>
          <w:tcPr>
            <w:tcW w:w="1700" w:type="dxa"/>
            <w:vAlign w:val="bottom"/>
            <w:gridSpan w:val="2"/>
          </w:tcPr>
          <w:p>
            <w:pPr>
              <w:jc w:val="center"/>
              <w:ind w:left="492"/>
              <w:spacing w:after="0" w:line="149" w:lineRule="exact"/>
              <w:rPr>
                <w:sz w:val="20"/>
                <w:szCs w:val="20"/>
                <w:color w:val="auto"/>
              </w:rPr>
            </w:pPr>
            <w:r>
              <w:rPr>
                <w:rFonts w:ascii="Arial" w:cs="Arial" w:eastAsia="Arial" w:hAnsi="Arial"/>
                <w:sz w:val="14"/>
                <w:szCs w:val="14"/>
                <w:color w:val="auto"/>
                <w:w w:val="88"/>
              </w:rPr>
              <w:t>6,825.5041</w:t>
            </w:r>
          </w:p>
        </w:tc>
        <w:tc>
          <w:tcPr>
            <w:tcW w:w="110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1"/>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200"/>
              <w:spacing w:after="0" w:line="149" w:lineRule="exact"/>
              <w:rPr>
                <w:sz w:val="20"/>
                <w:szCs w:val="20"/>
                <w:color w:val="auto"/>
              </w:rPr>
            </w:pPr>
            <w:r>
              <w:rPr>
                <w:rFonts w:ascii="Arial" w:cs="Arial" w:eastAsia="Arial" w:hAnsi="Arial"/>
                <w:sz w:val="14"/>
                <w:szCs w:val="14"/>
                <w:color w:val="auto"/>
              </w:rPr>
              <w:t>Suite 600</w:t>
            </w: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0" w:type="dxa"/>
            <w:vAlign w:val="bottom"/>
          </w:tcPr>
          <w:p>
            <w:pPr>
              <w:ind w:left="200"/>
              <w:spacing w:after="0"/>
              <w:rPr>
                <w:sz w:val="20"/>
                <w:szCs w:val="20"/>
                <w:color w:val="auto"/>
              </w:rPr>
            </w:pPr>
            <w:r>
              <w:rPr>
                <w:rFonts w:ascii="Arial" w:cs="Arial" w:eastAsia="Arial" w:hAnsi="Arial"/>
                <w:sz w:val="14"/>
                <w:szCs w:val="14"/>
                <w:color w:val="auto"/>
              </w:rPr>
              <w:t>Redwood City, CA 94065</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6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 17,630,628.4200 common units held by Citigroup Venture Capital Equity Partners, L.P., 156,381.7100 common units held by CVC Executive Fund LLC and 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w:t>
      </w:r>
    </w:p>
    <w:p>
      <w:pPr>
        <w:ind w:left="340" w:right="40" w:hanging="332"/>
        <w:spacing w:after="0" w:line="258" w:lineRule="auto"/>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(a) 16,941,762.2000 common units held by Francisco Partners, L.P., 83,423.4000 common units held by Francisco Partners Fund A, L.P., 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 Series B preferred units held by FP Annual Fund Investors, LLC.</w:t>
      </w:r>
    </w:p>
    <w:p>
      <w:pPr>
        <w:ind w:left="340" w:right="120" w:hanging="332"/>
        <w:spacing w:after="0" w:line="224"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 3,219,903.5200 common units held by CVC Capital Partners Asia Pacific L.P., 4,048,152.3700 common units held by CVC Capital Partners Asia Pacific II L.P., 781,702.9100 common units held by CVC Capital Partners Asia Pacific II Parallel Fund—A, L.P. and 1,609,951.7600 common units held by Asia Investors LLC and (b) 6,043.9566 Series B preferred units held by CVC Capital Partners Asia Pacific L.P., 7,598.6306 Series B preferred units held by CVC Capital Partners Asia Pacific II L.P., 1,467.3043 Series B preferred units held by CVC Capital Partners Asia Pacific II Parallel Fund—A, L.P. and 3,021.9784 Series B preferred units held by Asia Investors LLC. Asia Investors LLC co-invests alongside of CVC Capital Partners Asia Pacific L.P., but is not a subsidiary of CVC Capital Partners.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 and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Nature of</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Beneficial</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55"/>
        </w:trPr>
        <w:tc>
          <w:tcPr>
            <w:tcW w:w="72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Title of Class</w:t>
            </w:r>
          </w:p>
        </w:tc>
        <w:tc>
          <w:tcPr>
            <w:tcW w:w="220" w:type="dxa"/>
            <w:vAlign w:val="bottom"/>
          </w:tcPr>
          <w:p>
            <w:pPr>
              <w:spacing w:after="0"/>
              <w:rPr>
                <w:sz w:val="13"/>
                <w:szCs w:val="13"/>
                <w:color w:val="auto"/>
              </w:rPr>
            </w:pPr>
          </w:p>
        </w:tc>
        <w:tc>
          <w:tcPr>
            <w:tcW w:w="14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8"/>
              </w:rPr>
              <w:t>Ownership</w:t>
            </w:r>
          </w:p>
        </w:tc>
        <w:tc>
          <w:tcPr>
            <w:tcW w:w="62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Jerry M. Baker(1)</w:t>
            </w:r>
          </w:p>
        </w:tc>
        <w:tc>
          <w:tcPr>
            <w:tcW w:w="200" w:type="dxa"/>
            <w:vAlign w:val="bottom"/>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2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682,158.1600</w:t>
            </w:r>
          </w:p>
        </w:tc>
        <w:tc>
          <w:tcPr>
            <w:tcW w:w="22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255.9564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Dipanjan Deb(2)</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17,962,521.9200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33,716.7547</w:t>
            </w:r>
          </w:p>
        </w:tc>
        <w:tc>
          <w:tcPr>
            <w:tcW w:w="600" w:type="dxa"/>
            <w:vAlign w:val="bottom"/>
          </w:tcPr>
          <w:p>
            <w:pPr>
              <w:jc w:val="right"/>
              <w:spacing w:after="0"/>
              <w:rPr>
                <w:sz w:val="20"/>
                <w:szCs w:val="20"/>
                <w:color w:val="auto"/>
              </w:rPr>
            </w:pPr>
            <w:r>
              <w:rPr>
                <w:rFonts w:ascii="Arial" w:cs="Arial" w:eastAsia="Arial" w:hAnsi="Arial"/>
                <w:sz w:val="14"/>
                <w:szCs w:val="14"/>
                <w:color w:val="auto"/>
              </w:rPr>
              <w:t>35.9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Armando Geday(3)</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54,687.5000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220" w:type="dxa"/>
            <w:vAlign w:val="bottom"/>
          </w:tcPr>
          <w:p>
            <w:pPr>
              <w:spacing w:after="0"/>
              <w:rPr>
                <w:sz w:val="14"/>
                <w:szCs w:val="14"/>
                <w:color w:val="auto"/>
              </w:rPr>
            </w:pPr>
          </w:p>
        </w:tc>
        <w:tc>
          <w:tcPr>
            <w:tcW w:w="14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Tae Young Hwang(4)(5)</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170,561.8750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220" w:type="dxa"/>
            <w:vAlign w:val="bottom"/>
          </w:tcPr>
          <w:p>
            <w:pPr>
              <w:spacing w:after="0"/>
              <w:rPr>
                <w:sz w:val="14"/>
                <w:szCs w:val="14"/>
                <w:color w:val="auto"/>
              </w:rPr>
            </w:pPr>
          </w:p>
        </w:tc>
        <w:tc>
          <w:tcPr>
            <w:tcW w:w="14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J. Krakauer(4)(6)</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773,153.7700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170.6375</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 Kuan(7)</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9,659,710.5600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18,131.8699</w:t>
            </w:r>
          </w:p>
        </w:tc>
        <w:tc>
          <w:tcPr>
            <w:tcW w:w="600" w:type="dxa"/>
            <w:vAlign w:val="bottom"/>
          </w:tcPr>
          <w:p>
            <w:pPr>
              <w:jc w:val="right"/>
              <w:spacing w:after="0"/>
              <w:rPr>
                <w:sz w:val="20"/>
                <w:szCs w:val="20"/>
                <w:color w:val="auto"/>
              </w:rPr>
            </w:pPr>
            <w:r>
              <w:rPr>
                <w:rFonts w:ascii="Arial" w:cs="Arial" w:eastAsia="Arial" w:hAnsi="Arial"/>
                <w:sz w:val="14"/>
                <w:szCs w:val="14"/>
                <w:color w:val="auto"/>
              </w:rPr>
              <w:t>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 Hee Lee(4)(8)</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170,561.8750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220" w:type="dxa"/>
            <w:vAlign w:val="bottom"/>
          </w:tcPr>
          <w:p>
            <w:pPr>
              <w:spacing w:after="0"/>
              <w:rPr>
                <w:sz w:val="14"/>
                <w:szCs w:val="14"/>
                <w:color w:val="auto"/>
              </w:rPr>
            </w:pPr>
          </w:p>
        </w:tc>
        <w:tc>
          <w:tcPr>
            <w:tcW w:w="14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Victoria Miller Nam(4)(9)</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181,903.3800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85.3188</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 Douglas Norby(10)</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220" w:type="dxa"/>
            <w:vAlign w:val="bottom"/>
          </w:tcPr>
          <w:p>
            <w:pPr>
              <w:spacing w:after="0"/>
              <w:rPr>
                <w:sz w:val="14"/>
                <w:szCs w:val="14"/>
                <w:color w:val="auto"/>
              </w:rPr>
            </w:pPr>
          </w:p>
        </w:tc>
        <w:tc>
          <w:tcPr>
            <w:tcW w:w="14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Sang Park(4)</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2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220" w:type="dxa"/>
            <w:vAlign w:val="bottom"/>
          </w:tcPr>
          <w:p>
            <w:pPr>
              <w:spacing w:after="0"/>
              <w:rPr>
                <w:sz w:val="14"/>
                <w:szCs w:val="14"/>
                <w:color w:val="auto"/>
              </w:rPr>
            </w:pPr>
          </w:p>
        </w:tc>
        <w:tc>
          <w:tcPr>
            <w:tcW w:w="14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Phokion Potamianos(2)</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17,962,521.9200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33,716.7547</w:t>
            </w:r>
          </w:p>
        </w:tc>
        <w:tc>
          <w:tcPr>
            <w:tcW w:w="600" w:type="dxa"/>
            <w:vAlign w:val="bottom"/>
          </w:tcPr>
          <w:p>
            <w:pPr>
              <w:jc w:val="right"/>
              <w:spacing w:after="0"/>
              <w:rPr>
                <w:sz w:val="20"/>
                <w:szCs w:val="20"/>
                <w:color w:val="auto"/>
              </w:rPr>
            </w:pPr>
            <w:r>
              <w:rPr>
                <w:rFonts w:ascii="Arial" w:cs="Arial" w:eastAsia="Arial" w:hAnsi="Arial"/>
                <w:sz w:val="14"/>
                <w:szCs w:val="14"/>
                <w:color w:val="auto"/>
              </w:rPr>
              <w:t>35.9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Paul C. Schorr IV(11)</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36,362.7200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68.2551</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F. Thomas(12)</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18,035,247.3400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33,853.2646</w:t>
            </w:r>
          </w:p>
        </w:tc>
        <w:tc>
          <w:tcPr>
            <w:tcW w:w="600" w:type="dxa"/>
            <w:vAlign w:val="bottom"/>
          </w:tcPr>
          <w:p>
            <w:pPr>
              <w:jc w:val="right"/>
              <w:spacing w:after="0"/>
              <w:rPr>
                <w:sz w:val="20"/>
                <w:szCs w:val="20"/>
                <w:color w:val="auto"/>
              </w:rPr>
            </w:pPr>
            <w:r>
              <w:rPr>
                <w:rFonts w:ascii="Arial" w:cs="Arial" w:eastAsia="Arial" w:hAnsi="Arial"/>
                <w:sz w:val="14"/>
                <w:szCs w:val="14"/>
                <w:color w:val="auto"/>
              </w:rPr>
              <w:t>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Jason Hartlove(13)</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131,250.0000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220" w:type="dxa"/>
            <w:vAlign w:val="bottom"/>
          </w:tcPr>
          <w:p>
            <w:pPr>
              <w:spacing w:after="0"/>
              <w:rPr>
                <w:sz w:val="14"/>
                <w:szCs w:val="14"/>
                <w:color w:val="auto"/>
              </w:rPr>
            </w:pPr>
          </w:p>
        </w:tc>
        <w:tc>
          <w:tcPr>
            <w:tcW w:w="14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Youm Huh(14)</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773,153.6550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170.6376</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 and executive officers as a group (16 persons)</w:t>
            </w: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Common Units</w:t>
            </w:r>
          </w:p>
        </w:tc>
        <w:tc>
          <w:tcPr>
            <w:tcW w:w="16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47,795,619.1000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660" w:type="dxa"/>
            <w:vAlign w:val="bottom"/>
            <w:gridSpan w:val="3"/>
          </w:tcPr>
          <w:p>
            <w:pPr>
              <w:jc w:val="right"/>
              <w:ind w:right="220"/>
              <w:spacing w:after="0"/>
              <w:rPr>
                <w:sz w:val="20"/>
                <w:szCs w:val="20"/>
                <w:color w:val="auto"/>
              </w:rPr>
            </w:pPr>
            <w:r>
              <w:rPr>
                <w:rFonts w:ascii="Arial" w:cs="Arial" w:eastAsia="Arial" w:hAnsi="Arial"/>
                <w:sz w:val="14"/>
                <w:szCs w:val="14"/>
                <w:color w:val="auto"/>
              </w:rPr>
              <w:t>86,282.0570</w:t>
            </w:r>
          </w:p>
        </w:tc>
        <w:tc>
          <w:tcPr>
            <w:tcW w:w="600" w:type="dxa"/>
            <w:vAlign w:val="bottom"/>
          </w:tcPr>
          <w:p>
            <w:pPr>
              <w:jc w:val="right"/>
              <w:spacing w:after="0"/>
              <w:rPr>
                <w:sz w:val="20"/>
                <w:szCs w:val="20"/>
                <w:color w:val="auto"/>
              </w:rPr>
            </w:pPr>
            <w:r>
              <w:rPr>
                <w:rFonts w:ascii="Arial" w:cs="Arial" w:eastAsia="Arial" w:hAnsi="Arial"/>
                <w:sz w:val="14"/>
                <w:szCs w:val="14"/>
                <w:color w:val="auto"/>
              </w:rPr>
              <w:t>91.8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one percent.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260" w:hanging="332"/>
        <w:spacing w:after="0" w:line="25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(a) 136,360.1600 common units held by the Baker Family Revocable Trust and 204,674.2500 restricted common units held by Mr. Baker and (b) 255.9564 Series B preferred units held by the Baker Family Revocable Trust. Restricted common units are subject to a right of repurchase by MagnaChip. The address of Mr. Baker is 3101 North First Street, San Jose, CA 95134.</w:t>
      </w:r>
    </w:p>
    <w:p>
      <w:pPr>
        <w:ind w:left="340" w:right="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(a) 16,941,762.2000 common units held by Francisco Partners, L.P., 83,423.4000 common units held by Francisco Partners Fund A, L.P., 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 Series B preferred units held by FP Annual Fund Investors, LLC. Each of Mr. Deb and Mr. Potamianos is a member of management of Francisco Partners, L.P. and disclaims beneficial ownership of the units held by Francisco Partners, L.P., Francisco Partners Fund A, L.P., FP-MagnaChip Co-Invest, LLC and FP Annual Fund Investors, LLC. The address of each of Mr. Deb and Mr. Potamianos is c/o Francisco Partners, L.P., 2882 Sand Hill Road, Suite 280, Menlo Park, CA 94025.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54,687.5000 common units that Mr. Geday may purchase pursuant to the exercise of options vesting on April 19, 2007. The address of Mr. Geday is 16 Rue de Belzunce, 75010, Paris, France.</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address of each of Mr. Hwang, Mr. Krakauer, Mr. Lee, Ms. Miller Nam, and Mr. Park is c/o MagnaChip Semiconductor, Ltd., 1 Hyangjeong-dong, Hungduk-gu, Cheongju-si, 361-725, Korea.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170,561.8750 common units that Mr. Hwang may purchase pursuant to the exercise of options vesting on March 31, 2007.</w:t>
      </w: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(a) 54,544.0600 common units held jointly by Mr. Krakauer and his spouse, Theresa Krakauer, for which Mr. Krakauer shares voting and investment power with Theresa Krakauer,</w:t>
      </w:r>
    </w:p>
    <w:p>
      <w:pPr>
        <w:spacing w:after="0" w:line="10" w:lineRule="exact"/>
        <w:rPr>
          <w:rFonts w:ascii="Arial" w:cs="Arial" w:eastAsia="Arial" w:hAnsi="Arial"/>
          <w:sz w:val="12"/>
          <w:szCs w:val="12"/>
          <w:color w:val="auto"/>
        </w:rPr>
      </w:pPr>
    </w:p>
    <w:p>
      <w:pPr>
        <w:ind w:left="340"/>
        <w:spacing w:after="0" w:line="221" w:lineRule="auto"/>
        <w:rPr>
          <w:rFonts w:ascii="Arial" w:cs="Arial" w:eastAsia="Arial" w:hAnsi="Arial"/>
          <w:sz w:val="12"/>
          <w:szCs w:val="12"/>
          <w:color w:val="auto"/>
        </w:rPr>
      </w:pPr>
      <w:r>
        <w:rPr>
          <w:rFonts w:ascii="Arial" w:cs="Arial" w:eastAsia="Arial" w:hAnsi="Arial"/>
          <w:sz w:val="14"/>
          <w:szCs w:val="14"/>
          <w:color w:val="auto"/>
        </w:rPr>
        <w:t>(b) 36,362.7100 common units held by the Krakauer Family Partnership, for which Mr. Krakauer shares voting and investment power with Theresa Krakauer and (c) 255,842.6250 restricted common units. Restricted common units are subject to a right of repurchase by MagnaChip.</w:t>
      </w:r>
    </w:p>
    <w:p>
      <w:pPr>
        <w:ind w:left="340" w:right="120" w:hanging="332"/>
        <w:spacing w:after="0" w:line="25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(a) 3,219,903.5200 common units held by CVC Capital Partners Asia Pacific L.P., 4,048,152.3700 common units held by CVC Capital Partners Asia Pacific II L.P., 781,702.9100 common units held by CVC Capital Partners Asia Pacific II Parallel Fund—A, L.P. and 1,609,951.7600 common units held by Asia Investors LLC and (b) 6,043.9566 Series B preferred units held by CVC Capital Partners Asia Pacific L.P., 7,598.6306 Series B preferred units held by CVC Capital Partners Asia Pacific II L.P., 1,467.3043 Series B preferred units held by CVC Capital Partners Asia Pacific II Parallel Fund—A, L.P. and 3,021.9784 Series B preferred units held by Asia Investors LLC. Asia Investors LLC co-invests alongside of CVC Capital Partners Asia Pacific L.P., but is not a subsidiary of CVC Capital Partners. Mr. Kuan is a member of management of CVC Asia Pacific Limited, an investment advisor to the general partners of CVC Capital Partners Asia Pacific L.P., CVC Capital Partners Asia Pacific II L.P. and CVC Capital Partners Asia Pacific II Parallel Fund—A, L.P. and to Asia Investors LLC. Mr. Kuan disclaims beneficial ownership of the units held by these entities. The address of Mr. Kuan is c/o CVC Capital Partners Asia II Limited, 22 Grenville Street, St. Helier, Jersey JE4 8PX, Channel Islands.</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170,561.8750 common units that Mr. Lee may purchase pursuant to the exercise of options vesting on March 31, 2007.</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51,168.7500 restricted common units that are subject to a right of repurchase by MagnaChip.</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address of Mr. Norby is 12169 Hilltop Drive, Los Altos Hills, CA 94024.</w:t>
      </w:r>
    </w:p>
    <w:p>
      <w:pPr>
        <w:ind w:left="340" w:right="12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 29,544.7100 common units held by BG Partners LP and 6,818.0100 common units held by BG/CVC-1 and (b) 55.4573 Series B preferred units held by BG Partners LP and 12.7978 Series B preferred units held by BG/CVC-1. The address of Mr. Schorr is c/o The Blackstone Group, 345 Park Avenue, New York, NY 10154.</w:t>
      </w:r>
    </w:p>
    <w:p>
      <w:pPr>
        <w:ind w:left="340" w:right="60" w:hanging="332"/>
        <w:spacing w:after="0" w:line="25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(a) 17,630,628.4200 common units held by Citigroup Venture Capital Equity Partners, L.P., 156,381.7100 common units held by CVC Executive Fund LLC and 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 Mr. Thomas is a member of management of Citigroup Venture Capital Equity Partners, L.P. and disclaims beneficial ownership of the units held by Citigroup Venture Capital Equity Partners, L.P., CVC Executive Fund LLC and CVC/SSB Employee Fund, L.P. The address of Mr. Thomas is c/o Citigroup Venture Capital Equity Partners, L.P., 399 Park Avenue, 14th Floor, New York, NY 10022.</w:t>
      </w:r>
    </w:p>
    <w:p>
      <w:pPr>
        <w:spacing w:after="0" w:line="1" w:lineRule="exact"/>
        <w:rPr>
          <w:rFonts w:ascii="Arial" w:cs="Arial" w:eastAsia="Arial" w:hAnsi="Arial"/>
          <w:sz w:val="12"/>
          <w:szCs w:val="12"/>
          <w:color w:val="auto"/>
        </w:rPr>
      </w:pPr>
    </w:p>
    <w:p>
      <w:pPr>
        <w:ind w:left="340" w:right="10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131,250.0000 common units that Mr. Hartlove may purchase pursuant to the exercise of options vesting on February 16, 2007. Mr. Hartlove’s option to purchase these units terminates on May 8, 2007, if not exercised before that date. The address of Mr. Hartlove is 1943 Alford Ave., Los Altos, CA 94024.</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address of Dr. Huh is Misung Apt., 414 Apgujong-dong, Gangnam-gu, Seoul, Korea.</w:t>
      </w:r>
    </w:p>
    <w:p>
      <w:pPr>
        <w:ind w:left="340" w:right="120" w:hanging="332"/>
        <w:spacing w:after="0" w:line="23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Youm Huh, who resigned as Chief Executive Officer, President, and Director effective May 27, 2006, and Jason Hartlove, who resigned as Senior Vice President and General Manager, Imaging Solutions Division, effective March 9, 2007.</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connection with the Original Acquisition, and the related equity financing, MagnaChip Korea and MagnaChip entered into advisory agreements with each of CVC Management LLC, Francisco Partners Management, LLC and CVC Capital Partners Asia Limited, which are related to CVC, Francisco Partners and CVC Asia Pacific, respectively, pursuant to which each may provide financial, advisory and consulting services to MagnaChip Korea and MagnaChip. Under such agreements, each of CVC Management, Francisco Partners Management and CVC Capital Partners Asia is entitled to receive fees billed at such firm’s customary rates for actual time spent performing such services plus reimbursement for out-of-pocket expenses or, at such firm’s option and upon certain conditions, an annual advisory fee, the amount of which is the greater of a fixed dollar amount or a percentage of the annual consolidated revenue of MagnaChip Korea and MagnaChip for the last twelve months, plus out-of-pocket expenses, for the remaining term of the advisory agreement. The annual advisory fees under the agreements are as follows: CVC Management and Francisco Partners Management are each entitled to the greater of $1,379,163.42 or 0.14777% of annual consolidated revenue and CVC Capital Partners Asia is entitled to the greater of $741,673.15 or 0.07946% of annual consolidated revenue. There are no minimum levels of service required to be provided pursuant to the advisory agreements. Each advisory agreement has an initial term of ten years from the date of the Original Acquisition, subject to termination by either party upon written notice 90 days prior to the expiration of the initial term or any extension thereof. Each advisory agreement includes customary indemnification provisions in favor of each of CVC Management, Francisco Partners Management and CVC Capital Partners Asia. In exchange for an extension of the initial term of these advisory agreements for a period of one year, each of the three advisors under these advisory agreements agreed to waive all fees accruing in our fiscal year 2006.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our Code of Business Conduct and Ethics, all conflicts of interest and related-party transactions that are determined to be material by the Chief Financial Officer must be reviewed and approved in writing by our audit committee. All conflicts of interest and related-party transactions involving our directors or executive officers must be reviewed and approved in writing by our full Board of Directors. In the approval process, the approving authority will review all aspects of the conflict of interest or related-party transaction, including but not limited to, (i) compliance with laws, rules, and regulations, (ii) the adverse affect on our business and results of operations, (iii) the adverse affect on our relationships with third parties such as customers, vendors, and potential investors, (iii) the benefit to the director, officer, or employee at issue, and (iv) the creation of morale problems among other employees.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securityholders’ agreement executed by and among us, CVC, Francisco Partners, CVC Asia Pacific and other securityholders of MagnaChip provides that our Board of Directors must approve any contract with, obligation to or transaction or series of transactions between, us and one or more of our securityholders or their affiliates.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not a listed issuer. For purposes of determining whether our directors are independent under this Item 13, we apply the definition of director independence as set forth in the Rules of The NASDAQ Stock Market LLC. The following directors marked with an asterisk (“*”) are independent under the Rules with respect to our Board of Directors and each board committee.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w:t>
            </w:r>
          </w:p>
        </w:tc>
        <w:tc>
          <w:tcPr>
            <w:tcW w:w="0" w:type="dxa"/>
            <w:vAlign w:val="bottom"/>
          </w:tcPr>
          <w:p>
            <w:pPr>
              <w:spacing w:after="0"/>
              <w:rPr>
                <w:sz w:val="1"/>
                <w:szCs w:val="1"/>
                <w:color w:val="auto"/>
              </w:rPr>
            </w:pPr>
          </w:p>
        </w:tc>
      </w:tr>
      <w:tr>
        <w:trPr>
          <w:trHeight w:val="149"/>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Board of Directors</w:t>
            </w:r>
          </w:p>
        </w:tc>
        <w:tc>
          <w:tcPr>
            <w:tcW w:w="1140" w:type="dxa"/>
            <w:vAlign w:val="bottom"/>
          </w:tcPr>
          <w:p>
            <w:pPr>
              <w:spacing w:after="0"/>
              <w:rPr>
                <w:sz w:val="12"/>
                <w:szCs w:val="12"/>
                <w:color w:val="auto"/>
              </w:rPr>
            </w:pPr>
          </w:p>
        </w:tc>
        <w:tc>
          <w:tcPr>
            <w:tcW w:w="26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Audit Committee</w:t>
            </w:r>
          </w:p>
        </w:tc>
        <w:tc>
          <w:tcPr>
            <w:tcW w:w="1140" w:type="dxa"/>
            <w:vAlign w:val="bottom"/>
          </w:tcPr>
          <w:p>
            <w:pPr>
              <w:spacing w:after="0"/>
              <w:rPr>
                <w:sz w:val="12"/>
                <w:szCs w:val="12"/>
                <w:color w:val="auto"/>
              </w:rPr>
            </w:pPr>
          </w:p>
        </w:tc>
        <w:tc>
          <w:tcPr>
            <w:tcW w:w="10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3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Governance</w:t>
            </w:r>
          </w:p>
        </w:tc>
        <w:tc>
          <w:tcPr>
            <w:tcW w:w="0" w:type="dxa"/>
            <w:vAlign w:val="bottom"/>
          </w:tcPr>
          <w:p>
            <w:pPr>
              <w:spacing w:after="0"/>
              <w:rPr>
                <w:sz w:val="1"/>
                <w:szCs w:val="1"/>
                <w:color w:val="auto"/>
              </w:rPr>
            </w:pPr>
          </w:p>
        </w:tc>
      </w:tr>
      <w:tr>
        <w:trPr>
          <w:trHeight w:val="168"/>
        </w:trPr>
        <w:tc>
          <w:tcPr>
            <w:tcW w:w="3080" w:type="dxa"/>
            <w:vAlign w:val="bottom"/>
            <w:tcBorders>
              <w:bottom w:val="single" w:sz="8" w:color="auto"/>
            </w:tcBorders>
            <w:vMerge w:val="continue"/>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Borders>
              <w:bottom w:val="single" w:sz="8" w:color="auto"/>
            </w:tcBorders>
          </w:tcPr>
          <w:p>
            <w:pPr>
              <w:ind w:left="200"/>
              <w:spacing w:after="0" w:line="148" w:lineRule="exact"/>
              <w:rPr>
                <w:sz w:val="20"/>
                <w:szCs w:val="20"/>
                <w:color w:val="auto"/>
              </w:rPr>
            </w:pPr>
            <w:r>
              <w:rPr>
                <w:rFonts w:ascii="Arial" w:cs="Arial" w:eastAsia="Arial" w:hAnsi="Arial"/>
                <w:sz w:val="14"/>
                <w:szCs w:val="14"/>
                <w:b w:val="1"/>
                <w:bCs w:val="1"/>
                <w:color w:val="auto"/>
              </w:rPr>
              <w:t>Committee</w:t>
            </w:r>
          </w:p>
        </w:tc>
        <w:tc>
          <w:tcPr>
            <w:tcW w:w="138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95"/>
        </w:trPr>
        <w:tc>
          <w:tcPr>
            <w:tcW w:w="3080" w:type="dxa"/>
            <w:vAlign w:val="bottom"/>
          </w:tcPr>
          <w:p>
            <w:pPr>
              <w:spacing w:after="0" w:line="195" w:lineRule="exact"/>
              <w:rPr>
                <w:sz w:val="20"/>
                <w:szCs w:val="20"/>
                <w:color w:val="auto"/>
              </w:rPr>
            </w:pPr>
            <w:r>
              <w:rPr>
                <w:rFonts w:ascii="Arial" w:cs="Arial" w:eastAsia="Arial" w:hAnsi="Arial"/>
                <w:sz w:val="18"/>
                <w:szCs w:val="18"/>
                <w:color w:val="auto"/>
              </w:rPr>
              <w:t>Jerry M. Baker</w:t>
            </w:r>
          </w:p>
        </w:tc>
        <w:tc>
          <w:tcPr>
            <w:tcW w:w="114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color w:val="auto"/>
              </w:rPr>
              <w:t>R. Douglas Norby*</w:t>
            </w:r>
          </w:p>
        </w:tc>
        <w:tc>
          <w:tcPr>
            <w:tcW w:w="1140" w:type="dxa"/>
            <w:vAlign w:val="bottom"/>
          </w:tcPr>
          <w:p>
            <w:pPr>
              <w:spacing w:after="0"/>
              <w:rPr>
                <w:sz w:val="16"/>
                <w:szCs w:val="16"/>
                <w:color w:val="auto"/>
              </w:rPr>
            </w:pPr>
          </w:p>
        </w:tc>
        <w:tc>
          <w:tcPr>
            <w:tcW w:w="1040" w:type="dxa"/>
            <w:vAlign w:val="bottom"/>
          </w:tcPr>
          <w:p>
            <w:pPr>
              <w:spacing w:after="0" w:line="195" w:lineRule="exact"/>
              <w:rPr>
                <w:sz w:val="20"/>
                <w:szCs w:val="20"/>
                <w:color w:val="auto"/>
              </w:rPr>
            </w:pPr>
            <w:r>
              <w:rPr>
                <w:rFonts w:ascii="Arial" w:cs="Arial" w:eastAsia="Arial" w:hAnsi="Arial"/>
                <w:sz w:val="18"/>
                <w:szCs w:val="18"/>
                <w:color w:val="auto"/>
                <w:w w:val="93"/>
              </w:rPr>
              <w:t>Dipanjan Deb</w:t>
            </w:r>
          </w:p>
        </w:tc>
        <w:tc>
          <w:tcPr>
            <w:tcW w:w="138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R. Douglas</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Dipanjan Deb</w:t>
            </w:r>
          </w:p>
        </w:tc>
        <w:tc>
          <w:tcPr>
            <w:tcW w:w="3760" w:type="dxa"/>
            <w:vAlign w:val="bottom"/>
            <w:gridSpan w:val="2"/>
          </w:tcPr>
          <w:p>
            <w:pPr>
              <w:ind w:left="1140"/>
              <w:spacing w:after="0"/>
              <w:rPr>
                <w:sz w:val="20"/>
                <w:szCs w:val="20"/>
                <w:color w:val="auto"/>
              </w:rPr>
            </w:pPr>
            <w:r>
              <w:rPr>
                <w:rFonts w:ascii="Arial" w:cs="Arial" w:eastAsia="Arial" w:hAnsi="Arial"/>
                <w:sz w:val="18"/>
                <w:szCs w:val="18"/>
                <w:color w:val="auto"/>
              </w:rPr>
              <w:t>Phokion Potamianos</w:t>
            </w: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7"/>
              </w:rPr>
              <w:t>Paul C. Schorr</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Norby*</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Armando Geday</w:t>
            </w:r>
          </w:p>
        </w:tc>
        <w:tc>
          <w:tcPr>
            <w:tcW w:w="3760" w:type="dxa"/>
            <w:vAlign w:val="bottom"/>
            <w:gridSpan w:val="2"/>
          </w:tcPr>
          <w:p>
            <w:pPr>
              <w:ind w:left="1140"/>
              <w:spacing w:after="0"/>
              <w:rPr>
                <w:sz w:val="20"/>
                <w:szCs w:val="20"/>
                <w:color w:val="auto"/>
              </w:rPr>
            </w:pPr>
            <w:r>
              <w:rPr>
                <w:rFonts w:ascii="Arial" w:cs="Arial" w:eastAsia="Arial" w:hAnsi="Arial"/>
                <w:sz w:val="18"/>
                <w:szCs w:val="18"/>
                <w:color w:val="auto"/>
              </w:rPr>
              <w:t>Paul C. Schorr IV</w:t>
            </w: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IV</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Phokion</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Youm Huh (1)</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David F.</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Potamianos</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Robert Krakauer</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Thomas</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David F.</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Roy Kuan</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Thomas</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R. Douglas Norby*</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Sang Park</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Phokion Potamianos</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Paul C. Schorr IV</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David F. Thomas</w:t>
            </w: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Footnote:</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Huh resigned as a director effective May 27,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following table presents fees for professional services rendered by Samil PricewaterhouseCoopers and its affiliates for the years ended December 31, 2006 and 2005. Audit related fees paid in 2005 were for assurance services provided by Samil PricewaterhouseCoopers associated with S-4 filing. Tax services provided by Samil PricewaterhouseCoopers in 2005 were primarily related to a transfer price study for intercompany transactions.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 ended</w:t>
            </w:r>
          </w:p>
        </w:tc>
        <w:tc>
          <w:tcPr>
            <w:tcW w:w="540" w:type="dxa"/>
            <w:vAlign w:val="bottom"/>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December 31</w:t>
            </w:r>
          </w:p>
        </w:tc>
        <w:tc>
          <w:tcPr>
            <w:tcW w:w="540" w:type="dxa"/>
            <w:vAlign w:val="bottom"/>
            <w:tcBorders>
              <w:bottom w:val="single" w:sz="8" w:color="auto"/>
            </w:tcBorders>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2006</w:t>
            </w:r>
          </w:p>
        </w:tc>
        <w:tc>
          <w:tcPr>
            <w:tcW w:w="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r>
      <w:tr>
        <w:trPr>
          <w:trHeight w:val="142"/>
        </w:trPr>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4"/>
          </w:tcPr>
          <w:p>
            <w:pPr>
              <w:jc w:val="center"/>
              <w:ind w:right="56"/>
              <w:spacing w:after="0" w:line="142" w:lineRule="exact"/>
              <w:rPr>
                <w:sz w:val="20"/>
                <w:szCs w:val="20"/>
                <w:color w:val="auto"/>
              </w:rPr>
            </w:pPr>
            <w:r>
              <w:rPr>
                <w:rFonts w:ascii="Arial" w:cs="Arial" w:eastAsia="Arial" w:hAnsi="Arial"/>
                <w:sz w:val="14"/>
                <w:szCs w:val="14"/>
                <w:b w:val="1"/>
                <w:bCs w:val="1"/>
                <w:i w:val="1"/>
                <w:iCs w:val="1"/>
                <w:color w:val="auto"/>
                <w:w w:val="86"/>
              </w:rPr>
              <w:t>(in millions of US dollars)</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Audit related fees</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audit, audit-related and tax services were pre-approved by the Company’s Audit Committee, which concluded that the provision of such services by Samil PricewaterhouseCoopers and its affiliates was compatible with the maintenance of that firm’s independence in the conduct of its auditing functions. The Audit Committee’s Outside Auditor Independence Policy provides for pre-approval of specifically described audit, audit-related, non-audit related and tax services by the Committee on an annual basis. Individual engagements must be separately approved. The policy also requires specific approval by the Committee if total fees for auditrelated and tax services would exceed total fees for audit services in any fiscal year. The policy authorizes the Committee to delegate to one or more of its members pre-approval authority with respect to permitted services that will be ratified by the entire Audit Committee at a future committee meeting in accordance with requirements of the SEC. In 2005 and 2006, the Audit Committee followed these guidelines in approving all services rendered by Samil PricewaterhouseCoopers and its affiliates.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700" w:hanging="23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under Item 8.</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0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Business Transfer Agreement, dated as of June 12, 2004, between Hynix Semiconductor Inc. and MagnaChip Semiconductor, Ltd. (Korea)(1)</w:t>
      </w:r>
    </w:p>
    <w:p>
      <w:pPr>
        <w:spacing w:after="0" w:line="117" w:lineRule="exact"/>
        <w:rPr>
          <w:sz w:val="20"/>
          <w:szCs w:val="20"/>
          <w:color w:val="auto"/>
        </w:rPr>
      </w:pPr>
    </w:p>
    <w:p>
      <w:pPr>
        <w:ind w:left="920" w:hanging="786"/>
        <w:spacing w:after="0" w:line="268" w:lineRule="auto"/>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First Amendment to Business Transfer Agreement, dated as of October 6, 2004, between Hynix Semiconductor Inc. and MagnaChip Semiconductor, Ltd. (Korea)(1)</w:t>
      </w:r>
    </w:p>
    <w:p>
      <w:pPr>
        <w:spacing w:after="0" w:line="78"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Formation of MagnaChip Semiconductor LLC (formerly System Semiconductor Holding LLC)(1)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to Certificate of Formation of MagnaChip Semiconductor LLC(1)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Third Amended and Restated Limited Liability Company Operating Agreement of MagnaChip Semiconductor LLC(1)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Articles of Incorporation of MagnaChip Semiconductor S.A.(1)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Certificate of Incorporation of MagnaChip Semiconductor Finance Company(1)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Bylaws of MagnaChip Semiconductor Finance Company(1)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Certificate of Formation for MagnaChip Semiconductor SA Holdings LLC(1)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Limited Liability Company Agreement of MagnaChip Semiconductor SA Holdings LLC(1)</w:t>
      </w:r>
    </w:p>
    <w:p>
      <w:pPr>
        <w:spacing w:after="0" w:line="117"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Deed of Amendment to the Articles of Association of MagnaChip Semiconductor B.V. (English translation)(1)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Articles of Incorporation of MagnaChip Semiconductor, Ltd. (Korea)(1)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Memorandum of Association of MagnaChip Semiconductor Ltd. (Hong Kong)(1)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Articles of Association of MagnaChip Semiconductor Ltd. (Hong Kong)(1)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Memorandum of Association of MagnaChip Semiconductor Ltd. (United Kingdom)(1)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Articles of Association of MagnaChip Semiconductor Ltd. (United Kingdom)(1)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color w:val="auto"/>
        </w:rPr>
        <w:t>Articles of Incorporation of MagnaChip Semiconductor Ltd. (Taiwan) (English translation)(1)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5"/>
          <w:szCs w:val="15"/>
          <w:color w:val="auto"/>
        </w:rPr>
        <w:t>Merger Agreement by and between ISRON Corporation and MagnaChip Semiconductor Inc. dated December 21, 2005, as amended on February 22,</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2006, including Articles of Incorporation of MagnaChip Semiconductor Inc. (formerly ISRON Corporation) (Japan) (English translation)(2)</w:t>
      </w:r>
    </w:p>
    <w:p>
      <w:pPr>
        <w:spacing w:after="0" w:line="134"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Bylaws of MagnaChip Semiconductor, Inc. (formerly IC Media Corporation)(1)</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Certificate of Amendment to the Bylaws of MagnaChip Semiconductor, Inc. (formerly IC Media Corporation)(1)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3.23</w:t>
            </w:r>
          </w:p>
        </w:tc>
        <w:tc>
          <w:tcPr>
            <w:tcW w:w="10480" w:type="dxa"/>
            <w:vAlign w:val="bottom"/>
          </w:tcPr>
          <w:p>
            <w:pPr>
              <w:ind w:left="28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3.24</w:t>
            </w:r>
          </w:p>
        </w:tc>
        <w:tc>
          <w:tcPr>
            <w:tcW w:w="10480" w:type="dxa"/>
            <w:vAlign w:val="bottom"/>
          </w:tcPr>
          <w:p>
            <w:pPr>
              <w:ind w:left="280"/>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3.25</w:t>
            </w:r>
          </w:p>
        </w:tc>
        <w:tc>
          <w:tcPr>
            <w:tcW w:w="10480" w:type="dxa"/>
            <w:vAlign w:val="bottom"/>
          </w:tcPr>
          <w:p>
            <w:pPr>
              <w:ind w:left="280"/>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3.26</w:t>
            </w:r>
          </w:p>
        </w:tc>
        <w:tc>
          <w:tcPr>
            <w:tcW w:w="10480" w:type="dxa"/>
            <w:vAlign w:val="bottom"/>
          </w:tcPr>
          <w:p>
            <w:pPr>
              <w:ind w:left="280"/>
              <w:spacing w:after="0"/>
              <w:rPr>
                <w:sz w:val="20"/>
                <w:szCs w:val="20"/>
                <w:color w:val="auto"/>
              </w:rPr>
            </w:pPr>
            <w:r>
              <w:rPr>
                <w:rFonts w:ascii="Arial" w:cs="Arial" w:eastAsia="Arial" w:hAnsi="Arial"/>
                <w:sz w:val="18"/>
                <w:szCs w:val="18"/>
                <w:color w:val="auto"/>
                <w:w w:val="94"/>
              </w:rPr>
              <w:t>Memorandum of Association of MagnaChip Semiconductor Holding Company Limited (formerly IC Media Holding Company Limited)(1)</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3.27</w:t>
            </w:r>
          </w:p>
        </w:tc>
        <w:tc>
          <w:tcPr>
            <w:tcW w:w="10480" w:type="dxa"/>
            <w:vAlign w:val="bottom"/>
          </w:tcPr>
          <w:p>
            <w:pPr>
              <w:ind w:left="280"/>
              <w:spacing w:after="0"/>
              <w:rPr>
                <w:sz w:val="20"/>
                <w:szCs w:val="20"/>
                <w:color w:val="auto"/>
              </w:rPr>
            </w:pPr>
            <w:r>
              <w:rPr>
                <w:rFonts w:ascii="Arial" w:cs="Arial" w:eastAsia="Arial" w:hAnsi="Arial"/>
                <w:sz w:val="18"/>
                <w:szCs w:val="18"/>
                <w:color w:val="auto"/>
                <w:w w:val="99"/>
              </w:rPr>
              <w:t>Articles of Association of MagnaChip Semiconductor Holding Company Limited (formerly IC Media Holding Company Limited)(1)</w:t>
            </w:r>
          </w:p>
        </w:tc>
      </w:tr>
      <w:tr>
        <w:trPr>
          <w:trHeight w:val="318"/>
        </w:trPr>
        <w:tc>
          <w:tcPr>
            <w:tcW w:w="720" w:type="dxa"/>
            <w:vAlign w:val="bottom"/>
          </w:tcPr>
          <w:p>
            <w:pPr>
              <w:jc w:val="right"/>
              <w:ind w:right="212"/>
              <w:spacing w:after="0"/>
              <w:rPr>
                <w:sz w:val="20"/>
                <w:szCs w:val="20"/>
                <w:color w:val="auto"/>
              </w:rPr>
            </w:pPr>
            <w:r>
              <w:rPr>
                <w:rFonts w:ascii="Arial" w:cs="Arial" w:eastAsia="Arial" w:hAnsi="Arial"/>
                <w:sz w:val="18"/>
                <w:szCs w:val="18"/>
                <w:color w:val="auto"/>
                <w:w w:val="79"/>
              </w:rPr>
              <w:t>3.27.a</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Amendment to Memorandum and Articles of Association of MagnaChip Semiconductor Holding Company Limited (formerly IC Media Holding</w:t>
            </w:r>
          </w:p>
        </w:tc>
      </w:tr>
      <w:tr>
        <w:trPr>
          <w:trHeight w:val="222"/>
        </w:trPr>
        <w:tc>
          <w:tcPr>
            <w:tcW w:w="72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Company Limited)(2)</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3.28</w:t>
            </w:r>
          </w:p>
        </w:tc>
        <w:tc>
          <w:tcPr>
            <w:tcW w:w="10480" w:type="dxa"/>
            <w:vAlign w:val="bottom"/>
          </w:tcPr>
          <w:p>
            <w:pPr>
              <w:ind w:left="28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318"/>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3.29</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Agreement and Plan of Merger by and between IC Media Corporation and MagnaChip Semiconductor, Inc., including Amended and Restated</w:t>
            </w:r>
          </w:p>
        </w:tc>
      </w:tr>
      <w:tr>
        <w:trPr>
          <w:trHeight w:val="222"/>
        </w:trPr>
        <w:tc>
          <w:tcPr>
            <w:tcW w:w="72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Articles of Incorporation, as filed with the State of California Secretary of State on November 17, 2005, and as corrected on February 6, 2006(2)</w:t>
            </w:r>
          </w:p>
        </w:tc>
      </w:tr>
      <w:tr>
        <w:trPr>
          <w:trHeight w:val="318"/>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10480" w:type="dxa"/>
            <w:vAlign w:val="bottom"/>
          </w:tcPr>
          <w:p>
            <w:pPr>
              <w:ind w:left="280"/>
              <w:spacing w:after="0"/>
              <w:rPr>
                <w:sz w:val="20"/>
                <w:szCs w:val="20"/>
                <w:color w:val="auto"/>
              </w:rPr>
            </w:pPr>
            <w:r>
              <w:rPr>
                <w:rFonts w:ascii="Arial" w:cs="Arial" w:eastAsia="Arial" w:hAnsi="Arial"/>
                <w:sz w:val="18"/>
                <w:szCs w:val="18"/>
                <w:color w:val="auto"/>
                <w:w w:val="94"/>
              </w:rPr>
              <w:t>Indenture, dated as of December 23, 2004, among MagnaChip Semiconductor S.A., MagnaChip Semiconductor Finance Company, the</w:t>
            </w:r>
          </w:p>
        </w:tc>
      </w:tr>
      <w:tr>
        <w:trPr>
          <w:trHeight w:val="216"/>
        </w:trPr>
        <w:tc>
          <w:tcPr>
            <w:tcW w:w="72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87"/>
              </w:rPr>
              <w:t>guarantors as named therein and The Bank of New York, as trustee for the Floating Rate Second Priority Senior Secured Notes due 2011 and the</w:t>
            </w:r>
          </w:p>
        </w:tc>
      </w:tr>
      <w:tr>
        <w:trPr>
          <w:trHeight w:val="299"/>
        </w:trPr>
        <w:tc>
          <w:tcPr>
            <w:tcW w:w="720" w:type="dxa"/>
            <w:vAlign w:val="bottom"/>
          </w:tcPr>
          <w:p>
            <w:pPr>
              <w:spacing w:after="0"/>
              <w:rPr>
                <w:sz w:val="24"/>
                <w:szCs w:val="24"/>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2011(1)</w:t>
            </w:r>
          </w:p>
        </w:tc>
      </w:tr>
      <w:tr>
        <w:trPr>
          <w:trHeight w:val="248"/>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10480" w:type="dxa"/>
            <w:vAlign w:val="bottom"/>
          </w:tcPr>
          <w:p>
            <w:pPr>
              <w:ind w:left="28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400"/>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4.3</w:t>
            </w:r>
          </w:p>
        </w:tc>
        <w:tc>
          <w:tcPr>
            <w:tcW w:w="10480" w:type="dxa"/>
            <w:vAlign w:val="bottom"/>
          </w:tcPr>
          <w:p>
            <w:pPr>
              <w:ind w:left="28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41"/>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dated as of December 23, 2004, by and among MagnaChip Semiconductor S.A., MagnaChip Semiconductor</w:t>
            </w:r>
          </w:p>
        </w:tc>
      </w:tr>
      <w:tr>
        <w:trPr>
          <w:trHeight w:val="216"/>
        </w:trPr>
        <w:tc>
          <w:tcPr>
            <w:tcW w:w="72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2"/>
              </w:rPr>
              <w:t>Finance Company, the guarantors named therein, UBS Securities LLC, Citigroup Global Markets Inc., Goldman, Sachs &amp; Co., J.P. Morgan</w:t>
            </w:r>
          </w:p>
        </w:tc>
      </w:tr>
      <w:tr>
        <w:trPr>
          <w:trHeight w:val="222"/>
        </w:trPr>
        <w:tc>
          <w:tcPr>
            <w:tcW w:w="72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Securities Inc. and Deutsche Bank Securities Inc.(1)</w:t>
            </w:r>
          </w:p>
        </w:tc>
      </w:tr>
      <w:tr>
        <w:trPr>
          <w:trHeight w:val="318"/>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4.5</w:t>
            </w:r>
          </w:p>
        </w:tc>
        <w:tc>
          <w:tcPr>
            <w:tcW w:w="10480" w:type="dxa"/>
            <w:vAlign w:val="bottom"/>
          </w:tcPr>
          <w:p>
            <w:pPr>
              <w:ind w:left="280"/>
              <w:spacing w:after="0"/>
              <w:rPr>
                <w:sz w:val="20"/>
                <w:szCs w:val="20"/>
                <w:color w:val="auto"/>
              </w:rPr>
            </w:pPr>
            <w:r>
              <w:rPr>
                <w:rFonts w:ascii="Arial" w:cs="Arial" w:eastAsia="Arial" w:hAnsi="Arial"/>
                <w:sz w:val="18"/>
                <w:szCs w:val="18"/>
                <w:color w:val="auto"/>
                <w:w w:val="94"/>
              </w:rPr>
              <w:t>Indenture, dated as of December 23, 2004, among MagnaChip Semiconductor S.A., MagnaChip Semiconductor Finance Company, the</w:t>
            </w:r>
          </w:p>
        </w:tc>
      </w:tr>
      <w:tr>
        <w:trPr>
          <w:trHeight w:val="222"/>
        </w:trPr>
        <w:tc>
          <w:tcPr>
            <w:tcW w:w="72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guarantors as named therein and The Bank of New York, as trustee for the 8% Senior Subordinated Notes due 2014(1)</w:t>
            </w:r>
          </w:p>
        </w:tc>
      </w:tr>
      <w:tr>
        <w:trPr>
          <w:trHeight w:val="324"/>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4.6</w:t>
            </w:r>
          </w:p>
        </w:tc>
        <w:tc>
          <w:tcPr>
            <w:tcW w:w="10480" w:type="dxa"/>
            <w:vAlign w:val="bottom"/>
          </w:tcPr>
          <w:p>
            <w:pPr>
              <w:ind w:left="28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318"/>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4.7</w:t>
            </w: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Registration Rights Agreement, dated as of December 23, 2004, by and among MagnaChip Semiconductor S.A., MagnaChip Semiconductor</w:t>
            </w:r>
          </w:p>
        </w:tc>
      </w:tr>
      <w:tr>
        <w:trPr>
          <w:trHeight w:val="216"/>
        </w:trPr>
        <w:tc>
          <w:tcPr>
            <w:tcW w:w="72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2"/>
              </w:rPr>
              <w:t>Finance Company, the guarantors named therein, UBS Securities LLC, Citigroup Global Markets Inc., Goldman, Sachs &amp; Co., J.P. Morgan</w:t>
            </w:r>
          </w:p>
        </w:tc>
      </w:tr>
      <w:tr>
        <w:trPr>
          <w:trHeight w:val="222"/>
        </w:trPr>
        <w:tc>
          <w:tcPr>
            <w:tcW w:w="72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Securities Inc. and Deutsche Bank Securities Inc.(1)</w:t>
            </w:r>
          </w:p>
        </w:tc>
      </w:tr>
      <w:tr>
        <w:trPr>
          <w:trHeight w:val="318"/>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Purchase Agreement, dated as of December 16, 2004, among MagnaChip Semiconductor S.A., MagnaChip Semiconductor Finance Company,</w:t>
            </w:r>
          </w:p>
        </w:tc>
      </w:tr>
      <w:tr>
        <w:trPr>
          <w:trHeight w:val="222"/>
        </w:trPr>
        <w:tc>
          <w:tcPr>
            <w:tcW w:w="72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UBS Securities LLC, Citigroup Global Markets Inc., Goldman, Sachs &amp; Co., J.P. Morgan Securities Inc. and Deutsche Bank Securities Inc.(1)</w:t>
            </w:r>
          </w:p>
        </w:tc>
      </w:tr>
      <w:tr>
        <w:trPr>
          <w:trHeight w:val="318"/>
        </w:trPr>
        <w:tc>
          <w:tcPr>
            <w:tcW w:w="720" w:type="dxa"/>
            <w:vAlign w:val="bottom"/>
          </w:tcPr>
          <w:p>
            <w:pPr>
              <w:jc w:val="right"/>
              <w:ind w:right="212"/>
              <w:spacing w:after="0"/>
              <w:rPr>
                <w:sz w:val="20"/>
                <w:szCs w:val="20"/>
                <w:color w:val="auto"/>
              </w:rPr>
            </w:pPr>
            <w:r>
              <w:rPr>
                <w:rFonts w:ascii="Arial" w:cs="Arial" w:eastAsia="Arial" w:hAnsi="Arial"/>
                <w:sz w:val="18"/>
                <w:szCs w:val="18"/>
                <w:color w:val="auto"/>
              </w:rPr>
              <w:t>10.2</w:t>
            </w:r>
          </w:p>
        </w:tc>
        <w:tc>
          <w:tcPr>
            <w:tcW w:w="10480" w:type="dxa"/>
            <w:vAlign w:val="bottom"/>
          </w:tcPr>
          <w:p>
            <w:pPr>
              <w:ind w:left="280"/>
              <w:spacing w:after="0"/>
              <w:rPr>
                <w:sz w:val="20"/>
                <w:szCs w:val="20"/>
                <w:color w:val="auto"/>
              </w:rPr>
            </w:pPr>
            <w:r>
              <w:rPr>
                <w:rFonts w:ascii="Arial" w:cs="Arial" w:eastAsia="Arial" w:hAnsi="Arial"/>
                <w:sz w:val="18"/>
                <w:szCs w:val="18"/>
                <w:color w:val="auto"/>
                <w:w w:val="89"/>
              </w:rPr>
              <w:t>Credit Agreement, dated as of December 23, 2004, among MagnaChip Semiconductor S.A., MagnaChip Semiconductor Finance Company, the</w:t>
            </w:r>
          </w:p>
        </w:tc>
      </w:tr>
      <w:tr>
        <w:trPr>
          <w:trHeight w:val="216"/>
        </w:trPr>
        <w:tc>
          <w:tcPr>
            <w:tcW w:w="720" w:type="dxa"/>
            <w:vAlign w:val="bottom"/>
          </w:tcPr>
          <w:p>
            <w:pPr>
              <w:spacing w:after="0"/>
              <w:rPr>
                <w:sz w:val="18"/>
                <w:szCs w:val="18"/>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w w:val="90"/>
              </w:rPr>
              <w:t>guarantors named therein, the lenders named therein, UBS Securities LLC, Korea Exchange Bank, UBS AG, Stamford Branch and UBS Loan</w:t>
            </w:r>
          </w:p>
        </w:tc>
      </w:tr>
      <w:tr>
        <w:trPr>
          <w:trHeight w:val="222"/>
        </w:trPr>
        <w:tc>
          <w:tcPr>
            <w:tcW w:w="720" w:type="dxa"/>
            <w:vAlign w:val="bottom"/>
          </w:tcPr>
          <w:p>
            <w:pPr>
              <w:spacing w:after="0"/>
              <w:rPr>
                <w:sz w:val="19"/>
                <w:szCs w:val="19"/>
                <w:color w:val="auto"/>
              </w:rPr>
            </w:pPr>
          </w:p>
        </w:tc>
        <w:tc>
          <w:tcPr>
            <w:tcW w:w="10480" w:type="dxa"/>
            <w:vAlign w:val="bottom"/>
          </w:tcPr>
          <w:p>
            <w:pPr>
              <w:ind w:left="280"/>
              <w:spacing w:after="0"/>
              <w:rPr>
                <w:sz w:val="20"/>
                <w:szCs w:val="20"/>
                <w:color w:val="auto"/>
              </w:rPr>
            </w:pPr>
            <w:r>
              <w:rPr>
                <w:rFonts w:ascii="Arial" w:cs="Arial" w:eastAsia="Arial" w:hAnsi="Arial"/>
                <w:sz w:val="18"/>
                <w:szCs w:val="18"/>
                <w:color w:val="auto"/>
              </w:rPr>
              <w:t>Finance LLC(1)</w:t>
            </w:r>
          </w:p>
        </w:tc>
      </w:tr>
      <w:tr>
        <w:trPr>
          <w:trHeight w:val="365"/>
        </w:trPr>
        <w:tc>
          <w:tcPr>
            <w:tcW w:w="720" w:type="dxa"/>
            <w:vAlign w:val="bottom"/>
          </w:tcPr>
          <w:p>
            <w:pPr>
              <w:spacing w:after="0"/>
              <w:rPr>
                <w:sz w:val="24"/>
                <w:szCs w:val="24"/>
                <w:color w:val="auto"/>
              </w:rPr>
            </w:pPr>
          </w:p>
        </w:tc>
        <w:tc>
          <w:tcPr>
            <w:tcW w:w="10480" w:type="dxa"/>
            <w:vAlign w:val="bottom"/>
          </w:tcPr>
          <w:p>
            <w:pPr>
              <w:ind w:left="4740"/>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160" w:right="180" w:hanging="874"/>
        <w:spacing w:after="0" w:line="306" w:lineRule="auto"/>
        <w:tabs>
          <w:tab w:leader="none" w:pos="1140" w:val="left"/>
        </w:tabs>
        <w:rPr>
          <w:sz w:val="20"/>
          <w:szCs w:val="20"/>
          <w:color w:val="auto"/>
        </w:rPr>
      </w:pPr>
      <w:r>
        <w:rPr>
          <w:rFonts w:ascii="Arial" w:cs="Arial" w:eastAsia="Arial" w:hAnsi="Arial"/>
          <w:sz w:val="18"/>
          <w:szCs w:val="18"/>
          <w:color w:val="auto"/>
        </w:rPr>
        <w:t>10.3.a</w:t>
      </w:r>
      <w:r>
        <w:rPr>
          <w:sz w:val="20"/>
          <w:szCs w:val="20"/>
          <w:color w:val="auto"/>
        </w:rPr>
        <w:tab/>
      </w:r>
      <w:r>
        <w:rPr>
          <w:rFonts w:ascii="Arial" w:cs="Arial" w:eastAsia="Arial" w:hAnsi="Arial"/>
          <w:sz w:val="16"/>
          <w:szCs w:val="16"/>
          <w:color w:val="auto"/>
        </w:rPr>
        <w:t>First Amendment to Credit Agreement and Waiver, dated as of May 6, 2005, to the Credit Agreement, dated as of December 23, 2004, among MagnaChip Semiconductor S.A., MagnaChip Semiconductor Finance Company, the guarantors named therein, the lenders named therein, UBS Securities LLC, Korea Exchange Bank, UBS AG, Stamford Branch and UBS Loan Finance LLC(1)</w:t>
      </w:r>
    </w:p>
    <w:p>
      <w:pPr>
        <w:spacing w:after="0" w:line="53" w:lineRule="exact"/>
        <w:rPr>
          <w:sz w:val="20"/>
          <w:szCs w:val="20"/>
          <w:color w:val="auto"/>
        </w:rPr>
      </w:pPr>
    </w:p>
    <w:p>
      <w:pPr>
        <w:ind w:left="1160" w:right="40" w:hanging="884"/>
        <w:spacing w:after="0" w:line="306" w:lineRule="auto"/>
        <w:tabs>
          <w:tab w:leader="none" w:pos="1140" w:val="left"/>
        </w:tabs>
        <w:rPr>
          <w:sz w:val="20"/>
          <w:szCs w:val="20"/>
          <w:color w:val="auto"/>
        </w:rPr>
      </w:pPr>
      <w:r>
        <w:rPr>
          <w:rFonts w:ascii="Arial" w:cs="Arial" w:eastAsia="Arial" w:hAnsi="Arial"/>
          <w:sz w:val="18"/>
          <w:szCs w:val="18"/>
          <w:color w:val="auto"/>
        </w:rPr>
        <w:t>10.3.b</w:t>
      </w:r>
      <w:r>
        <w:rPr>
          <w:sz w:val="20"/>
          <w:szCs w:val="20"/>
          <w:color w:val="auto"/>
        </w:rPr>
        <w:tab/>
      </w:r>
      <w:r>
        <w:rPr>
          <w:rFonts w:ascii="Arial" w:cs="Arial" w:eastAsia="Arial" w:hAnsi="Arial"/>
          <w:sz w:val="16"/>
          <w:szCs w:val="16"/>
          <w:color w:val="auto"/>
        </w:rPr>
        <w:t>Second Amendment to Credit Agreement and Waiver dated as of June 21, 2005, to the Credit Agreement, dated as of December 23, 2004, among MagnaChip Semiconductor S.A., MagnaChip Semiconductor Finance Company, the guarantors named therein, the lenders named therein, UBS Securities LLC, Korea Exchange Bank, UBS AG, Stamford Branch and UBS Loan Finance LLC(1)</w:t>
      </w:r>
    </w:p>
    <w:p>
      <w:pPr>
        <w:spacing w:after="0" w:line="53" w:lineRule="exact"/>
        <w:rPr>
          <w:sz w:val="20"/>
          <w:szCs w:val="20"/>
          <w:color w:val="auto"/>
        </w:rPr>
      </w:pPr>
    </w:p>
    <w:p>
      <w:pPr>
        <w:ind w:left="1160" w:hanging="874"/>
        <w:spacing w:after="0" w:line="259" w:lineRule="auto"/>
        <w:tabs>
          <w:tab w:leader="none" w:pos="1140" w:val="left"/>
        </w:tabs>
        <w:rPr>
          <w:sz w:val="20"/>
          <w:szCs w:val="20"/>
          <w:color w:val="auto"/>
        </w:rPr>
      </w:pPr>
      <w:r>
        <w:rPr>
          <w:rFonts w:ascii="Arial" w:cs="Arial" w:eastAsia="Arial" w:hAnsi="Arial"/>
          <w:sz w:val="18"/>
          <w:szCs w:val="18"/>
          <w:color w:val="auto"/>
        </w:rPr>
        <w:t>10.3.c</w:t>
      </w:r>
      <w:r>
        <w:rPr>
          <w:sz w:val="20"/>
          <w:szCs w:val="20"/>
          <w:color w:val="auto"/>
        </w:rPr>
        <w:tab/>
      </w:r>
      <w:r>
        <w:rPr>
          <w:rFonts w:ascii="Arial" w:cs="Arial" w:eastAsia="Arial" w:hAnsi="Arial"/>
          <w:sz w:val="18"/>
          <w:szCs w:val="18"/>
          <w:color w:val="auto"/>
        </w:rPr>
        <w:t>Third Amendment to Credit Agreement dated as of March 27, 2006, to the Credit Agreement, dated as of December 23, 2004, among MagnaChip Semiconductor S.A., MagnaChip Semiconductor Finance Company, the guarantors named therein, the lenders named therein, UBS Securities LLC, Korea Exchange Bank, UBS AG, Stamford Branch and UBS Loan Finance LLC(2)</w:t>
      </w:r>
    </w:p>
    <w:p>
      <w:pPr>
        <w:spacing w:after="0" w:line="86" w:lineRule="exact"/>
        <w:rPr>
          <w:sz w:val="20"/>
          <w:szCs w:val="20"/>
          <w:color w:val="auto"/>
        </w:rPr>
      </w:pPr>
    </w:p>
    <w:p>
      <w:pPr>
        <w:ind w:left="1160" w:right="320" w:hanging="884"/>
        <w:spacing w:after="0" w:line="306" w:lineRule="auto"/>
        <w:tabs>
          <w:tab w:leader="none" w:pos="1140" w:val="left"/>
        </w:tabs>
        <w:rPr>
          <w:sz w:val="20"/>
          <w:szCs w:val="20"/>
          <w:color w:val="auto"/>
        </w:rPr>
      </w:pPr>
      <w:r>
        <w:rPr>
          <w:rFonts w:ascii="Arial" w:cs="Arial" w:eastAsia="Arial" w:hAnsi="Arial"/>
          <w:sz w:val="18"/>
          <w:szCs w:val="18"/>
          <w:color w:val="auto"/>
        </w:rPr>
        <w:t>10.3.d</w:t>
      </w:r>
      <w:r>
        <w:rPr>
          <w:sz w:val="20"/>
          <w:szCs w:val="20"/>
          <w:color w:val="auto"/>
        </w:rPr>
        <w:tab/>
      </w:r>
      <w:r>
        <w:rPr>
          <w:rFonts w:ascii="Arial" w:cs="Arial" w:eastAsia="Arial" w:hAnsi="Arial"/>
          <w:sz w:val="16"/>
          <w:szCs w:val="16"/>
          <w:color w:val="auto"/>
        </w:rPr>
        <w:t>Fourth Amendment to Credit Agreement, dated as of July 26, 2006, by and among MagnaChip Semiconductor S.A. and MagnaChip Semiconductor Finance Company, as borrowers, MagnaChip Semiconductor LLC, the Subsidiary Guarantors party thereto, the Lenders party thereto, UBS AG, Stamford Branch, as administrative agent and collateral agent, and U.S. Bank National Association(3)</w:t>
      </w:r>
    </w:p>
    <w:p>
      <w:pPr>
        <w:spacing w:after="0" w:line="53" w:lineRule="exact"/>
        <w:rPr>
          <w:sz w:val="20"/>
          <w:szCs w:val="20"/>
          <w:color w:val="auto"/>
        </w:rPr>
      </w:pPr>
    </w:p>
    <w:p>
      <w:pPr>
        <w:ind w:left="1160" w:right="320" w:hanging="874"/>
        <w:spacing w:after="0" w:line="259" w:lineRule="auto"/>
        <w:tabs>
          <w:tab w:leader="none" w:pos="1140" w:val="left"/>
        </w:tabs>
        <w:rPr>
          <w:sz w:val="20"/>
          <w:szCs w:val="20"/>
          <w:color w:val="auto"/>
        </w:rPr>
      </w:pPr>
      <w:r>
        <w:rPr>
          <w:rFonts w:ascii="Arial" w:cs="Arial" w:eastAsia="Arial" w:hAnsi="Arial"/>
          <w:sz w:val="18"/>
          <w:szCs w:val="18"/>
          <w:color w:val="auto"/>
        </w:rPr>
        <w:t>10.3.e</w:t>
      </w:r>
      <w:r>
        <w:rPr>
          <w:sz w:val="20"/>
          <w:szCs w:val="20"/>
          <w:color w:val="auto"/>
        </w:rPr>
        <w:tab/>
      </w:r>
      <w:r>
        <w:rPr>
          <w:rFonts w:ascii="Arial" w:cs="Arial" w:eastAsia="Arial" w:hAnsi="Arial"/>
          <w:sz w:val="18"/>
          <w:szCs w:val="18"/>
          <w:color w:val="auto"/>
        </w:rPr>
        <w:t>Fifth Amendment to Credit Agreement, dated as of December 29, 2006, by and among MagnaChip Semiconductor S.A. and MagnaChip Semiconductor Finance Company, as borrowers, MagnaChip Semiconductor LLC, the Subsidiary Guarantors party thereto, the Lenders party thereto, and UBS AG, Stamford Branch, as administrative agent and collateral agent(4)</w:t>
      </w:r>
    </w:p>
    <w:p>
      <w:pPr>
        <w:spacing w:after="0" w:line="86" w:lineRule="exact"/>
        <w:rPr>
          <w:sz w:val="20"/>
          <w:szCs w:val="20"/>
          <w:color w:val="auto"/>
        </w:rPr>
      </w:pPr>
    </w:p>
    <w:p>
      <w:pPr>
        <w:ind w:left="1160" w:right="320" w:hanging="854"/>
        <w:spacing w:after="0" w:line="259" w:lineRule="auto"/>
        <w:tabs>
          <w:tab w:leader="none" w:pos="1140" w:val="left"/>
        </w:tabs>
        <w:rPr>
          <w:sz w:val="20"/>
          <w:szCs w:val="20"/>
          <w:color w:val="auto"/>
        </w:rPr>
      </w:pPr>
      <w:r>
        <w:rPr>
          <w:rFonts w:ascii="Arial" w:cs="Arial" w:eastAsia="Arial" w:hAnsi="Arial"/>
          <w:sz w:val="18"/>
          <w:szCs w:val="18"/>
          <w:color w:val="auto"/>
        </w:rPr>
        <w:t>10.3.f</w:t>
      </w:r>
      <w:r>
        <w:rPr>
          <w:sz w:val="20"/>
          <w:szCs w:val="20"/>
          <w:color w:val="auto"/>
        </w:rPr>
        <w:tab/>
      </w:r>
      <w:r>
        <w:rPr>
          <w:rFonts w:ascii="Arial" w:cs="Arial" w:eastAsia="Arial" w:hAnsi="Arial"/>
          <w:sz w:val="18"/>
          <w:szCs w:val="18"/>
          <w:color w:val="auto"/>
        </w:rPr>
        <w:t>Sixth Amendment to Credit Agreement dated as of March 26, 2007, by and among MagnaChip Semiconductor S.A. and MagnaChip Semiconductor Finance Company, as borrowers, MagnaChip Semiconductor LLC, the Subsidiary Guarantors party thereto, the Lenders party thereto, and UBS AG, Stamford Branch, as administrative agent and collateral agent.</w:t>
      </w:r>
    </w:p>
    <w:p>
      <w:pPr>
        <w:spacing w:after="0" w:line="86" w:lineRule="exact"/>
        <w:rPr>
          <w:sz w:val="20"/>
          <w:szCs w:val="20"/>
          <w:color w:val="auto"/>
        </w:rPr>
      </w:pPr>
    </w:p>
    <w:p>
      <w:pPr>
        <w:ind w:left="1160" w:right="180" w:hanging="752"/>
        <w:spacing w:after="0" w:line="268"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Intercreditor Agreement dated as of December 23, 2004 among MagnaChip Semiconductor Finance Company, the other Pledgors party thereto, UBS AG, Stamford Branch, The Bank of New York and U.S. Bank National Association(1)</w:t>
      </w:r>
    </w:p>
    <w:p>
      <w:pPr>
        <w:spacing w:after="0" w:line="78"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Second Amended and Restated Securityholders Agreement of MagnaChip Semiconductor LLC(1)</w:t>
      </w:r>
    </w:p>
    <w:p>
      <w:pPr>
        <w:spacing w:after="0" w:line="117" w:lineRule="exact"/>
        <w:rPr>
          <w:sz w:val="20"/>
          <w:szCs w:val="20"/>
          <w:color w:val="auto"/>
        </w:rPr>
      </w:pPr>
    </w:p>
    <w:p>
      <w:pPr>
        <w:ind w:left="400"/>
        <w:spacing w:after="0"/>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Warrant held by Hynix Semiconductor Inc. to purchase common units of MagnaChip Semiconductor LLC(1)</w:t>
      </w:r>
    </w:p>
    <w:p>
      <w:pPr>
        <w:spacing w:after="0" w:line="117" w:lineRule="exact"/>
        <w:rPr>
          <w:sz w:val="20"/>
          <w:szCs w:val="20"/>
          <w:color w:val="auto"/>
        </w:rPr>
      </w:pPr>
    </w:p>
    <w:p>
      <w:pPr>
        <w:ind w:left="1160" w:right="1120" w:hanging="752"/>
        <w:spacing w:after="0" w:line="268"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Intellectual Property License Agreement, dated as of October 6, 2004, by and between Hynix Semiconductor Inc. and MagnaChip Semiconductor, Ltd. (Korea)(1)</w:t>
      </w:r>
    </w:p>
    <w:p>
      <w:pPr>
        <w:spacing w:after="0" w:line="78" w:lineRule="exact"/>
        <w:rPr>
          <w:sz w:val="20"/>
          <w:szCs w:val="20"/>
          <w:color w:val="auto"/>
        </w:rPr>
      </w:pPr>
    </w:p>
    <w:p>
      <w:pPr>
        <w:ind w:left="1160" w:right="320" w:hanging="752"/>
        <w:spacing w:after="0" w:line="268"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Trademark License Agreement, dated as of October 6, 2004, by and between Hynix Semiconductor Inc. and MagnaChip Semiconductor, Ltd. (Korea)(1)</w:t>
      </w:r>
    </w:p>
    <w:p>
      <w:pPr>
        <w:spacing w:after="0" w:line="78" w:lineRule="exact"/>
        <w:rPr>
          <w:sz w:val="20"/>
          <w:szCs w:val="20"/>
          <w:color w:val="auto"/>
        </w:rPr>
      </w:pPr>
    </w:p>
    <w:p>
      <w:pPr>
        <w:ind w:left="1160" w:right="940" w:hanging="752"/>
        <w:spacing w:after="0" w:line="268"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Building Lease Agreement for Warehouses, dated as of October 6, 2004, by and between Hynix Semiconductor Inc. and MagnaChip Semiconductor, Ltd. (Korea)(1)</w:t>
      </w:r>
    </w:p>
    <w:p>
      <w:pPr>
        <w:spacing w:after="0" w:line="78" w:lineRule="exact"/>
        <w:rPr>
          <w:sz w:val="20"/>
          <w:szCs w:val="20"/>
          <w:color w:val="auto"/>
        </w:rPr>
      </w:pPr>
    </w:p>
    <w:p>
      <w:pPr>
        <w:ind w:left="1160" w:right="120" w:hanging="874"/>
        <w:spacing w:after="0" w:line="268" w:lineRule="auto"/>
        <w:tabs>
          <w:tab w:leader="none" w:pos="1140" w:val="left"/>
        </w:tabs>
        <w:rPr>
          <w:sz w:val="20"/>
          <w:szCs w:val="20"/>
          <w:color w:val="auto"/>
        </w:rPr>
      </w:pPr>
      <w:r>
        <w:rPr>
          <w:rFonts w:ascii="Arial" w:cs="Arial" w:eastAsia="Arial" w:hAnsi="Arial"/>
          <w:sz w:val="18"/>
          <w:szCs w:val="18"/>
          <w:color w:val="auto"/>
        </w:rPr>
        <w:t>10.9.a</w:t>
      </w:r>
      <w:r>
        <w:rPr>
          <w:sz w:val="20"/>
          <w:szCs w:val="20"/>
          <w:color w:val="auto"/>
        </w:rPr>
        <w:tab/>
      </w:r>
      <w:r>
        <w:rPr>
          <w:rFonts w:ascii="Arial" w:cs="Arial" w:eastAsia="Arial" w:hAnsi="Arial"/>
          <w:sz w:val="18"/>
          <w:szCs w:val="18"/>
          <w:color w:val="auto"/>
        </w:rPr>
        <w:t>First Amendment to Building Lease Agreement for Warehouses, dated as of December 30, 2005, by and between Hynix Semiconductor Inc. and MagnaChip Semiconductor, Ltd. (Korea)(2)</w:t>
      </w:r>
    </w:p>
    <w:p>
      <w:pPr>
        <w:spacing w:after="0" w:line="78" w:lineRule="exact"/>
        <w:rPr>
          <w:sz w:val="20"/>
          <w:szCs w:val="20"/>
          <w:color w:val="auto"/>
        </w:rPr>
      </w:pPr>
    </w:p>
    <w:p>
      <w:pPr>
        <w:ind w:left="1160" w:right="880" w:hanging="840"/>
        <w:spacing w:after="0" w:line="268"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Building Lease Agreement for M4 Building, dated as of October 6, 2004, by and between Hynix Semiconductor Inc. and MagnaChip Semiconductor, Ltd. (Korea)(1)(5)</w:t>
      </w:r>
    </w:p>
    <w:p>
      <w:pPr>
        <w:spacing w:after="0" w:line="78" w:lineRule="exact"/>
        <w:rPr>
          <w:sz w:val="20"/>
          <w:szCs w:val="20"/>
          <w:color w:val="auto"/>
        </w:rPr>
      </w:pPr>
    </w:p>
    <w:p>
      <w:pPr>
        <w:ind w:left="1160" w:right="100" w:hanging="833"/>
        <w:spacing w:after="0" w:line="268"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Building Lease Agreement for R, C1 and C2 Buildings, dated as of October 6, 2004, by and between Hynix Semiconductor Inc. and MagnaChip Semiconductor, Ltd. (Korea)(1)</w:t>
      </w:r>
    </w:p>
    <w:p>
      <w:pPr>
        <w:spacing w:after="0" w:line="78" w:lineRule="exact"/>
        <w:rPr>
          <w:sz w:val="20"/>
          <w:szCs w:val="20"/>
          <w:color w:val="auto"/>
        </w:rPr>
      </w:pPr>
    </w:p>
    <w:p>
      <w:pPr>
        <w:ind w:left="1160" w:right="1000" w:hanging="955"/>
        <w:spacing w:after="0" w:line="268" w:lineRule="auto"/>
        <w:tabs>
          <w:tab w:leader="none" w:pos="1140" w:val="left"/>
        </w:tabs>
        <w:rPr>
          <w:sz w:val="20"/>
          <w:szCs w:val="20"/>
          <w:color w:val="auto"/>
        </w:rPr>
      </w:pPr>
      <w:r>
        <w:rPr>
          <w:rFonts w:ascii="Arial" w:cs="Arial" w:eastAsia="Arial" w:hAnsi="Arial"/>
          <w:sz w:val="18"/>
          <w:szCs w:val="18"/>
          <w:color w:val="auto"/>
        </w:rPr>
        <w:t>10.11.a</w:t>
      </w:r>
      <w:r>
        <w:rPr>
          <w:sz w:val="20"/>
          <w:szCs w:val="20"/>
          <w:color w:val="auto"/>
        </w:rPr>
        <w:tab/>
      </w:r>
      <w:r>
        <w:rPr>
          <w:rFonts w:ascii="Arial" w:cs="Arial" w:eastAsia="Arial" w:hAnsi="Arial"/>
          <w:sz w:val="18"/>
          <w:szCs w:val="18"/>
          <w:color w:val="auto"/>
        </w:rPr>
        <w:t>First Amendment to Building Lease Agreement for R, C1 and C2 Buildings, dated as of December 30, 2005, by and between Hynix Semiconductor Inc. and MagnaChip Semiconductor, Ltd. (Korea)(2)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160" w:right="160" w:hanging="840"/>
        <w:spacing w:after="0" w:line="268"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Land Lease and Easement Agreement, dated as of October 6, 2004, by and between Hynix Semiconductor Inc. and MagnaChip Semiconductor, Ltd. (Korea)(1)(5)</w:t>
      </w:r>
    </w:p>
    <w:p>
      <w:pPr>
        <w:spacing w:after="0" w:line="78" w:lineRule="exact"/>
        <w:rPr>
          <w:sz w:val="20"/>
          <w:szCs w:val="20"/>
          <w:color w:val="auto"/>
        </w:rPr>
      </w:pPr>
    </w:p>
    <w:p>
      <w:pPr>
        <w:ind w:left="1160" w:right="480" w:hanging="961"/>
        <w:spacing w:after="0" w:line="268" w:lineRule="auto"/>
        <w:tabs>
          <w:tab w:leader="none" w:pos="114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First Amendment to Land Lease and Easement Agreement, dated as of December 30, 2005, by and between Hynix Semiconductor Inc. and MagnaChip Semiconductor, Ltd. (Korea)(2)</w:t>
      </w:r>
    </w:p>
    <w:p>
      <w:pPr>
        <w:spacing w:after="0" w:line="78" w:lineRule="exact"/>
        <w:rPr>
          <w:sz w:val="20"/>
          <w:szCs w:val="20"/>
          <w:color w:val="auto"/>
        </w:rPr>
      </w:pPr>
    </w:p>
    <w:p>
      <w:pPr>
        <w:ind w:left="1160" w:right="40" w:hanging="840"/>
        <w:spacing w:after="0" w:line="268"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Wafer Foundry Service Agreement, dated as of October 6, 2004, by and between Hynix Semiconductor Inc. and MagnaChip Semiconductor, Ltd. (Korea)(1)(5)</w:t>
      </w:r>
    </w:p>
    <w:p>
      <w:pPr>
        <w:spacing w:after="0" w:line="78" w:lineRule="exact"/>
        <w:rPr>
          <w:sz w:val="20"/>
          <w:szCs w:val="20"/>
          <w:color w:val="auto"/>
        </w:rPr>
      </w:pPr>
    </w:p>
    <w:p>
      <w:pPr>
        <w:ind w:left="1160" w:right="640" w:hanging="840"/>
        <w:spacing w:after="0" w:line="268"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Wafer Mask Production and Supply Agreement, dated as of October 6, 2004, by and between Hynix Semiconductor Inc. and MagnaChip Semiconductor, Ltd. (Korea)(1)(5)</w:t>
      </w:r>
    </w:p>
    <w:p>
      <w:pPr>
        <w:spacing w:after="0" w:line="78" w:lineRule="exact"/>
        <w:rPr>
          <w:sz w:val="20"/>
          <w:szCs w:val="20"/>
          <w:color w:val="auto"/>
        </w:rPr>
      </w:pPr>
    </w:p>
    <w:p>
      <w:pPr>
        <w:ind w:left="1160" w:right="100" w:hanging="961"/>
        <w:spacing w:after="0" w:line="268" w:lineRule="auto"/>
        <w:tabs>
          <w:tab w:leader="none" w:pos="114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8"/>
          <w:szCs w:val="18"/>
          <w:color w:val="auto"/>
        </w:rPr>
        <w:t>First Amendment to Wafer Mask Production and Supply Agreement, dated as of December 30, 2005, by and between Hynix Semiconductor Inc. and MagnaChip Semiconductor, Ltd. (Korea)(2)(6)</w:t>
      </w:r>
    </w:p>
    <w:p>
      <w:pPr>
        <w:spacing w:after="0" w:line="78" w:lineRule="exact"/>
        <w:rPr>
          <w:sz w:val="20"/>
          <w:szCs w:val="20"/>
          <w:color w:val="auto"/>
        </w:rPr>
      </w:pPr>
    </w:p>
    <w:p>
      <w:pPr>
        <w:ind w:left="1160" w:hanging="840"/>
        <w:spacing w:after="0" w:line="268"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General Service Supply Agreement, dated as of October 6, 2004, by and between Hynix Semiconductor Inc. and MagnaChip Semiconductor, Ltd. (Korea)(1)</w:t>
      </w:r>
    </w:p>
    <w:p>
      <w:pPr>
        <w:spacing w:after="0" w:line="78" w:lineRule="exact"/>
        <w:rPr>
          <w:sz w:val="20"/>
          <w:szCs w:val="20"/>
          <w:color w:val="auto"/>
        </w:rPr>
      </w:pPr>
    </w:p>
    <w:p>
      <w:pPr>
        <w:ind w:left="1160" w:right="660" w:hanging="961"/>
        <w:spacing w:after="0" w:line="268" w:lineRule="auto"/>
        <w:tabs>
          <w:tab w:leader="none" w:pos="1140" w:val="left"/>
        </w:tabs>
        <w:rPr>
          <w:sz w:val="20"/>
          <w:szCs w:val="20"/>
          <w:color w:val="auto"/>
        </w:rPr>
      </w:pPr>
      <w:r>
        <w:rPr>
          <w:rFonts w:ascii="Arial" w:cs="Arial" w:eastAsia="Arial" w:hAnsi="Arial"/>
          <w:sz w:val="18"/>
          <w:szCs w:val="18"/>
          <w:color w:val="auto"/>
        </w:rPr>
        <w:t>10.15.a</w:t>
      </w:r>
      <w:r>
        <w:rPr>
          <w:sz w:val="20"/>
          <w:szCs w:val="20"/>
          <w:color w:val="auto"/>
        </w:rPr>
        <w:tab/>
      </w:r>
      <w:r>
        <w:rPr>
          <w:rFonts w:ascii="Arial" w:cs="Arial" w:eastAsia="Arial" w:hAnsi="Arial"/>
          <w:sz w:val="18"/>
          <w:szCs w:val="18"/>
          <w:color w:val="auto"/>
        </w:rPr>
        <w:t>First Amendment to General Service Supply Agreement, dated as of December 30, 2005, by and between Hynix Semiconductor Inc. and MagnaChip Semiconductor, Ltd. (Korea)(2)</w:t>
      </w:r>
    </w:p>
    <w:p>
      <w:pPr>
        <w:spacing w:after="0" w:line="78" w:lineRule="exact"/>
        <w:rPr>
          <w:sz w:val="20"/>
          <w:szCs w:val="20"/>
          <w:color w:val="auto"/>
        </w:rPr>
      </w:pPr>
    </w:p>
    <w:p>
      <w:pPr>
        <w:ind w:left="1160" w:right="380" w:hanging="840"/>
        <w:spacing w:after="0" w:line="268"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IT and FA Service Agreement, dated as of October 6, 2004, by and between Hynix Semiconductor Inc. and MagnaChip Semiconductor, Ltd. (Korea)(1)</w:t>
      </w:r>
    </w:p>
    <w:p>
      <w:pPr>
        <w:spacing w:after="0" w:line="78" w:lineRule="exact"/>
        <w:rPr>
          <w:sz w:val="20"/>
          <w:szCs w:val="20"/>
          <w:color w:val="auto"/>
        </w:rPr>
      </w:pPr>
    </w:p>
    <w:p>
      <w:pPr>
        <w:ind w:left="1160" w:right="160" w:hanging="961"/>
        <w:spacing w:after="0" w:line="268" w:lineRule="auto"/>
        <w:tabs>
          <w:tab w:leader="none" w:pos="1140" w:val="left"/>
        </w:tabs>
        <w:rPr>
          <w:sz w:val="20"/>
          <w:szCs w:val="20"/>
          <w:color w:val="auto"/>
        </w:rPr>
      </w:pPr>
      <w:r>
        <w:rPr>
          <w:rFonts w:ascii="Arial" w:cs="Arial" w:eastAsia="Arial" w:hAnsi="Arial"/>
          <w:sz w:val="18"/>
          <w:szCs w:val="18"/>
          <w:color w:val="auto"/>
        </w:rPr>
        <w:t>10.16.a</w:t>
      </w:r>
      <w:r>
        <w:rPr>
          <w:sz w:val="20"/>
          <w:szCs w:val="20"/>
          <w:color w:val="auto"/>
        </w:rPr>
        <w:tab/>
      </w:r>
      <w:r>
        <w:rPr>
          <w:rFonts w:ascii="Arial" w:cs="Arial" w:eastAsia="Arial" w:hAnsi="Arial"/>
          <w:sz w:val="18"/>
          <w:szCs w:val="18"/>
          <w:color w:val="auto"/>
        </w:rPr>
        <w:t>First Amendment to IT and FA Service Agreement, dated as of December 30, 2005, by and between Hynix Semiconductor Inc. and MagnaChip Semiconductor, Ltd. (Korea)(2)</w:t>
      </w:r>
    </w:p>
    <w:p>
      <w:pPr>
        <w:spacing w:after="0" w:line="78"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Service Agreement, dated as of October 6, 2004, by and between MagnaChip Semiconductor, Ltd. (Korea) and Youm Huh(1)</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Service Agreement, dated as of October 1, 2004, by and between MagnaChip Semiconductor, Ltd. (Korea) and Jerry Baker(1)</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Service Agreement, dated as of October 6, 2004, by and between MagnaChip Semiconductor, Ltd. (Korea) and Robert Krakauer(1)</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Service Agreement, dated as of December 29, 2004, by and between MagnaChip Semiconductor, Ltd. (Korea) and Victoria Miller Nam(1)</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Service Agreement, dated as of October 6, 2004, by and between MagnaChip Semiconductor, Ltd. (Korea) and Tae Young Hwang(1)</w:t>
      </w:r>
    </w:p>
    <w:p>
      <w:pPr>
        <w:spacing w:after="0" w:line="117" w:lineRule="exact"/>
        <w:rPr>
          <w:sz w:val="20"/>
          <w:szCs w:val="20"/>
          <w:color w:val="auto"/>
        </w:rPr>
      </w:pPr>
    </w:p>
    <w:p>
      <w:pPr>
        <w:ind w:left="1160" w:right="640" w:hanging="840"/>
        <w:spacing w:after="0" w:line="268"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Service Agreement, dated as of May 16, 2005, by and among MagnaChip Semiconductor, Ltd. (Korea), MagnaChip Semiconductor, Inc. (California) and Jason Hartlove(1)</w:t>
      </w:r>
    </w:p>
    <w:p>
      <w:pPr>
        <w:spacing w:after="0" w:line="78"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Service Agreement, dated as of April 14, 2005 by and between MagnaChip Semiconductor, Ltd. (Korea) and Dale Lindly(1)</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MagnaChip Semiconductor LLC Equity Incentive Plan(1)</w:t>
      </w:r>
    </w:p>
    <w:p>
      <w:pPr>
        <w:spacing w:after="0" w:line="117"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MagnaChip Semiconductor LLC California Equity Incentive Plan(1)</w:t>
      </w:r>
    </w:p>
    <w:p>
      <w:pPr>
        <w:spacing w:after="0" w:line="117" w:lineRule="exact"/>
        <w:rPr>
          <w:sz w:val="20"/>
          <w:szCs w:val="20"/>
          <w:color w:val="auto"/>
        </w:rPr>
      </w:pPr>
    </w:p>
    <w:p>
      <w:pPr>
        <w:ind w:left="1160" w:right="20" w:hanging="840"/>
        <w:spacing w:after="0" w:line="268"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R&amp;D Equipment Utilization Agreement, dated as of October 6, 2004, by and between Hynix Semiconductor Inc. and MagnaChip Semiconductor, Ltd. (Korea)(1)(5)</w:t>
      </w:r>
    </w:p>
    <w:p>
      <w:pPr>
        <w:spacing w:after="0" w:line="78" w:lineRule="exact"/>
        <w:rPr>
          <w:sz w:val="20"/>
          <w:szCs w:val="20"/>
          <w:color w:val="auto"/>
        </w:rPr>
      </w:pPr>
    </w:p>
    <w:p>
      <w:pPr>
        <w:ind w:left="1160" w:right="340" w:hanging="961"/>
        <w:spacing w:after="0" w:line="268" w:lineRule="auto"/>
        <w:tabs>
          <w:tab w:leader="none" w:pos="1140" w:val="left"/>
        </w:tabs>
        <w:rPr>
          <w:sz w:val="20"/>
          <w:szCs w:val="20"/>
          <w:color w:val="auto"/>
        </w:rPr>
      </w:pPr>
      <w:r>
        <w:rPr>
          <w:rFonts w:ascii="Arial" w:cs="Arial" w:eastAsia="Arial" w:hAnsi="Arial"/>
          <w:sz w:val="18"/>
          <w:szCs w:val="18"/>
          <w:color w:val="auto"/>
        </w:rPr>
        <w:t>10.26.a</w:t>
      </w:r>
      <w:r>
        <w:rPr>
          <w:sz w:val="20"/>
          <w:szCs w:val="20"/>
          <w:color w:val="auto"/>
        </w:rPr>
        <w:tab/>
      </w:r>
      <w:r>
        <w:rPr>
          <w:rFonts w:ascii="Arial" w:cs="Arial" w:eastAsia="Arial" w:hAnsi="Arial"/>
          <w:sz w:val="18"/>
          <w:szCs w:val="18"/>
          <w:color w:val="auto"/>
        </w:rPr>
        <w:t>First Amendment to R&amp;D Equipment Utilization Agreement, dated as of December 30, 2005, by and between Hynix Semiconductor Inc. and MagnaChip Semiconductor, Ltd. (Korea)(2)</w:t>
      </w:r>
    </w:p>
    <w:p>
      <w:pPr>
        <w:spacing w:after="0" w:line="78" w:lineRule="exact"/>
        <w:rPr>
          <w:sz w:val="20"/>
          <w:szCs w:val="20"/>
          <w:color w:val="auto"/>
        </w:rPr>
      </w:pPr>
    </w:p>
    <w:p>
      <w:pPr>
        <w:ind w:left="1160" w:right="620" w:hanging="840"/>
        <w:spacing w:after="0" w:line="268"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License Agreement (ModularBCD), dated as of March 18, 2005, by and between Advanced Analogic Technologies, Inc. and MagnaChip Semiconductor, Ltd. (Korea)(1)(5)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1040" w:right="680" w:hanging="961"/>
        <w:spacing w:after="0" w:line="268" w:lineRule="auto"/>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License Agreement (TrenchDMOS), dated as of March 18, 2005, by and between Advanced Analogic Technologies, Inc. and MagnaChip Semiconductor, Ltd. (Korea)(1)(5)</w:t>
      </w:r>
    </w:p>
    <w:p>
      <w:pPr>
        <w:spacing w:after="0" w:line="78" w:lineRule="exact"/>
        <w:rPr>
          <w:sz w:val="20"/>
          <w:szCs w:val="20"/>
          <w:color w:val="auto"/>
        </w:rPr>
      </w:pPr>
    </w:p>
    <w:p>
      <w:pPr>
        <w:ind w:left="1040" w:right="340" w:hanging="961"/>
        <w:spacing w:after="0" w:line="268"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RFID Development and Licensing Agreement, dated as of March 29, 2004, by and between Celis Semiconductor Corporation and MagnaChip Semiconductor, Ltd. (Korea) (successor in interest to Hynix Semiconductor Inc.)(1)(5)</w:t>
      </w:r>
    </w:p>
    <w:p>
      <w:pPr>
        <w:spacing w:after="0" w:line="78" w:lineRule="exact"/>
        <w:rPr>
          <w:sz w:val="20"/>
          <w:szCs w:val="20"/>
          <w:color w:val="auto"/>
        </w:rPr>
      </w:pPr>
    </w:p>
    <w:p>
      <w:pPr>
        <w:ind w:left="1040" w:right="100" w:hanging="961"/>
        <w:spacing w:after="0" w:line="268" w:lineRule="auto"/>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Technology License Agreement, dated as of July 2001, by and between ARM Limited and MagnaChip Semiconductor, Ltd. (Korea) (successor in interest to Hynix Semiconductor Inc.)(1)(5)</w:t>
      </w:r>
    </w:p>
    <w:p>
      <w:pPr>
        <w:spacing w:after="0" w:line="78" w:lineRule="exact"/>
        <w:rPr>
          <w:sz w:val="20"/>
          <w:szCs w:val="20"/>
          <w:color w:val="auto"/>
        </w:rPr>
      </w:pPr>
    </w:p>
    <w:p>
      <w:pPr>
        <w:ind w:left="1040" w:right="960" w:hanging="961"/>
        <w:spacing w:after="0" w:line="268"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Technology License Agreement, dated as of December 16, 1996, by and between Advanced RISC Machines Limited and MagnaChip Semiconductor, Ltd. (Korea) (successor in interest to LG Semicon Company Limited)(1)(5)</w:t>
      </w:r>
    </w:p>
    <w:p>
      <w:pPr>
        <w:spacing w:after="0" w:line="78" w:lineRule="exact"/>
        <w:rPr>
          <w:sz w:val="20"/>
          <w:szCs w:val="20"/>
          <w:color w:val="auto"/>
        </w:rPr>
      </w:pPr>
    </w:p>
    <w:p>
      <w:pPr>
        <w:ind w:left="1040" w:right="280" w:hanging="961"/>
        <w:spacing w:after="0" w:line="268"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ARM7201TDSP Device License Agreement, dated as of August 26, 1997, by and between Advanced RISC Machines Limited and MagnaChip Semiconductor, Ltd. (Korea) (successor in interest to LG Semicon Company Limited)(1)(5)</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Technology License Agreement, dated as of August 22, 2001, by and between ARM Limited and MagnaChip Semiconductor, Ltd. (Korea)</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(successor in interest to Hynix Semiconductor Inc.)(1)(5)</w:t>
      </w:r>
    </w:p>
    <w:p>
      <w:pPr>
        <w:spacing w:after="0" w:line="111" w:lineRule="exact"/>
        <w:rPr>
          <w:sz w:val="20"/>
          <w:szCs w:val="20"/>
          <w:color w:val="auto"/>
        </w:rPr>
      </w:pPr>
    </w:p>
    <w:p>
      <w:pPr>
        <w:ind w:left="1040" w:hanging="961"/>
        <w:spacing w:after="0" w:line="268" w:lineRule="auto"/>
        <w:tabs>
          <w:tab w:leader="none" w:pos="10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Technology License Agreement, dated as of May 20, 2004, by and between ARM Limited and MagnaChip Semiconductor, Ltd. (Korea) (successor in interest to Hynix Semiconductor Inc.)(1)</w:t>
      </w:r>
    </w:p>
    <w:p>
      <w:pPr>
        <w:spacing w:after="0" w:line="78" w:lineRule="exact"/>
        <w:rPr>
          <w:sz w:val="20"/>
          <w:szCs w:val="20"/>
          <w:color w:val="auto"/>
        </w:rPr>
      </w:pPr>
    </w:p>
    <w:p>
      <w:pPr>
        <w:ind w:left="1040" w:right="60" w:hanging="961"/>
        <w:spacing w:after="0" w:line="268" w:lineRule="auto"/>
        <w:tabs>
          <w:tab w:leader="none" w:pos="10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Interest Rate Swap Transaction Letter Agreement, dated as of June 30, 2005, by and between MagnaChip Semiconductor S.A. and Deutsche Bank AG(7)</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5"/>
          <w:szCs w:val="15"/>
          <w:color w:val="auto"/>
        </w:rPr>
        <w:t>Service Agreement, dated as of May 27, 2006, by and between MagnaChip Semiconductor, Ltd. (Korea) and Sang Park(8)</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5"/>
          <w:szCs w:val="15"/>
          <w:color w:val="auto"/>
        </w:rPr>
        <w:t>Consulting Agreement, dated as of January 1, 2006, by and between MagnaChip Semiconductor, Ltd. (Korea) and Jerry Baker</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MagnaChip Semiconductor LLC</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Executive Officer.</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Financial Officer.</w:t>
      </w:r>
    </w:p>
    <w:p>
      <w:pPr>
        <w:spacing w:after="0" w:line="117" w:lineRule="exact"/>
        <w:rPr>
          <w:sz w:val="20"/>
          <w:szCs w:val="20"/>
          <w:color w:val="auto"/>
        </w:rPr>
      </w:pPr>
    </w:p>
    <w:p>
      <w:pPr>
        <w:ind w:left="1040" w:right="220" w:hanging="874"/>
        <w:spacing w:after="0" w:line="268" w:lineRule="auto"/>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Executive Officer.</w:t>
      </w:r>
    </w:p>
    <w:p>
      <w:pPr>
        <w:spacing w:after="0" w:line="78" w:lineRule="exact"/>
        <w:rPr>
          <w:sz w:val="20"/>
          <w:szCs w:val="20"/>
          <w:color w:val="auto"/>
        </w:rPr>
      </w:pPr>
    </w:p>
    <w:p>
      <w:pPr>
        <w:ind w:left="1040" w:right="280" w:hanging="874"/>
        <w:spacing w:after="0" w:line="268" w:lineRule="auto"/>
        <w:tabs>
          <w:tab w:leader="none" w:pos="1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46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the Company’s Registration Statement on Form S-4, as amended (File No. 33-126019), which became effective July 20, 2005.</w:t>
      </w:r>
    </w:p>
    <w:p>
      <w:pPr>
        <w:ind w:left="46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15, “Exhibits, Financial Statement Schedules and Reports on Form 8-K,” of the Company’s Annual Report on Form 10-K for the period ended December 31, 2005 filed on March 31, 2006 (File No. 33-126019-09).</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the Company’s Current Report on Form 8-K dated July 25, 2006 (File No. 33-126019-09).</w:t>
      </w:r>
    </w:p>
    <w:p>
      <w:pPr>
        <w:ind w:left="460" w:right="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the Company’s Current Report on Form 8-K dated December 29, 2006 (File No. 33-126019-09).</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the Company’s Quarterly Report on Form 10-Q for the quarter ended July 3, 2005 (File No. 33-126019-09).</w:t>
      </w:r>
    </w:p>
    <w:p>
      <w:pPr>
        <w:ind w:left="46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the Company’s Current Report on Form 8-K dated May 27, 2006 (File No. 33-126019-09).</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Financial Statement Schedules: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Schedules are omitted because of the absence of the conditions under which they are required or because the information required by such omitted schedules is set forth in the financial statements or the notes thereto.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MAGNACHIP SEMICONDUCTOR LLC</w:t>
      </w:r>
    </w:p>
    <w:p>
      <w:pPr>
        <w:spacing w:after="0" w:line="231" w:lineRule="exact"/>
        <w:rPr>
          <w:sz w:val="20"/>
          <w:szCs w:val="20"/>
          <w:color w:val="auto"/>
        </w:rPr>
      </w:pPr>
    </w:p>
    <w:p>
      <w:pPr>
        <w:spacing w:after="0"/>
        <w:tabs>
          <w:tab w:leader="none" w:pos="5480" w:val="left"/>
          <w:tab w:leader="none" w:pos="7920" w:val="left"/>
          <w:tab w:leader="none" w:pos="8260" w:val="left"/>
        </w:tabs>
        <w:rPr>
          <w:sz w:val="20"/>
          <w:szCs w:val="20"/>
          <w:color w:val="auto"/>
        </w:rPr>
      </w:pPr>
      <w:r>
        <w:rPr>
          <w:rFonts w:ascii="Arial" w:cs="Arial" w:eastAsia="Arial" w:hAnsi="Arial"/>
          <w:sz w:val="18"/>
          <w:szCs w:val="18"/>
          <w:color w:val="auto"/>
        </w:rPr>
        <w:t>Dated: March 29,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ANG</w:t>
      </w:r>
      <w:r>
        <w:rPr>
          <w:rFonts w:ascii="Arial" w:cs="Arial" w:eastAsia="Arial" w:hAnsi="Arial"/>
          <w:sz w:val="16"/>
          <w:szCs w:val="16"/>
          <w:color w:val="auto"/>
        </w:rPr>
        <w:t xml:space="preserve"> P</w:t>
      </w:r>
      <w:r>
        <w:rPr>
          <w:rFonts w:ascii="Arial" w:cs="Arial" w:eastAsia="Arial" w:hAnsi="Arial"/>
          <w:sz w:val="13"/>
          <w:szCs w:val="13"/>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Chief Executive Officer and Chairman</w:t>
      </w:r>
    </w:p>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center"/>
              <w:ind w:right="1788"/>
              <w:spacing w:after="0"/>
              <w:rPr>
                <w:sz w:val="20"/>
                <w:szCs w:val="20"/>
                <w:color w:val="auto"/>
              </w:rPr>
            </w:pPr>
            <w:r>
              <w:rPr>
                <w:rFonts w:ascii="Arial" w:cs="Arial" w:eastAsia="Arial" w:hAnsi="Arial"/>
                <w:sz w:val="14"/>
                <w:szCs w:val="14"/>
                <w:b w:val="1"/>
                <w:bCs w:val="1"/>
                <w:color w:val="auto"/>
                <w:w w:val="86"/>
              </w:rPr>
              <w:t>Signature</w:t>
            </w:r>
          </w:p>
        </w:tc>
        <w:tc>
          <w:tcPr>
            <w:tcW w:w="240" w:type="dxa"/>
            <w:vAlign w:val="bottom"/>
          </w:tcPr>
          <w:p>
            <w:pPr>
              <w:spacing w:after="0"/>
              <w:rPr>
                <w:sz w:val="14"/>
                <w:szCs w:val="14"/>
                <w:color w:val="auto"/>
              </w:rPr>
            </w:pPr>
          </w:p>
        </w:tc>
        <w:tc>
          <w:tcPr>
            <w:tcW w:w="412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37"/>
        </w:trPr>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2940" w:type="dxa"/>
            <w:vAlign w:val="bottom"/>
            <w:tcBorders>
              <w:bottom w:val="single" w:sz="8" w:color="auto"/>
            </w:tcBorders>
          </w:tcPr>
          <w:p>
            <w:pPr>
              <w:jc w:val="center"/>
              <w:ind w:right="1728"/>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ANG</w:t>
            </w:r>
            <w:r>
              <w:rPr>
                <w:rFonts w:ascii="Arial" w:cs="Arial" w:eastAsia="Arial" w:hAnsi="Arial"/>
                <w:sz w:val="18"/>
                <w:szCs w:val="18"/>
                <w:color w:val="auto"/>
                <w:w w:val="97"/>
              </w:rPr>
              <w:t xml:space="preserve"> P</w:t>
            </w:r>
            <w:r>
              <w:rPr>
                <w:rFonts w:ascii="Arial" w:cs="Arial" w:eastAsia="Arial" w:hAnsi="Arial"/>
                <w:sz w:val="14"/>
                <w:szCs w:val="14"/>
                <w:color w:val="auto"/>
                <w:w w:val="97"/>
              </w:rPr>
              <w:t>ARK</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6"/>
              </w:rPr>
              <w:t>Chief Executive Officer and Chairman of the Board of</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202"/>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tcPr>
          <w:p>
            <w:pPr>
              <w:jc w:val="center"/>
              <w:ind w:right="1788"/>
              <w:spacing w:after="0"/>
              <w:rPr>
                <w:sz w:val="20"/>
                <w:szCs w:val="20"/>
                <w:color w:val="auto"/>
              </w:rPr>
            </w:pPr>
            <w:r>
              <w:rPr>
                <w:rFonts w:ascii="Arial" w:cs="Arial" w:eastAsia="Arial" w:hAnsi="Arial"/>
                <w:sz w:val="14"/>
                <w:szCs w:val="14"/>
                <w:b w:val="1"/>
                <w:bCs w:val="1"/>
                <w:color w:val="auto"/>
                <w:w w:val="87"/>
              </w:rPr>
              <w:t>Sang Park</w:t>
            </w:r>
          </w:p>
        </w:tc>
        <w:tc>
          <w:tcPr>
            <w:tcW w:w="240" w:type="dxa"/>
            <w:vAlign w:val="bottom"/>
          </w:tcPr>
          <w:p>
            <w:pPr>
              <w:spacing w:after="0"/>
              <w:rPr>
                <w:sz w:val="17"/>
                <w:szCs w:val="17"/>
                <w:color w:val="auto"/>
              </w:rPr>
            </w:pPr>
          </w:p>
        </w:tc>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Directors (Principal Executive 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26"/>
        </w:trPr>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388"/>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OBERT</w:t>
            </w:r>
            <w:r>
              <w:rPr>
                <w:rFonts w:ascii="Arial" w:cs="Arial" w:eastAsia="Arial" w:hAnsi="Arial"/>
                <w:sz w:val="18"/>
                <w:szCs w:val="18"/>
                <w:color w:val="auto"/>
                <w:w w:val="98"/>
              </w:rPr>
              <w:t xml:space="preserve"> J. K</w:t>
            </w:r>
            <w:r>
              <w:rPr>
                <w:rFonts w:ascii="Arial" w:cs="Arial" w:eastAsia="Arial" w:hAnsi="Arial"/>
                <w:sz w:val="14"/>
                <w:szCs w:val="14"/>
                <w:color w:val="auto"/>
                <w:w w:val="98"/>
              </w:rPr>
              <w:t>RAKAUER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1"/>
              </w:rPr>
              <w:t>President, Chief Financial Officer and Director (Principal</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202"/>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gridSpan w:val="2"/>
          </w:tcPr>
          <w:p>
            <w:pPr>
              <w:jc w:val="center"/>
              <w:ind w:right="1548"/>
              <w:spacing w:after="0"/>
              <w:rPr>
                <w:sz w:val="20"/>
                <w:szCs w:val="20"/>
                <w:color w:val="auto"/>
              </w:rPr>
            </w:pPr>
            <w:r>
              <w:rPr>
                <w:rFonts w:ascii="Arial" w:cs="Arial" w:eastAsia="Arial" w:hAnsi="Arial"/>
                <w:sz w:val="14"/>
                <w:szCs w:val="14"/>
                <w:b w:val="1"/>
                <w:bCs w:val="1"/>
                <w:color w:val="auto"/>
                <w:w w:val="90"/>
              </w:rPr>
              <w:t>Robert J. Krakauer</w:t>
            </w:r>
          </w:p>
        </w:tc>
        <w:tc>
          <w:tcPr>
            <w:tcW w:w="240" w:type="dxa"/>
            <w:vAlign w:val="bottom"/>
          </w:tcPr>
          <w:p>
            <w:pPr>
              <w:spacing w:after="0"/>
              <w:rPr>
                <w:sz w:val="17"/>
                <w:szCs w:val="17"/>
                <w:color w:val="auto"/>
              </w:rPr>
            </w:pPr>
          </w:p>
        </w:tc>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Financial 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26"/>
        </w:trPr>
        <w:tc>
          <w:tcPr>
            <w:tcW w:w="164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2"/>
          </w:tcPr>
          <w:p>
            <w:pPr>
              <w:jc w:val="center"/>
              <w:ind w:right="1508"/>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ARGARET</w:t>
            </w:r>
            <w:r>
              <w:rPr>
                <w:rFonts w:ascii="Arial" w:cs="Arial" w:eastAsia="Arial" w:hAnsi="Arial"/>
                <w:sz w:val="18"/>
                <w:szCs w:val="18"/>
                <w:color w:val="auto"/>
              </w:rPr>
              <w:t xml:space="preserve"> S</w:t>
            </w:r>
            <w:r>
              <w:rPr>
                <w:rFonts w:ascii="Arial" w:cs="Arial" w:eastAsia="Arial" w:hAnsi="Arial"/>
                <w:sz w:val="14"/>
                <w:szCs w:val="14"/>
                <w:color w:val="auto"/>
              </w:rPr>
              <w:t>AKAI</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7"/>
              </w:rPr>
              <w:t>Senior Vice President, Finance (Principal Accounting</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202"/>
        </w:trPr>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tcPr>
          <w:p>
            <w:pPr>
              <w:jc w:val="center"/>
              <w:ind w:right="1768"/>
              <w:spacing w:after="0"/>
              <w:rPr>
                <w:sz w:val="20"/>
                <w:szCs w:val="20"/>
                <w:color w:val="auto"/>
              </w:rPr>
            </w:pPr>
            <w:r>
              <w:rPr>
                <w:rFonts w:ascii="Arial" w:cs="Arial" w:eastAsia="Arial" w:hAnsi="Arial"/>
                <w:sz w:val="14"/>
                <w:szCs w:val="14"/>
                <w:b w:val="1"/>
                <w:bCs w:val="1"/>
                <w:color w:val="auto"/>
                <w:w w:val="90"/>
              </w:rPr>
              <w:t>Margaret Sakai</w:t>
            </w:r>
          </w:p>
        </w:tc>
        <w:tc>
          <w:tcPr>
            <w:tcW w:w="240" w:type="dxa"/>
            <w:vAlign w:val="bottom"/>
          </w:tcPr>
          <w:p>
            <w:pPr>
              <w:spacing w:after="0"/>
              <w:rPr>
                <w:sz w:val="17"/>
                <w:szCs w:val="17"/>
                <w:color w:val="auto"/>
              </w:rPr>
            </w:pPr>
          </w:p>
        </w:tc>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27"/>
        </w:trPr>
        <w:tc>
          <w:tcPr>
            <w:tcW w:w="164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w w:val="83"/>
              </w:rPr>
              <w:t>/s/</w:t>
            </w:r>
          </w:p>
        </w:tc>
        <w:tc>
          <w:tcPr>
            <w:tcW w:w="3160" w:type="dxa"/>
            <w:vAlign w:val="bottom"/>
            <w:tcBorders>
              <w:bottom w:val="single" w:sz="8" w:color="auto"/>
            </w:tcBorders>
            <w:gridSpan w:val="2"/>
          </w:tcPr>
          <w:p>
            <w:pPr>
              <w:jc w:val="center"/>
              <w:ind w:right="1508"/>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ERRY</w:t>
            </w:r>
            <w:r>
              <w:rPr>
                <w:rFonts w:ascii="Arial" w:cs="Arial" w:eastAsia="Arial" w:hAnsi="Arial"/>
                <w:sz w:val="18"/>
                <w:szCs w:val="18"/>
                <w:color w:val="auto"/>
                <w:w w:val="98"/>
              </w:rPr>
              <w:t xml:space="preserve"> M. B</w:t>
            </w:r>
            <w:r>
              <w:rPr>
                <w:rFonts w:ascii="Arial" w:cs="Arial" w:eastAsia="Arial" w:hAnsi="Arial"/>
                <w:sz w:val="14"/>
                <w:szCs w:val="14"/>
                <w:color w:val="auto"/>
                <w:w w:val="98"/>
              </w:rPr>
              <w:t>AKER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jc w:val="center"/>
              <w:ind w:right="1768"/>
              <w:spacing w:after="0"/>
              <w:rPr>
                <w:sz w:val="20"/>
                <w:szCs w:val="20"/>
                <w:color w:val="auto"/>
              </w:rPr>
            </w:pPr>
            <w:r>
              <w:rPr>
                <w:rFonts w:ascii="Arial" w:cs="Arial" w:eastAsia="Arial" w:hAnsi="Arial"/>
                <w:sz w:val="14"/>
                <w:szCs w:val="14"/>
                <w:b w:val="1"/>
                <w:bCs w:val="1"/>
                <w:color w:val="auto"/>
                <w:w w:val="93"/>
              </w:rPr>
              <w:t>Jerry M. Baker</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w:t>
            </w:r>
          </w:p>
        </w:tc>
        <w:tc>
          <w:tcPr>
            <w:tcW w:w="2940" w:type="dxa"/>
            <w:vAlign w:val="bottom"/>
            <w:tcBorders>
              <w:bottom w:val="single" w:sz="8" w:color="auto"/>
            </w:tcBorders>
          </w:tcPr>
          <w:p>
            <w:pPr>
              <w:jc w:val="center"/>
              <w:ind w:right="1748"/>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IPANJAN</w:t>
            </w:r>
            <w:r>
              <w:rPr>
                <w:rFonts w:ascii="Arial" w:cs="Arial" w:eastAsia="Arial" w:hAnsi="Arial"/>
                <w:sz w:val="18"/>
                <w:szCs w:val="18"/>
                <w:color w:val="auto"/>
                <w:w w:val="99"/>
              </w:rPr>
              <w:t xml:space="preserve"> D</w:t>
            </w:r>
            <w:r>
              <w:rPr>
                <w:rFonts w:ascii="Arial" w:cs="Arial" w:eastAsia="Arial" w:hAnsi="Arial"/>
                <w:sz w:val="14"/>
                <w:szCs w:val="14"/>
                <w:color w:val="auto"/>
                <w:w w:val="99"/>
              </w:rPr>
              <w:t>EB</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jc w:val="center"/>
              <w:ind w:right="1788"/>
              <w:spacing w:after="0"/>
              <w:rPr>
                <w:sz w:val="20"/>
                <w:szCs w:val="20"/>
                <w:color w:val="auto"/>
              </w:rPr>
            </w:pPr>
            <w:r>
              <w:rPr>
                <w:rFonts w:ascii="Arial" w:cs="Arial" w:eastAsia="Arial" w:hAnsi="Arial"/>
                <w:sz w:val="14"/>
                <w:szCs w:val="14"/>
                <w:b w:val="1"/>
                <w:bCs w:val="1"/>
                <w:color w:val="auto"/>
                <w:w w:val="89"/>
              </w:rPr>
              <w:t>Dipanjan Deb</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64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2"/>
          </w:tcPr>
          <w:p>
            <w:pPr>
              <w:jc w:val="center"/>
              <w:ind w:right="1508"/>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RMANDO</w:t>
            </w:r>
            <w:r>
              <w:rPr>
                <w:rFonts w:ascii="Arial" w:cs="Arial" w:eastAsia="Arial" w:hAnsi="Arial"/>
                <w:sz w:val="18"/>
                <w:szCs w:val="18"/>
                <w:color w:val="auto"/>
              </w:rPr>
              <w:t xml:space="preserve"> G</w:t>
            </w:r>
            <w:r>
              <w:rPr>
                <w:rFonts w:ascii="Arial" w:cs="Arial" w:eastAsia="Arial" w:hAnsi="Arial"/>
                <w:sz w:val="14"/>
                <w:szCs w:val="14"/>
                <w:color w:val="auto"/>
              </w:rPr>
              <w:t>EDAY</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jc w:val="center"/>
              <w:ind w:right="1788"/>
              <w:spacing w:after="0"/>
              <w:rPr>
                <w:sz w:val="20"/>
                <w:szCs w:val="20"/>
                <w:color w:val="auto"/>
              </w:rPr>
            </w:pPr>
            <w:r>
              <w:rPr>
                <w:rFonts w:ascii="Arial" w:cs="Arial" w:eastAsia="Arial" w:hAnsi="Arial"/>
                <w:sz w:val="14"/>
                <w:szCs w:val="14"/>
                <w:b w:val="1"/>
                <w:bCs w:val="1"/>
                <w:color w:val="auto"/>
                <w:w w:val="88"/>
              </w:rPr>
              <w:t>Armando Geday</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2940" w:type="dxa"/>
            <w:vAlign w:val="bottom"/>
            <w:tcBorders>
              <w:bottom w:val="single" w:sz="8" w:color="auto"/>
            </w:tcBorders>
          </w:tcPr>
          <w:p>
            <w:pPr>
              <w:jc w:val="center"/>
              <w:ind w:right="1728"/>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K</w:t>
            </w:r>
            <w:r>
              <w:rPr>
                <w:rFonts w:ascii="Arial" w:cs="Arial" w:eastAsia="Arial" w:hAnsi="Arial"/>
                <w:sz w:val="14"/>
                <w:szCs w:val="14"/>
                <w:color w:val="auto"/>
              </w:rPr>
              <w:t>UAN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jc w:val="center"/>
              <w:ind w:right="1768"/>
              <w:spacing w:after="0"/>
              <w:rPr>
                <w:sz w:val="20"/>
                <w:szCs w:val="20"/>
                <w:color w:val="auto"/>
              </w:rPr>
            </w:pPr>
            <w:r>
              <w:rPr>
                <w:rFonts w:ascii="Arial" w:cs="Arial" w:eastAsia="Arial" w:hAnsi="Arial"/>
                <w:sz w:val="14"/>
                <w:szCs w:val="14"/>
                <w:b w:val="1"/>
                <w:bCs w:val="1"/>
                <w:color w:val="auto"/>
                <w:w w:val="88"/>
              </w:rPr>
              <w:t>Roy Kuan</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388"/>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HOKION</w:t>
            </w:r>
            <w:r>
              <w:rPr>
                <w:rFonts w:ascii="Arial" w:cs="Arial" w:eastAsia="Arial" w:hAnsi="Arial"/>
                <w:sz w:val="18"/>
                <w:szCs w:val="18"/>
                <w:color w:val="auto"/>
              </w:rPr>
              <w:t xml:space="preserve"> P</w:t>
            </w:r>
            <w:r>
              <w:rPr>
                <w:rFonts w:ascii="Arial" w:cs="Arial" w:eastAsia="Arial" w:hAnsi="Arial"/>
                <w:sz w:val="14"/>
                <w:szCs w:val="14"/>
                <w:color w:val="auto"/>
              </w:rPr>
              <w:t>OTAMIANOS</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2"/>
          </w:tcPr>
          <w:p>
            <w:pPr>
              <w:jc w:val="center"/>
              <w:ind w:right="1548"/>
              <w:spacing w:after="0"/>
              <w:rPr>
                <w:sz w:val="20"/>
                <w:szCs w:val="20"/>
                <w:color w:val="auto"/>
              </w:rPr>
            </w:pPr>
            <w:r>
              <w:rPr>
                <w:rFonts w:ascii="Arial" w:cs="Arial" w:eastAsia="Arial" w:hAnsi="Arial"/>
                <w:sz w:val="14"/>
                <w:szCs w:val="14"/>
                <w:b w:val="1"/>
                <w:bCs w:val="1"/>
                <w:color w:val="auto"/>
                <w:w w:val="85"/>
              </w:rPr>
              <w:t>Phokion Potamianos</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83"/>
              </w:rPr>
              <w:t>/s/</w:t>
            </w: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jc w:val="center"/>
              <w:ind w:right="1508"/>
              <w:spacing w:after="0"/>
              <w:rPr>
                <w:sz w:val="20"/>
                <w:szCs w:val="20"/>
                <w:color w:val="auto"/>
              </w:rPr>
            </w:pPr>
            <w:r>
              <w:rPr>
                <w:rFonts w:ascii="Arial" w:cs="Arial" w:eastAsia="Arial" w:hAnsi="Arial"/>
                <w:sz w:val="18"/>
                <w:szCs w:val="18"/>
                <w:color w:val="auto"/>
                <w:w w:val="98"/>
              </w:rPr>
              <w:t>R. D</w:t>
            </w:r>
            <w:r>
              <w:rPr>
                <w:rFonts w:ascii="Arial" w:cs="Arial" w:eastAsia="Arial" w:hAnsi="Arial"/>
                <w:sz w:val="14"/>
                <w:szCs w:val="14"/>
                <w:color w:val="auto"/>
                <w:w w:val="98"/>
              </w:rPr>
              <w:t>OUGLAS</w:t>
            </w:r>
            <w:r>
              <w:rPr>
                <w:rFonts w:ascii="Arial" w:cs="Arial" w:eastAsia="Arial" w:hAnsi="Arial"/>
                <w:sz w:val="18"/>
                <w:szCs w:val="18"/>
                <w:color w:val="auto"/>
                <w:w w:val="98"/>
              </w:rPr>
              <w:t xml:space="preserve"> N</w:t>
            </w:r>
            <w:r>
              <w:rPr>
                <w:rFonts w:ascii="Arial" w:cs="Arial" w:eastAsia="Arial" w:hAnsi="Arial"/>
                <w:sz w:val="14"/>
                <w:szCs w:val="14"/>
                <w:color w:val="auto"/>
                <w:w w:val="98"/>
              </w:rPr>
              <w:t>ORBY</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jc w:val="center"/>
              <w:ind w:right="1788"/>
              <w:spacing w:after="0"/>
              <w:rPr>
                <w:sz w:val="20"/>
                <w:szCs w:val="20"/>
                <w:color w:val="auto"/>
              </w:rPr>
            </w:pPr>
            <w:r>
              <w:rPr>
                <w:rFonts w:ascii="Arial" w:cs="Arial" w:eastAsia="Arial" w:hAnsi="Arial"/>
                <w:sz w:val="14"/>
                <w:szCs w:val="14"/>
                <w:b w:val="1"/>
                <w:bCs w:val="1"/>
                <w:color w:val="auto"/>
                <w:w w:val="88"/>
              </w:rPr>
              <w:t>R. Douglas Norby</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4"/>
              </w:rPr>
              <w:t>/s/</w:t>
            </w: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AUL</w:t>
            </w:r>
            <w:r>
              <w:rPr>
                <w:rFonts w:ascii="Arial" w:cs="Arial" w:eastAsia="Arial" w:hAnsi="Arial"/>
                <w:sz w:val="18"/>
                <w:szCs w:val="18"/>
                <w:color w:val="auto"/>
              </w:rPr>
              <w:t xml:space="preserve"> C. S</w:t>
            </w:r>
            <w:r>
              <w:rPr>
                <w:rFonts w:ascii="Arial" w:cs="Arial" w:eastAsia="Arial" w:hAnsi="Arial"/>
                <w:sz w:val="14"/>
                <w:szCs w:val="14"/>
                <w:color w:val="auto"/>
              </w:rPr>
              <w:t>CHORR</w:t>
            </w:r>
            <w:r>
              <w:rPr>
                <w:rFonts w:ascii="Arial" w:cs="Arial" w:eastAsia="Arial" w:hAnsi="Arial"/>
                <w:sz w:val="18"/>
                <w:szCs w:val="18"/>
                <w:color w:val="auto"/>
              </w:rPr>
              <w:t xml:space="preserve"> IV</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jc w:val="center"/>
              <w:ind w:right="1788"/>
              <w:spacing w:after="0"/>
              <w:rPr>
                <w:sz w:val="20"/>
                <w:szCs w:val="20"/>
                <w:color w:val="auto"/>
              </w:rPr>
            </w:pPr>
            <w:r>
              <w:rPr>
                <w:rFonts w:ascii="Arial" w:cs="Arial" w:eastAsia="Arial" w:hAnsi="Arial"/>
                <w:sz w:val="14"/>
                <w:szCs w:val="14"/>
                <w:b w:val="1"/>
                <w:bCs w:val="1"/>
                <w:color w:val="auto"/>
                <w:w w:val="91"/>
              </w:rPr>
              <w:t>Paul C. Schorr IV</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64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2"/>
          </w:tcPr>
          <w:p>
            <w:pPr>
              <w:jc w:val="center"/>
              <w:ind w:right="1508"/>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F. T</w:t>
            </w:r>
            <w:r>
              <w:rPr>
                <w:rFonts w:ascii="Arial" w:cs="Arial" w:eastAsia="Arial" w:hAnsi="Arial"/>
                <w:sz w:val="14"/>
                <w:szCs w:val="14"/>
                <w:color w:val="auto"/>
                <w:w w:val="99"/>
              </w:rPr>
              <w:t>HOMAS</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29, 2007</w:t>
            </w:r>
          </w:p>
        </w:tc>
      </w:tr>
      <w:tr>
        <w:trPr>
          <w:trHeight w:val="169"/>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jc w:val="center"/>
              <w:ind w:right="1768"/>
              <w:spacing w:after="0"/>
              <w:rPr>
                <w:sz w:val="20"/>
                <w:szCs w:val="20"/>
                <w:color w:val="auto"/>
              </w:rPr>
            </w:pPr>
            <w:r>
              <w:rPr>
                <w:rFonts w:ascii="Arial" w:cs="Arial" w:eastAsia="Arial" w:hAnsi="Arial"/>
                <w:sz w:val="14"/>
                <w:szCs w:val="14"/>
                <w:b w:val="1"/>
                <w:bCs w:val="1"/>
                <w:color w:val="auto"/>
                <w:w w:val="87"/>
              </w:rPr>
              <w:t>David F. Thomas</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50"/>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360" w:type="dxa"/>
            <w:vAlign w:val="bottom"/>
            <w:gridSpan w:val="2"/>
          </w:tcPr>
          <w:p>
            <w:pPr>
              <w:jc w:val="right"/>
              <w:ind w:right="3234"/>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SIXTH AMENDMENT TO CREDIT AGREEMENT</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SIXTH AMENDMENT TO CREDIT AGREEMENT (as the same may be amended, restated, supplemented, extended or otherwise modified from time to time, this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entered into as of March 26, 2007,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74, rue de Merl, B.P. 709, L-2017 Luxembourg, Grand Duchy of Luxembourg, 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the Subsidiary Guarantors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listed on the signature pages hereto (each of Borrowers, Holdings and Subsidiary Guarantors are sometimes referred to herein as a “</w:t>
      </w:r>
      <w:r>
        <w:rPr>
          <w:rFonts w:ascii="Arial" w:cs="Arial" w:eastAsia="Arial" w:hAnsi="Arial"/>
          <w:sz w:val="16"/>
          <w:szCs w:val="16"/>
          <w:b w:val="1"/>
          <w:bCs w:val="1"/>
          <w:color w:val="auto"/>
        </w:rPr>
        <w:t>Loan 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Loan Parties</w:t>
      </w:r>
      <w:r>
        <w:rPr>
          <w:rFonts w:ascii="Arial" w:cs="Arial" w:eastAsia="Arial" w:hAnsi="Arial"/>
          <w:sz w:val="16"/>
          <w:szCs w:val="16"/>
          <w:color w:val="auto"/>
        </w:rPr>
        <w:t>”), the Lenders, UBS AG, 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 The Borrowers, Holdings, Subsidiary Guarantors, UBS Securities LLC, as lead arranger, as documentation agent and as syndication agent, UBS Loan Finance LLC, as swingline lender, Korea Exchange Bank, as issuing bank and Agents are parties to that certain Credit Agreement dated as of December 23, 2004 (as amended hereby, and as the same has been and hereafter may be amended, restated, supplemented or otherwise modified from time to time, the “</w:t>
      </w:r>
      <w:r>
        <w:rPr>
          <w:rFonts w:ascii="Arial" w:cs="Arial" w:eastAsia="Arial" w:hAnsi="Arial"/>
          <w:sz w:val="15"/>
          <w:szCs w:val="15"/>
          <w:b w:val="1"/>
          <w:bCs w:val="1"/>
          <w:color w:val="auto"/>
        </w:rPr>
        <w:t>Credit</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Unless otherwise specified herein, all capitalized terms used in this Amendment shall have the meanings ascribed to them in the Credit Agreement.</w:t>
      </w:r>
    </w:p>
    <w:p>
      <w:pPr>
        <w:spacing w:after="0" w:line="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 The Borrowers have requested that the Agents and the Required Lenders agree to amend Section 6.10(d) of the Credit Agreement upon the terms and subject to the conditions as herein set forth.</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Clause (d) of Section 6.10 of the Credit Agreement is hereby amended and restated to read in its entirety as follows:</w:t>
      </w:r>
    </w:p>
    <w:p>
      <w:pPr>
        <w:spacing w:after="0" w:line="90"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Capital Expenditure Limit</w:t>
      </w:r>
      <w:r>
        <w:rPr>
          <w:rFonts w:ascii="Arial" w:cs="Arial" w:eastAsia="Arial" w:hAnsi="Arial"/>
          <w:sz w:val="16"/>
          <w:szCs w:val="16"/>
          <w:color w:val="auto"/>
        </w:rPr>
        <w:t xml:space="preserve">. Make Capital Expenditures during the following periods that exceed the aggregate amounts set forth opposite each of such periods;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amount applicable to the period of April 1, 2007 to June 30, 2007 shall be increased by an amount equal to the excess, if any, of the amount for the period of January 1, 2007 to March 31, 2007 set forth below over the actual amount of Capital Expenditures made during the period of January 1, 2007 to March 31, 2007; and (ii) the amount applicable to the period of July 1, 2007 to September 30, 2007 shall be increased by an amount equal to the excess, if any, of the collective amounts for the periods of January 1, 2007 to</w:t>
      </w:r>
    </w:p>
    <w:p>
      <w:pPr>
        <w:sectPr>
          <w:pgSz w:w="11900" w:h="16838" w:orient="portrait"/>
          <w:cols w:equalWidth="0" w:num="1">
            <w:col w:w="11420"/>
          </w:cols>
          <w:pgMar w:left="240" w:top="125" w:right="239" w:bottom="1440" w:gutter="0" w:footer="0" w:header="0"/>
        </w:sectPr>
      </w:pPr>
    </w:p>
    <w:bookmarkStart w:id="108" w:name="page109"/>
    <w:bookmarkEnd w:id="108"/>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31, 2007 and April 1, 2007 to June 30, 2007 set forth below over the actual amount of Capital Expenditures made during the period of January 1, 2007 to June 30, 2007:</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55"/>
        </w:trPr>
        <w:tc>
          <w:tcPr>
            <w:tcW w:w="90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ind w:right="66"/>
              <w:spacing w:after="0" w:line="148" w:lineRule="exact"/>
              <w:rPr>
                <w:sz w:val="20"/>
                <w:szCs w:val="20"/>
                <w:color w:val="auto"/>
              </w:rPr>
            </w:pPr>
            <w:r>
              <w:rPr>
                <w:rFonts w:ascii="Arial" w:cs="Arial" w:eastAsia="Arial" w:hAnsi="Arial"/>
                <w:sz w:val="14"/>
                <w:szCs w:val="14"/>
                <w:b w:val="1"/>
                <w:bCs w:val="1"/>
                <w:color w:val="auto"/>
              </w:rPr>
              <w:t>Expenditures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2006 - September 30, 2006</w:t>
            </w:r>
          </w:p>
        </w:tc>
        <w:tc>
          <w:tcPr>
            <w:tcW w:w="4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8"/>
                <w:szCs w:val="18"/>
                <w:color w:val="auto"/>
                <w:w w:val="85"/>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October 1, 2006 - December 31, 2006</w:t>
            </w:r>
          </w:p>
        </w:tc>
        <w:tc>
          <w:tcPr>
            <w:tcW w:w="1480" w:type="dxa"/>
            <w:vAlign w:val="bottom"/>
            <w:gridSpan w:val="2"/>
          </w:tcPr>
          <w:p>
            <w:pPr>
              <w:jc w:val="right"/>
              <w:ind w:right="106"/>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January 1, 2007 - March 31, 2007</w:t>
            </w:r>
          </w:p>
        </w:tc>
        <w:tc>
          <w:tcPr>
            <w:tcW w:w="148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April 1, 2007 - June 30, 2007</w:t>
            </w:r>
          </w:p>
        </w:tc>
        <w:tc>
          <w:tcPr>
            <w:tcW w:w="1480" w:type="dxa"/>
            <w:vAlign w:val="bottom"/>
            <w:gridSpan w:val="2"/>
          </w:tcPr>
          <w:p>
            <w:pPr>
              <w:jc w:val="right"/>
              <w:ind w:right="106"/>
              <w:spacing w:after="0"/>
              <w:rPr>
                <w:sz w:val="20"/>
                <w:szCs w:val="20"/>
                <w:color w:val="auto"/>
              </w:rPr>
            </w:pPr>
            <w:r>
              <w:rPr>
                <w:rFonts w:ascii="Arial" w:cs="Arial" w:eastAsia="Arial" w:hAnsi="Arial"/>
                <w:sz w:val="18"/>
                <w:szCs w:val="18"/>
                <w:color w:val="auto"/>
              </w:rPr>
              <w:t>$65,000,000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July 1, 2007 - September 30, 2007</w:t>
            </w:r>
          </w:p>
        </w:tc>
        <w:tc>
          <w:tcPr>
            <w:tcW w:w="148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64"/>
        <w:spacing w:after="0" w:line="314" w:lineRule="auto"/>
        <w:tabs>
          <w:tab w:leader="none" w:pos="695" w:val="left"/>
        </w:tabs>
        <w:numPr>
          <w:ilvl w:val="1"/>
          <w:numId w:val="25"/>
        </w:numPr>
        <w:rPr>
          <w:rFonts w:ascii="Arial" w:cs="Arial" w:eastAsia="Arial" w:hAnsi="Arial"/>
          <w:sz w:val="15"/>
          <w:szCs w:val="15"/>
          <w:color w:val="auto"/>
        </w:rPr>
      </w:pPr>
      <w:r>
        <w:rPr>
          <w:rFonts w:ascii="Arial" w:cs="Arial" w:eastAsia="Arial" w:hAnsi="Arial"/>
          <w:sz w:val="15"/>
          <w:szCs w:val="15"/>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104" w:lineRule="exact"/>
        <w:rPr>
          <w:rFonts w:ascii="Arial" w:cs="Arial" w:eastAsia="Arial" w:hAnsi="Arial"/>
          <w:sz w:val="15"/>
          <w:szCs w:val="15"/>
          <w:color w:val="auto"/>
        </w:rPr>
      </w:pPr>
    </w:p>
    <w:p>
      <w:pPr>
        <w:ind w:firstLine="464"/>
        <w:spacing w:after="0" w:line="284" w:lineRule="auto"/>
        <w:tabs>
          <w:tab w:leader="none" w:pos="7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Amendment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w:t>
      </w:r>
    </w:p>
    <w:p>
      <w:pPr>
        <w:spacing w:after="0" w:line="1" w:lineRule="exact"/>
        <w:rPr>
          <w:rFonts w:ascii="Arial" w:cs="Arial" w:eastAsia="Arial" w:hAnsi="Arial"/>
          <w:sz w:val="16"/>
          <w:szCs w:val="16"/>
          <w:color w:val="auto"/>
        </w:rPr>
      </w:pPr>
    </w:p>
    <w:p>
      <w:pPr>
        <w:ind w:right="40" w:firstLine="8"/>
        <w:spacing w:after="0" w:line="254" w:lineRule="auto"/>
        <w:tabs>
          <w:tab w:leader="none" w:pos="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constitute a course of dealing or other basis for altering any Obligations or any other contract or instrument. Except as expressly set forth herein, each of the Agents and Lenders reserves all of its rights, powers, and remedies under the Credit Agreement, the other Loan Documents, and/or applicable law. All of the provisions of the Credit Agreement and the other Loan Documents, including, without limitation, the time of the essence provisions, are hereby reiterated, and if ever waived, reinstated.</w:t>
      </w:r>
    </w:p>
    <w:p>
      <w:pPr>
        <w:spacing w:after="0" w:line="143" w:lineRule="exact"/>
        <w:rPr>
          <w:rFonts w:ascii="Arial" w:cs="Arial" w:eastAsia="Arial" w:hAnsi="Arial"/>
          <w:sz w:val="18"/>
          <w:szCs w:val="18"/>
          <w:color w:val="auto"/>
        </w:rPr>
      </w:pPr>
    </w:p>
    <w:p>
      <w:pPr>
        <w:ind w:right="140" w:firstLine="464"/>
        <w:spacing w:after="0" w:line="268" w:lineRule="auto"/>
        <w:tabs>
          <w:tab w:leader="none" w:pos="695"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the effectiveness of this Amendment, all references to the Credit Agreement in any Loan Document shall mean and be a reference to the Credit Agreement, as amended hereby, and the term “Loan Documents” shall include, without limitation, this Amendment.</w:t>
      </w:r>
    </w:p>
    <w:p>
      <w:pPr>
        <w:spacing w:after="0" w:line="126"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u w:val="single" w:color="auto"/>
          <w:color w:val="auto"/>
        </w:rPr>
        <w:t>Costs and Expenses</w:t>
      </w:r>
      <w:r>
        <w:rPr>
          <w:rFonts w:ascii="Arial" w:cs="Arial" w:eastAsia="Arial" w:hAnsi="Arial"/>
          <w:sz w:val="16"/>
          <w:szCs w:val="16"/>
          <w:color w:val="auto"/>
        </w:rPr>
        <w:t>. Each of the Borrowers and the other Loan Parties agrees jointly and severally to reimburse Agents and Lenders for all reasonable fees, costs and expenses, including the reasonable fees, costs and expenses of counsel or other advisors for advice, assistance, or other representation in connection with this Amendment and the other agreements and documents executed in connection herewith.</w:t>
      </w:r>
    </w:p>
    <w:p>
      <w:pPr>
        <w:sectPr>
          <w:pgSz w:w="11900" w:h="16838" w:orient="portrait"/>
          <w:cols w:equalWidth="0" w:num="1">
            <w:col w:w="11320"/>
          </w:cols>
          <w:pgMar w:left="240" w:top="280" w:right="339" w:bottom="1440" w:gutter="0" w:footer="0" w:header="0"/>
        </w:sectPr>
      </w:pPr>
    </w:p>
    <w:bookmarkStart w:id="109" w:name="page110"/>
    <w:bookmarkEnd w:id="109"/>
    <w:p>
      <w:pPr>
        <w:ind w:right="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LAWS (AS OPPOSED TO CONFLICTS OF LAWS PROVISIONS) OF THE STATE OF NEW YORK.</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for any other purposes.</w:t>
      </w:r>
    </w:p>
    <w:p>
      <w:pPr>
        <w:spacing w:after="0" w:line="120"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any number of counterparts, each of which when so executed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such counterparts shall constitute one and the same instrument, and all signatures need not appear on any one counterpart. Any party hereto may execute and deliver a counterpart of this Amendment by delivering by facsimile transmission a signature page of this Amendment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w:t>
      </w:r>
    </w:p>
    <w:p>
      <w:pPr>
        <w:spacing w:after="0" w:line="10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party.</w:t>
      </w:r>
    </w:p>
    <w:p>
      <w:pPr>
        <w:spacing w:after="0" w:line="120"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Effectiveness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shall become effective at the time (the “</w:t>
      </w:r>
      <w:r>
        <w:rPr>
          <w:rFonts w:ascii="Arial" w:cs="Arial" w:eastAsia="Arial" w:hAnsi="Arial"/>
          <w:sz w:val="16"/>
          <w:szCs w:val="16"/>
          <w:b w:val="1"/>
          <w:bCs w:val="1"/>
          <w:color w:val="auto"/>
        </w:rPr>
        <w:t>Effective Date</w:t>
      </w:r>
      <w:r>
        <w:rPr>
          <w:rFonts w:ascii="Arial" w:cs="Arial" w:eastAsia="Arial" w:hAnsi="Arial"/>
          <w:sz w:val="16"/>
          <w:szCs w:val="16"/>
          <w:color w:val="auto"/>
        </w:rPr>
        <w:t>”) that duly executed signature pages for this</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signed by the Required Lenders and Loan Parties shall have been delivered to Administrative Agent.</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Signature Pages Follow ***</w:t>
      </w:r>
    </w:p>
    <w:p>
      <w:pPr>
        <w:sectPr>
          <w:pgSz w:w="11900" w:h="16838" w:orient="portrait"/>
          <w:cols w:equalWidth="0" w:num="1">
            <w:col w:w="11320"/>
          </w:cols>
          <w:pgMar w:left="240" w:top="274"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Sixth Amendment to Credit Agreement has been executed by the parties hereto as of the date first written 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S.A., a Luxembourg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HOKION</w:t>
      </w:r>
      <w:r>
        <w:rPr>
          <w:rFonts w:ascii="Arial" w:cs="Arial" w:eastAsia="Arial" w:hAnsi="Arial"/>
          <w:sz w:val="16"/>
          <w:szCs w:val="16"/>
          <w:color w:val="auto"/>
        </w:rPr>
        <w:t xml:space="preserve"> P</w:t>
      </w:r>
      <w:r>
        <w:rPr>
          <w:rFonts w:ascii="Arial" w:cs="Arial" w:eastAsia="Arial" w:hAnsi="Arial"/>
          <w:sz w:val="13"/>
          <w:szCs w:val="13"/>
          <w:color w:val="auto"/>
        </w:rPr>
        <w:t>OTAMIANOS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10795</wp:posOffset>
            </wp:positionV>
            <wp:extent cx="24872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FINANCE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 a Delaware limited liability company</w:t>
      </w:r>
    </w:p>
    <w:p>
      <w:pPr>
        <w:spacing w:after="0" w:line="232"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HOKION</w:t>
      </w:r>
      <w:r>
        <w:rPr>
          <w:rFonts w:ascii="Arial" w:cs="Arial" w:eastAsia="Arial" w:hAnsi="Arial"/>
          <w:sz w:val="16"/>
          <w:szCs w:val="16"/>
          <w:color w:val="auto"/>
        </w:rPr>
        <w:t xml:space="preserve"> P</w:t>
      </w:r>
      <w:r>
        <w:rPr>
          <w:rFonts w:ascii="Arial" w:cs="Arial" w:eastAsia="Arial" w:hAnsi="Arial"/>
          <w:sz w:val="13"/>
          <w:szCs w:val="13"/>
          <w:color w:val="auto"/>
        </w:rPr>
        <w:t>OTAMIANOS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10795</wp:posOffset>
            </wp:positionV>
            <wp:extent cx="24872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MAGNACHIP SEMICONDUCTOR LLC, a Delaware limited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liability company</w:t>
      </w:r>
    </w:p>
    <w:p>
      <w:pPr>
        <w:spacing w:after="0" w:line="232"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10795</wp:posOffset>
            </wp:positionV>
            <wp:extent cx="24872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60"/>
          </w:cols>
          <w:pgMar w:left="240" w:top="280" w:right="399" w:bottom="1440" w:gutter="0" w:footer="0" w:header="0"/>
        </w:sectPr>
      </w:pPr>
    </w:p>
    <w:bookmarkStart w:id="111" w:name="page112"/>
    <w:bookmarkEnd w:id="11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MAGNACHIP SEMICONDUCTOR, INC., a California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corporation</w:t>
      </w:r>
    </w:p>
    <w:p>
      <w:pPr>
        <w:spacing w:after="0" w:line="232" w:lineRule="exact"/>
        <w:rPr>
          <w:sz w:val="20"/>
          <w:szCs w:val="20"/>
          <w:color w:val="auto"/>
        </w:rPr>
      </w:pPr>
    </w:p>
    <w:p>
      <w:pPr>
        <w:ind w:left="5660"/>
        <w:spacing w:after="0"/>
        <w:tabs>
          <w:tab w:leader="none" w:pos="716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620"/>
          </w:cols>
          <w:pgMar w:left="1440" w:top="280" w:right="839" w:bottom="1440" w:gutter="0" w:footer="0" w:header="0"/>
        </w:sectPr>
      </w:pPr>
    </w:p>
    <w:bookmarkStart w:id="112" w:name="page113"/>
    <w:bookmarkEnd w:id="11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 HOLDINGS LLC,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219" w:lineRule="exact"/>
        <w:rPr>
          <w:sz w:val="20"/>
          <w:szCs w:val="20"/>
          <w:color w:val="auto"/>
        </w:rPr>
      </w:pPr>
    </w:p>
    <w:p>
      <w:pPr>
        <w:ind w:left="5660"/>
        <w:spacing w:after="0"/>
        <w:tabs>
          <w:tab w:leader="none" w:pos="7060" w:val="left"/>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HOKION</w:t>
      </w:r>
      <w:r>
        <w:rPr>
          <w:rFonts w:ascii="Arial" w:cs="Arial" w:eastAsia="Arial" w:hAnsi="Arial"/>
          <w:sz w:val="16"/>
          <w:szCs w:val="16"/>
          <w:color w:val="auto"/>
        </w:rPr>
        <w:t xml:space="preserve"> P</w:t>
      </w:r>
      <w:r>
        <w:rPr>
          <w:rFonts w:ascii="Arial" w:cs="Arial" w:eastAsia="Arial" w:hAnsi="Arial"/>
          <w:sz w:val="13"/>
          <w:szCs w:val="13"/>
          <w:color w:val="auto"/>
        </w:rPr>
        <w:t>OTAMIANOS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00"/>
          </w:cols>
          <w:pgMar w:left="1440" w:top="280" w:right="459" w:bottom="1440" w:gutter="0" w:footer="0" w:header="0"/>
        </w:sectPr>
      </w:pPr>
    </w:p>
    <w:bookmarkStart w:id="113" w:name="page114"/>
    <w:bookmarkEnd w:id="11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 a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incorporated in England and Wales with registered number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05232381</w:t>
      </w:r>
    </w:p>
    <w:p>
      <w:pPr>
        <w:spacing w:after="0" w:line="219" w:lineRule="exact"/>
        <w:rPr>
          <w:sz w:val="20"/>
          <w:szCs w:val="20"/>
          <w:color w:val="auto"/>
        </w:rPr>
      </w:pPr>
    </w:p>
    <w:p>
      <w:pPr>
        <w:ind w:left="5660"/>
        <w:spacing w:after="0"/>
        <w:tabs>
          <w:tab w:leader="none" w:pos="716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880"/>
          </w:cols>
          <w:pgMar w:left="1440" w:top="280" w:right="579" w:bottom="1440" w:gutter="0" w:footer="0" w:header="0"/>
        </w:sectPr>
      </w:pPr>
    </w:p>
    <w:bookmarkStart w:id="114" w:name="page115"/>
    <w:bookmarkEnd w:id="11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 a Japanese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5660"/>
        <w:spacing w:after="0"/>
        <w:tabs>
          <w:tab w:leader="none" w:pos="716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40"/>
          </w:cols>
          <w:pgMar w:left="1440" w:top="280" w:right="9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28"/>
        </w:trPr>
        <w:tc>
          <w:tcPr>
            <w:tcW w:w="5960" w:type="dxa"/>
            <w:vAlign w:val="bottom"/>
            <w:gridSpan w:val="5"/>
          </w:tcPr>
          <w:p>
            <w:pPr>
              <w:spacing w:after="0"/>
              <w:rPr>
                <w:sz w:val="20"/>
                <w:szCs w:val="20"/>
                <w:color w:val="auto"/>
              </w:rPr>
            </w:pPr>
            <w:r>
              <w:rPr>
                <w:rFonts w:ascii="Arial" w:cs="Arial" w:eastAsia="Arial" w:hAnsi="Arial"/>
                <w:sz w:val="18"/>
                <w:szCs w:val="18"/>
                <w:b w:val="1"/>
                <w:bCs w:val="1"/>
                <w:color w:val="auto"/>
              </w:rPr>
              <w:t>For execution as a deed:</w:t>
            </w:r>
          </w:p>
        </w:tc>
        <w:tc>
          <w:tcPr>
            <w:tcW w:w="740" w:type="dxa"/>
            <w:vAlign w:val="bottom"/>
          </w:tcPr>
          <w:p>
            <w:pPr>
              <w:spacing w:after="0"/>
              <w:rPr>
                <w:sz w:val="19"/>
                <w:szCs w:val="19"/>
                <w:color w:val="auto"/>
              </w:rPr>
            </w:pPr>
          </w:p>
        </w:tc>
      </w:tr>
      <w:tr>
        <w:trPr>
          <w:trHeight w:val="419"/>
        </w:trPr>
        <w:tc>
          <w:tcPr>
            <w:tcW w:w="5960" w:type="dxa"/>
            <w:vAlign w:val="bottom"/>
            <w:gridSpan w:val="5"/>
          </w:tcPr>
          <w:p>
            <w:pPr>
              <w:spacing w:after="0"/>
              <w:rPr>
                <w:sz w:val="20"/>
                <w:szCs w:val="20"/>
                <w:color w:val="auto"/>
              </w:rPr>
            </w:pPr>
            <w:r>
              <w:rPr>
                <w:rFonts w:ascii="Arial" w:cs="Arial" w:eastAsia="Arial" w:hAnsi="Arial"/>
                <w:sz w:val="18"/>
                <w:szCs w:val="18"/>
                <w:color w:val="auto"/>
              </w:rPr>
              <w:t>EXECUTED AS A DEED by</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324"/>
        </w:trPr>
        <w:tc>
          <w:tcPr>
            <w:tcW w:w="5960" w:type="dxa"/>
            <w:vAlign w:val="bottom"/>
            <w:gridSpan w:val="5"/>
          </w:tcPr>
          <w:p>
            <w:pPr>
              <w:spacing w:after="0"/>
              <w:rPr>
                <w:sz w:val="20"/>
                <w:szCs w:val="20"/>
                <w:color w:val="auto"/>
              </w:rPr>
            </w:pPr>
            <w:r>
              <w:rPr>
                <w:rFonts w:ascii="Arial" w:cs="Arial" w:eastAsia="Arial" w:hAnsi="Arial"/>
                <w:sz w:val="18"/>
                <w:szCs w:val="18"/>
                <w:color w:val="auto"/>
              </w:rPr>
              <w:t>as duly appointed attorney</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5960" w:type="dxa"/>
            <w:vAlign w:val="bottom"/>
            <w:gridSpan w:val="5"/>
          </w:tcPr>
          <w:p>
            <w:pPr>
              <w:spacing w:after="0"/>
              <w:rPr>
                <w:sz w:val="20"/>
                <w:szCs w:val="20"/>
                <w:color w:val="auto"/>
              </w:rPr>
            </w:pPr>
            <w:r>
              <w:rPr>
                <w:rFonts w:ascii="Arial" w:cs="Arial" w:eastAsia="Arial" w:hAnsi="Arial"/>
                <w:sz w:val="18"/>
                <w:szCs w:val="18"/>
                <w:color w:val="auto"/>
              </w:rPr>
              <w:t>pursuant to a power of attorney</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rPr>
              <w:t>dated</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w w:val="95"/>
              </w:rPr>
              <w:t>for and on behalf of</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5960" w:type="dxa"/>
            <w:vAlign w:val="bottom"/>
            <w:gridSpan w:val="5"/>
          </w:tcPr>
          <w:p>
            <w:pPr>
              <w:spacing w:after="0"/>
              <w:rPr>
                <w:sz w:val="20"/>
                <w:szCs w:val="20"/>
                <w:color w:val="auto"/>
              </w:rPr>
            </w:pPr>
            <w:r>
              <w:rPr>
                <w:rFonts w:ascii="Arial" w:cs="Arial" w:eastAsia="Arial" w:hAnsi="Arial"/>
                <w:sz w:val="18"/>
                <w:szCs w:val="18"/>
                <w:color w:val="auto"/>
              </w:rPr>
              <w:t>MAGNACHIP SEMICONDUCTOR</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rPr>
              <w:t>LIMITED</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w w:val="99"/>
              </w:rPr>
              <w:t>in the presence of:</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515"/>
        </w:trPr>
        <w:tc>
          <w:tcPr>
            <w:tcW w:w="94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w w:val="86"/>
              </w:rPr>
              <w:t>Witness:</w:t>
            </w:r>
          </w:p>
        </w:tc>
      </w:tr>
      <w:tr>
        <w:trPr>
          <w:trHeight w:val="329"/>
        </w:trPr>
        <w:tc>
          <w:tcPr>
            <w:tcW w:w="1500" w:type="dxa"/>
            <w:vAlign w:val="bottom"/>
            <w:gridSpan w:val="3"/>
          </w:tcPr>
          <w:p>
            <w:pPr>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rPr>
              <w:t>Name:</w:t>
            </w:r>
          </w:p>
        </w:tc>
      </w:tr>
      <w:tr>
        <w:trPr>
          <w:trHeight w:val="324"/>
        </w:trPr>
        <w:tc>
          <w:tcPr>
            <w:tcW w:w="15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w w:val="84"/>
              </w:rPr>
              <w:t>Address:</w:t>
            </w:r>
          </w:p>
        </w:tc>
      </w:tr>
      <w:tr>
        <w:trPr>
          <w:trHeight w:val="459"/>
        </w:trPr>
        <w:tc>
          <w:tcPr>
            <w:tcW w:w="596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For execution otherwise than as a deed:</w:t>
            </w:r>
          </w:p>
        </w:tc>
        <w:tc>
          <w:tcPr>
            <w:tcW w:w="740" w:type="dxa"/>
            <w:vAlign w:val="bottom"/>
          </w:tcPr>
          <w:p>
            <w:pPr>
              <w:spacing w:after="0"/>
              <w:rPr>
                <w:sz w:val="24"/>
                <w:szCs w:val="24"/>
                <w:color w:val="auto"/>
              </w:rPr>
            </w:pPr>
          </w:p>
        </w:tc>
      </w:tr>
      <w:tr>
        <w:trPr>
          <w:trHeight w:val="419"/>
        </w:trPr>
        <w:tc>
          <w:tcPr>
            <w:tcW w:w="5960" w:type="dxa"/>
            <w:vAlign w:val="bottom"/>
            <w:gridSpan w:val="5"/>
          </w:tcPr>
          <w:p>
            <w:pPr>
              <w:spacing w:after="0"/>
              <w:rPr>
                <w:sz w:val="20"/>
                <w:szCs w:val="20"/>
                <w:color w:val="auto"/>
              </w:rPr>
            </w:pPr>
            <w:r>
              <w:rPr>
                <w:rFonts w:ascii="Arial" w:cs="Arial" w:eastAsia="Arial" w:hAnsi="Arial"/>
                <w:sz w:val="18"/>
                <w:szCs w:val="18"/>
                <w:color w:val="auto"/>
              </w:rPr>
              <w:t>SIGNED by /</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5960" w:type="dxa"/>
            <w:vAlign w:val="bottom"/>
            <w:gridSpan w:val="5"/>
          </w:tcPr>
          <w:p>
            <w:pPr>
              <w:spacing w:after="0"/>
              <w:rPr>
                <w:sz w:val="20"/>
                <w:szCs w:val="20"/>
                <w:color w:val="auto"/>
              </w:rPr>
            </w:pPr>
            <w:r>
              <w:rPr>
                <w:rFonts w:ascii="Arial" w:cs="Arial" w:eastAsia="Arial" w:hAnsi="Arial"/>
                <w:sz w:val="18"/>
                <w:szCs w:val="18"/>
                <w:color w:val="auto"/>
              </w:rPr>
              <w:t>as duly appointed attorney</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5960" w:type="dxa"/>
            <w:vAlign w:val="bottom"/>
            <w:gridSpan w:val="5"/>
          </w:tcPr>
          <w:p>
            <w:pPr>
              <w:spacing w:after="0"/>
              <w:rPr>
                <w:sz w:val="20"/>
                <w:szCs w:val="20"/>
                <w:color w:val="auto"/>
              </w:rPr>
            </w:pPr>
            <w:r>
              <w:rPr>
                <w:rFonts w:ascii="Arial" w:cs="Arial" w:eastAsia="Arial" w:hAnsi="Arial"/>
                <w:sz w:val="18"/>
                <w:szCs w:val="18"/>
                <w:color w:val="auto"/>
              </w:rPr>
              <w:t>pursuant to a power of attorney</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rPr>
              <w:t>dated</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w w:val="95"/>
              </w:rPr>
              <w:t>for and on behalf of</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5960" w:type="dxa"/>
            <w:vAlign w:val="bottom"/>
            <w:gridSpan w:val="5"/>
          </w:tcPr>
          <w:p>
            <w:pPr>
              <w:spacing w:after="0"/>
              <w:rPr>
                <w:sz w:val="20"/>
                <w:szCs w:val="20"/>
                <w:color w:val="auto"/>
              </w:rPr>
            </w:pPr>
            <w:r>
              <w:rPr>
                <w:rFonts w:ascii="Arial" w:cs="Arial" w:eastAsia="Arial" w:hAnsi="Arial"/>
                <w:sz w:val="18"/>
                <w:szCs w:val="18"/>
                <w:color w:val="auto"/>
              </w:rPr>
              <w:t>MAGNACHIP SEMICONDUCTOR</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rPr>
              <w:t>LIMITED</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84"/>
        </w:trPr>
        <w:tc>
          <w:tcPr>
            <w:tcW w:w="1500" w:type="dxa"/>
            <w:vAlign w:val="bottom"/>
            <w:gridSpan w:val="3"/>
          </w:tcPr>
          <w:p>
            <w:pPr>
              <w:spacing w:after="0"/>
              <w:rPr>
                <w:sz w:val="20"/>
                <w:szCs w:val="20"/>
                <w:color w:val="auto"/>
              </w:rPr>
            </w:pPr>
            <w:r>
              <w:rPr>
                <w:rFonts w:ascii="Arial" w:cs="Arial" w:eastAsia="Arial" w:hAnsi="Arial"/>
                <w:sz w:val="18"/>
                <w:szCs w:val="18"/>
                <w:color w:val="auto"/>
                <w:w w:val="99"/>
              </w:rPr>
              <w:t>in the presence of:</w:t>
            </w:r>
          </w:p>
        </w:tc>
        <w:tc>
          <w:tcPr>
            <w:tcW w:w="3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21"/>
        </w:trPr>
        <w:tc>
          <w:tcPr>
            <w:tcW w:w="1500" w:type="dxa"/>
            <w:vAlign w:val="bottom"/>
            <w:gridSpan w:val="3"/>
          </w:tcPr>
          <w:p>
            <w:pPr>
              <w:spacing w:after="0"/>
              <w:rPr>
                <w:sz w:val="20"/>
                <w:szCs w:val="20"/>
                <w:color w:val="auto"/>
              </w:rPr>
            </w:pPr>
            <w:r>
              <w:rPr>
                <w:rFonts w:ascii="Arial" w:cs="Arial" w:eastAsia="Arial" w:hAnsi="Arial"/>
                <w:sz w:val="18"/>
                <w:szCs w:val="18"/>
                <w:color w:val="auto"/>
              </w:rPr>
              <w:t>Witness:</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F</w:t>
            </w:r>
            <w:r>
              <w:rPr>
                <w:rFonts w:ascii="Arial" w:cs="Arial" w:eastAsia="Arial" w:hAnsi="Arial"/>
                <w:sz w:val="14"/>
                <w:szCs w:val="14"/>
                <w:color w:val="auto"/>
              </w:rPr>
              <w:t>ARLAND</w:t>
            </w:r>
          </w:p>
        </w:tc>
        <w:tc>
          <w:tcPr>
            <w:tcW w:w="740" w:type="dxa"/>
            <w:vAlign w:val="bottom"/>
          </w:tcPr>
          <w:p>
            <w:pPr>
              <w:spacing w:after="0"/>
              <w:rPr>
                <w:sz w:val="24"/>
                <w:szCs w:val="24"/>
                <w:color w:val="auto"/>
              </w:rPr>
            </w:pPr>
          </w:p>
        </w:tc>
      </w:tr>
      <w:tr>
        <w:trPr>
          <w:trHeight w:val="197"/>
        </w:trPr>
        <w:tc>
          <w:tcPr>
            <w:tcW w:w="800" w:type="dxa"/>
            <w:vAlign w:val="bottom"/>
          </w:tcPr>
          <w:p>
            <w:pPr>
              <w:spacing w:after="0" w:line="197" w:lineRule="exact"/>
              <w:rPr>
                <w:sz w:val="20"/>
                <w:szCs w:val="20"/>
                <w:color w:val="auto"/>
              </w:rPr>
            </w:pPr>
            <w:r>
              <w:rPr>
                <w:rFonts w:ascii="Arial" w:cs="Arial" w:eastAsia="Arial" w:hAnsi="Arial"/>
                <w:sz w:val="18"/>
                <w:szCs w:val="18"/>
                <w:color w:val="auto"/>
              </w:rPr>
              <w:t>Name:</w:t>
            </w:r>
          </w:p>
        </w:tc>
        <w:tc>
          <w:tcPr>
            <w:tcW w:w="700" w:type="dxa"/>
            <w:vAlign w:val="bottom"/>
            <w:tcBorders>
              <w:top w:val="single" w:sz="8" w:color="auto"/>
            </w:tcBorders>
            <w:gridSpan w:val="2"/>
          </w:tcPr>
          <w:p>
            <w:pPr>
              <w:spacing w:after="0"/>
              <w:rPr>
                <w:sz w:val="17"/>
                <w:szCs w:val="17"/>
                <w:color w:val="auto"/>
              </w:rPr>
            </w:pPr>
          </w:p>
        </w:tc>
        <w:tc>
          <w:tcPr>
            <w:tcW w:w="3420" w:type="dxa"/>
            <w:vAlign w:val="bottom"/>
            <w:tcBorders>
              <w:top w:val="single" w:sz="8" w:color="auto"/>
            </w:tcBorders>
          </w:tcPr>
          <w:p>
            <w:pPr>
              <w:jc w:val="center"/>
              <w:ind w:right="586"/>
              <w:spacing w:after="0"/>
              <w:rPr>
                <w:sz w:val="20"/>
                <w:szCs w:val="20"/>
                <w:color w:val="auto"/>
              </w:rPr>
            </w:pPr>
            <w:r>
              <w:rPr>
                <w:rFonts w:ascii="Arial" w:cs="Arial" w:eastAsia="Arial" w:hAnsi="Arial"/>
                <w:sz w:val="14"/>
                <w:szCs w:val="14"/>
                <w:b w:val="1"/>
                <w:bCs w:val="1"/>
                <w:color w:val="auto"/>
                <w:w w:val="89"/>
              </w:rPr>
              <w:t>John McFarland</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7"/>
        </w:trPr>
        <w:tc>
          <w:tcPr>
            <w:tcW w:w="15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446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86"/>
              </w:rPr>
              <w:t>891 Daechi-dong, Gangnam-gu, Seoul, Korea</w:t>
            </w: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-2794000</wp:posOffset>
            </wp:positionV>
            <wp:extent cx="28213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CERTIFICATION LANGUAGE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being a director of MagnaChip Semiconductor Limited, do hereby certify that this document is a true and complete copy of its original.</w:t>
      </w:r>
    </w:p>
    <w:p>
      <w:pPr>
        <w:spacing w:after="0" w:line="235" w:lineRule="exact"/>
        <w:rPr>
          <w:sz w:val="20"/>
          <w:szCs w:val="20"/>
          <w:color w:val="auto"/>
        </w:rPr>
      </w:pPr>
    </w:p>
    <w:p>
      <w:pPr>
        <w:ind w:left="1540"/>
        <w:spacing w:after="0"/>
        <w:tabs>
          <w:tab w:leader="none" w:pos="18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127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860"/>
          </w:cols>
          <w:pgMar w:left="240" w:top="274" w:right="799" w:bottom="1440" w:gutter="0" w:footer="0" w:header="0"/>
        </w:sectPr>
      </w:pPr>
    </w:p>
    <w:bookmarkStart w:id="116" w:name="page117"/>
    <w:bookmarkEnd w:id="11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LTD.,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Taiwan company</w:t>
      </w:r>
    </w:p>
    <w:p>
      <w:pPr>
        <w:spacing w:after="0" w:line="219" w:lineRule="exact"/>
        <w:rPr>
          <w:sz w:val="20"/>
          <w:szCs w:val="20"/>
          <w:color w:val="auto"/>
        </w:rPr>
      </w:pPr>
    </w:p>
    <w:p>
      <w:pPr>
        <w:ind w:left="5660"/>
        <w:spacing w:after="0"/>
        <w:tabs>
          <w:tab w:leader="none" w:pos="716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117" w:name="page118"/>
    <w:bookmarkEnd w:id="11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B.V.</w:t>
      </w:r>
    </w:p>
    <w:p>
      <w:pPr>
        <w:spacing w:after="0" w:line="225" w:lineRule="exact"/>
        <w:rPr>
          <w:sz w:val="20"/>
          <w:szCs w:val="20"/>
          <w:color w:val="auto"/>
        </w:rPr>
      </w:pPr>
    </w:p>
    <w:p>
      <w:pPr>
        <w:ind w:left="5660"/>
        <w:spacing w:after="0"/>
        <w:tabs>
          <w:tab w:leader="none" w:pos="716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80" w:right="1440" w:bottom="1440" w:gutter="0" w:footer="0" w:header="0"/>
        </w:sectPr>
      </w:pPr>
    </w:p>
    <w:bookmarkStart w:id="118" w:name="page119"/>
    <w:bookmarkEnd w:id="11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HOLDING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a British Virgin Islands company</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F</w:t>
            </w:r>
            <w:r>
              <w:rPr>
                <w:rFonts w:ascii="Arial" w:cs="Arial" w:eastAsia="Arial" w:hAnsi="Arial"/>
                <w:sz w:val="14"/>
                <w:szCs w:val="14"/>
                <w:color w:val="auto"/>
              </w:rPr>
              <w:t>ARLAND</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John McFarland</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bl>
    <w:p>
      <w:pPr>
        <w:sectPr>
          <w:pgSz w:w="11900" w:h="16838" w:orient="portrait"/>
          <w:cols w:equalWidth="0" w:num="1">
            <w:col w:w="10220"/>
          </w:cols>
          <w:pgMar w:left="1440" w:top="280" w:right="23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INTERNATIONAL CORPORATION, 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Cayman Islands Company</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F</w:t>
            </w:r>
            <w:r>
              <w:rPr>
                <w:rFonts w:ascii="Arial" w:cs="Arial" w:eastAsia="Arial" w:hAnsi="Arial"/>
                <w:sz w:val="14"/>
                <w:szCs w:val="14"/>
                <w:color w:val="auto"/>
              </w:rPr>
              <w:t>ARLAND</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John McFarland</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bl>
    <w:p>
      <w:pPr>
        <w:sectPr>
          <w:pgSz w:w="11900" w:h="16838" w:orient="portrait"/>
          <w:cols w:equalWidth="0" w:num="1">
            <w:col w:w="10220"/>
          </w:cols>
          <w:pgMar w:left="1440" w:top="280" w:right="23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TECHNOLOGY CORPORATION, a Taiwan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F</w:t>
            </w:r>
            <w:r>
              <w:rPr>
                <w:rFonts w:ascii="Arial" w:cs="Arial" w:eastAsia="Arial" w:hAnsi="Arial"/>
                <w:sz w:val="14"/>
                <w:szCs w:val="14"/>
                <w:color w:val="auto"/>
              </w:rPr>
              <w:t>ARLAND</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John McFarland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bl>
    <w:p>
      <w:pPr>
        <w:sectPr>
          <w:pgSz w:w="11900" w:h="16838" w:orient="portrait"/>
          <w:cols w:equalWidth="0" w:num="1">
            <w:col w:w="10220"/>
          </w:cols>
          <w:pgMar w:left="1440" w:top="280" w:right="239" w:bottom="1440" w:gutter="0" w:footer="0" w:header="0"/>
        </w:sectPr>
      </w:pPr>
    </w:p>
    <w:bookmarkStart w:id="121" w:name="page122"/>
    <w:bookmarkEnd w:id="1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 Syndication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 and Documentation Agent</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ind w:right="206"/>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L. T</w:t>
            </w:r>
            <w:r>
              <w:rPr>
                <w:rFonts w:ascii="Arial" w:cs="Arial" w:eastAsia="Arial" w:hAnsi="Arial"/>
                <w:sz w:val="14"/>
                <w:szCs w:val="14"/>
                <w:color w:val="auto"/>
              </w:rPr>
              <w:t>AVROW</w:t>
            </w:r>
          </w:p>
        </w:tc>
      </w:tr>
      <w:tr>
        <w:trPr>
          <w:trHeight w:val="29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0"/>
              </w:rPr>
              <w:t>Richard L. Tavrow</w:t>
            </w: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ind w:right="206"/>
              <w:spacing w:after="0"/>
              <w:rPr>
                <w:sz w:val="20"/>
                <w:szCs w:val="20"/>
                <w:color w:val="auto"/>
              </w:rPr>
            </w:pPr>
            <w:r>
              <w:rPr>
                <w:rFonts w:ascii="Arial" w:cs="Arial" w:eastAsia="Arial" w:hAnsi="Arial"/>
                <w:sz w:val="18"/>
                <w:szCs w:val="18"/>
                <w:color w:val="auto"/>
              </w:rPr>
              <w:t>/s/  I</w:t>
            </w:r>
            <w:r>
              <w:rPr>
                <w:rFonts w:ascii="Arial" w:cs="Arial" w:eastAsia="Arial" w:hAnsi="Arial"/>
                <w:sz w:val="14"/>
                <w:szCs w:val="14"/>
                <w:color w:val="auto"/>
              </w:rPr>
              <w:t>RJA</w:t>
            </w:r>
            <w:r>
              <w:rPr>
                <w:rFonts w:ascii="Arial" w:cs="Arial" w:eastAsia="Arial" w:hAnsi="Arial"/>
                <w:sz w:val="18"/>
                <w:szCs w:val="18"/>
                <w:color w:val="auto"/>
              </w:rPr>
              <w:t xml:space="preserve"> R. O</w:t>
            </w:r>
            <w:r>
              <w:rPr>
                <w:rFonts w:ascii="Arial" w:cs="Arial" w:eastAsia="Arial" w:hAnsi="Arial"/>
                <w:sz w:val="14"/>
                <w:szCs w:val="14"/>
                <w:color w:val="auto"/>
              </w:rPr>
              <w:t>TSA</w:t>
            </w:r>
          </w:p>
        </w:tc>
      </w:tr>
      <w:tr>
        <w:trPr>
          <w:trHeight w:val="29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Irja R. Otsa</w:t>
            </w: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Associate 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UBS AG, STAMFORD BRANCH, as Administrative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ind w:right="206"/>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L. T</w:t>
            </w:r>
            <w:r>
              <w:rPr>
                <w:rFonts w:ascii="Arial" w:cs="Arial" w:eastAsia="Arial" w:hAnsi="Arial"/>
                <w:sz w:val="14"/>
                <w:szCs w:val="14"/>
                <w:color w:val="auto"/>
              </w:rPr>
              <w:t>AVROW</w:t>
            </w:r>
          </w:p>
        </w:tc>
      </w:tr>
      <w:tr>
        <w:trPr>
          <w:trHeight w:val="29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0"/>
              </w:rPr>
              <w:t>Richard L. Tavrow</w:t>
            </w: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ind w:right="206"/>
              <w:spacing w:after="0"/>
              <w:rPr>
                <w:sz w:val="20"/>
                <w:szCs w:val="20"/>
                <w:color w:val="auto"/>
              </w:rPr>
            </w:pPr>
            <w:r>
              <w:rPr>
                <w:rFonts w:ascii="Arial" w:cs="Arial" w:eastAsia="Arial" w:hAnsi="Arial"/>
                <w:sz w:val="18"/>
                <w:szCs w:val="18"/>
                <w:color w:val="auto"/>
              </w:rPr>
              <w:t>/s/  I</w:t>
            </w:r>
            <w:r>
              <w:rPr>
                <w:rFonts w:ascii="Arial" w:cs="Arial" w:eastAsia="Arial" w:hAnsi="Arial"/>
                <w:sz w:val="14"/>
                <w:szCs w:val="14"/>
                <w:color w:val="auto"/>
              </w:rPr>
              <w:t>RJA</w:t>
            </w:r>
            <w:r>
              <w:rPr>
                <w:rFonts w:ascii="Arial" w:cs="Arial" w:eastAsia="Arial" w:hAnsi="Arial"/>
                <w:sz w:val="18"/>
                <w:szCs w:val="18"/>
                <w:color w:val="auto"/>
              </w:rPr>
              <w:t xml:space="preserve"> R. O</w:t>
            </w:r>
            <w:r>
              <w:rPr>
                <w:rFonts w:ascii="Arial" w:cs="Arial" w:eastAsia="Arial" w:hAnsi="Arial"/>
                <w:sz w:val="14"/>
                <w:szCs w:val="14"/>
                <w:color w:val="auto"/>
              </w:rPr>
              <w:t>TSA</w:t>
            </w:r>
          </w:p>
        </w:tc>
      </w:tr>
      <w:tr>
        <w:trPr>
          <w:trHeight w:val="29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Irja R. Otsa</w:t>
            </w: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Associate 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LOAN FINANCE LLC, as Swingline Lender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ind w:right="206"/>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L. T</w:t>
            </w:r>
            <w:r>
              <w:rPr>
                <w:rFonts w:ascii="Arial" w:cs="Arial" w:eastAsia="Arial" w:hAnsi="Arial"/>
                <w:sz w:val="14"/>
                <w:szCs w:val="14"/>
                <w:color w:val="auto"/>
              </w:rPr>
              <w:t>AVROW</w:t>
            </w:r>
          </w:p>
        </w:tc>
      </w:tr>
      <w:tr>
        <w:trPr>
          <w:trHeight w:val="29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0"/>
              </w:rPr>
              <w:t>Richard L. Tavrow</w:t>
            </w: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ind w:right="206"/>
              <w:spacing w:after="0"/>
              <w:rPr>
                <w:sz w:val="20"/>
                <w:szCs w:val="20"/>
                <w:color w:val="auto"/>
              </w:rPr>
            </w:pPr>
            <w:r>
              <w:rPr>
                <w:rFonts w:ascii="Arial" w:cs="Arial" w:eastAsia="Arial" w:hAnsi="Arial"/>
                <w:sz w:val="18"/>
                <w:szCs w:val="18"/>
                <w:color w:val="auto"/>
              </w:rPr>
              <w:t>/s/  I</w:t>
            </w:r>
            <w:r>
              <w:rPr>
                <w:rFonts w:ascii="Arial" w:cs="Arial" w:eastAsia="Arial" w:hAnsi="Arial"/>
                <w:sz w:val="14"/>
                <w:szCs w:val="14"/>
                <w:color w:val="auto"/>
              </w:rPr>
              <w:t>RJA</w:t>
            </w:r>
            <w:r>
              <w:rPr>
                <w:rFonts w:ascii="Arial" w:cs="Arial" w:eastAsia="Arial" w:hAnsi="Arial"/>
                <w:sz w:val="18"/>
                <w:szCs w:val="18"/>
                <w:color w:val="auto"/>
              </w:rPr>
              <w:t xml:space="preserve"> R. O</w:t>
            </w:r>
            <w:r>
              <w:rPr>
                <w:rFonts w:ascii="Arial" w:cs="Arial" w:eastAsia="Arial" w:hAnsi="Arial"/>
                <w:sz w:val="14"/>
                <w:szCs w:val="14"/>
                <w:color w:val="auto"/>
              </w:rPr>
              <w:t>TSA</w:t>
            </w:r>
          </w:p>
        </w:tc>
      </w:tr>
      <w:tr>
        <w:trPr>
          <w:trHeight w:val="29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4"/>
              </w:rPr>
              <w:t>Irja R. Otsa</w:t>
            </w: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5"/>
              </w:rPr>
              <w:t>Associate Director</w:t>
            </w:r>
          </w:p>
        </w:tc>
      </w:tr>
    </w:tbl>
    <w:p>
      <w:pPr>
        <w:sectPr>
          <w:pgSz w:w="11900" w:h="16838" w:orient="portrait"/>
          <w:cols w:equalWidth="0" w:num="1">
            <w:col w:w="10220"/>
          </w:cols>
          <w:pgMar w:left="1440" w:top="280" w:right="23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  I</w:t>
            </w:r>
            <w:r>
              <w:rPr>
                <w:rFonts w:ascii="Arial" w:cs="Arial" w:eastAsia="Arial" w:hAnsi="Arial"/>
                <w:sz w:val="14"/>
                <w:szCs w:val="14"/>
                <w:color w:val="auto"/>
              </w:rPr>
              <w:t>L</w:t>
            </w:r>
            <w:r>
              <w:rPr>
                <w:rFonts w:ascii="Arial" w:cs="Arial" w:eastAsia="Arial" w:hAnsi="Arial"/>
                <w:sz w:val="18"/>
                <w:szCs w:val="18"/>
                <w:color w:val="auto"/>
              </w:rPr>
              <w:t>-W</w:t>
            </w:r>
            <w:r>
              <w:rPr>
                <w:rFonts w:ascii="Arial" w:cs="Arial" w:eastAsia="Arial" w:hAnsi="Arial"/>
                <w:sz w:val="14"/>
                <w:szCs w:val="14"/>
                <w:color w:val="auto"/>
              </w:rPr>
              <w:t>ON</w:t>
            </w:r>
            <w:r>
              <w:rPr>
                <w:rFonts w:ascii="Arial" w:cs="Arial" w:eastAsia="Arial" w:hAnsi="Arial"/>
                <w:sz w:val="18"/>
                <w:szCs w:val="18"/>
                <w:color w:val="auto"/>
              </w:rPr>
              <w:t xml:space="preserve"> J</w:t>
            </w:r>
            <w:r>
              <w:rPr>
                <w:rFonts w:ascii="Arial" w:cs="Arial" w:eastAsia="Arial" w:hAnsi="Arial"/>
                <w:sz w:val="14"/>
                <w:szCs w:val="14"/>
                <w:color w:val="auto"/>
              </w:rPr>
              <w:t>OO</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Il-Won Joo</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Senior Relationship Manager</w:t>
            </w:r>
          </w:p>
        </w:tc>
      </w:tr>
    </w:tbl>
    <w:p>
      <w:pPr>
        <w:sectPr>
          <w:pgSz w:w="11900" w:h="16838" w:orient="portrait"/>
          <w:cols w:equalWidth="0" w:num="1">
            <w:col w:w="10220"/>
          </w:cols>
          <w:pgMar w:left="1440" w:top="280" w:right="239" w:bottom="1440" w:gutter="0" w:footer="0" w:header="0"/>
        </w:sectPr>
      </w:pPr>
    </w:p>
    <w:bookmarkStart w:id="123" w:name="page124"/>
    <w:bookmarkEnd w:id="12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-57150</wp:posOffset>
            </wp:positionV>
            <wp:extent cx="25215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60"/>
          </w:cols>
          <w:pgMar w:left="1440" w:top="280" w:right="1399" w:bottom="1440" w:gutter="0" w:footer="0" w:header="0"/>
        </w:sectPr>
      </w:pPr>
    </w:p>
    <w:bookmarkStart w:id="124" w:name="page125"/>
    <w:bookmarkEnd w:id="12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C</w:t>
            </w:r>
            <w:r>
              <w:rPr>
                <w:rFonts w:ascii="Arial" w:cs="Arial" w:eastAsia="Arial" w:hAnsi="Arial"/>
                <w:sz w:val="14"/>
                <w:szCs w:val="14"/>
                <w:color w:val="auto"/>
              </w:rPr>
              <w:t>HO</w:t>
            </w:r>
          </w:p>
        </w:tc>
      </w:tr>
      <w:tr>
        <w:trPr>
          <w:trHeight w:val="21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2"/>
              </w:rPr>
              <w:t>Carl Cho</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r>
    </w:tbl>
    <w:p>
      <w:pPr>
        <w:sectPr>
          <w:pgSz w:w="11900" w:h="16838" w:orient="portrait"/>
          <w:cols w:equalWidth="0" w:num="1">
            <w:col w:w="10220"/>
          </w:cols>
          <w:pgMar w:left="1440" w:top="280" w:right="23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K</w:t>
            </w:r>
            <w:r>
              <w:rPr>
                <w:rFonts w:ascii="Arial" w:cs="Arial" w:eastAsia="Arial" w:hAnsi="Arial"/>
                <w:sz w:val="14"/>
                <w:szCs w:val="14"/>
                <w:color w:val="auto"/>
              </w:rPr>
              <w:t>OWALCZAK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John Kowalczak</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4"/>
              </w:rPr>
              <w:t>Vice President</w:t>
            </w:r>
          </w:p>
        </w:tc>
      </w:tr>
    </w:tbl>
    <w:p>
      <w:pPr>
        <w:sectPr>
          <w:pgSz w:w="11900" w:h="16838" w:orient="portrait"/>
          <w:cols w:equalWidth="0" w:num="1">
            <w:col w:w="10220"/>
          </w:cols>
          <w:pgMar w:left="1440" w:top="280" w:right="239" w:bottom="1440" w:gutter="0" w:footer="0" w:header="0"/>
        </w:sectPr>
      </w:pPr>
    </w:p>
    <w:bookmarkStart w:id="126" w:name="page127"/>
    <w:bookmarkEnd w:id="12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USAN</w:t>
            </w:r>
            <w:r>
              <w:rPr>
                <w:rFonts w:ascii="Arial" w:cs="Arial" w:eastAsia="Arial" w:hAnsi="Arial"/>
                <w:sz w:val="18"/>
                <w:szCs w:val="18"/>
                <w:color w:val="auto"/>
              </w:rPr>
              <w:t xml:space="preserve"> L</w:t>
            </w:r>
            <w:r>
              <w:rPr>
                <w:rFonts w:ascii="Arial" w:cs="Arial" w:eastAsia="Arial" w:hAnsi="Arial"/>
                <w:sz w:val="14"/>
                <w:szCs w:val="14"/>
                <w:color w:val="auto"/>
              </w:rPr>
              <w:t>E</w:t>
            </w:r>
            <w:r>
              <w:rPr>
                <w:rFonts w:ascii="Arial" w:cs="Arial" w:eastAsia="Arial" w:hAnsi="Arial"/>
                <w:sz w:val="18"/>
                <w:szCs w:val="18"/>
                <w:color w:val="auto"/>
              </w:rPr>
              <w:t>F</w:t>
            </w:r>
            <w:r>
              <w:rPr>
                <w:rFonts w:ascii="Arial" w:cs="Arial" w:eastAsia="Arial" w:hAnsi="Arial"/>
                <w:sz w:val="14"/>
                <w:szCs w:val="14"/>
                <w:color w:val="auto"/>
              </w:rPr>
              <w:t>EVRE</w:t>
            </w:r>
          </w:p>
        </w:tc>
      </w:tr>
      <w:tr>
        <w:trPr>
          <w:trHeight w:val="2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86"/>
              </w:rPr>
              <w:t>Susan LeFevre</w:t>
            </w:r>
          </w:p>
        </w:tc>
      </w:tr>
      <w:tr>
        <w:trPr>
          <w:trHeight w:val="22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r>
    </w:tbl>
    <w:p>
      <w:pPr>
        <w:spacing w:after="0" w:line="19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DEUTSCHE BANK TRUST COMPANY AMERICAS</w:t>
      </w:r>
    </w:p>
    <w:p>
      <w:pPr>
        <w:spacing w:after="0" w:line="23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AUL</w:t>
            </w:r>
            <w:r>
              <w:rPr>
                <w:rFonts w:ascii="Arial" w:cs="Arial" w:eastAsia="Arial" w:hAnsi="Arial"/>
                <w:sz w:val="18"/>
                <w:szCs w:val="18"/>
                <w:color w:val="auto"/>
              </w:rPr>
              <w:t xml:space="preserve"> O’L</w:t>
            </w:r>
            <w:r>
              <w:rPr>
                <w:rFonts w:ascii="Arial" w:cs="Arial" w:eastAsia="Arial" w:hAnsi="Arial"/>
                <w:sz w:val="14"/>
                <w:szCs w:val="14"/>
                <w:color w:val="auto"/>
              </w:rPr>
              <w:t>EARY</w:t>
            </w:r>
          </w:p>
        </w:tc>
      </w:tr>
      <w:tr>
        <w:trPr>
          <w:trHeight w:val="21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1540"/>
              <w:spacing w:after="0"/>
              <w:rPr>
                <w:sz w:val="20"/>
                <w:szCs w:val="20"/>
                <w:color w:val="auto"/>
              </w:rPr>
            </w:pPr>
            <w:r>
              <w:rPr>
                <w:rFonts w:ascii="Arial" w:cs="Arial" w:eastAsia="Arial" w:hAnsi="Arial"/>
                <w:sz w:val="14"/>
                <w:szCs w:val="14"/>
                <w:b w:val="1"/>
                <w:bCs w:val="1"/>
                <w:color w:val="auto"/>
              </w:rPr>
              <w:t>Paul O’Leary</w:t>
            </w:r>
          </w:p>
        </w:tc>
      </w:tr>
      <w:tr>
        <w:trPr>
          <w:trHeight w:val="227"/>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1520"/>
              <w:spacing w:after="0"/>
              <w:rPr>
                <w:sz w:val="20"/>
                <w:szCs w:val="20"/>
                <w:color w:val="auto"/>
              </w:rPr>
            </w:pPr>
            <w:r>
              <w:rPr>
                <w:rFonts w:ascii="Arial" w:cs="Arial" w:eastAsia="Arial" w:hAnsi="Arial"/>
                <w:sz w:val="14"/>
                <w:szCs w:val="14"/>
                <w:b w:val="1"/>
                <w:bCs w:val="1"/>
                <w:color w:val="auto"/>
              </w:rPr>
              <w:t>Vice President</w:t>
            </w:r>
          </w:p>
        </w:tc>
      </w:tr>
    </w:tbl>
    <w:p>
      <w:pPr>
        <w:sectPr>
          <w:pgSz w:w="11900" w:h="16838" w:orient="portrait"/>
          <w:cols w:equalWidth="0" w:num="1">
            <w:col w:w="10220"/>
          </w:cols>
          <w:pgMar w:left="1440" w:top="280"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MAGNACHIP SEMICONDUCTOR,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CONSULTING AGREEMENT</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Consulting Agreement (“Agreement”) is entered into as of January 1, 2006, by and between MagnaChip Semiconductor, Ltd. a Korean limited liability company (the “Company”) and Jerry Baker, an individual residing in California, U.S.A. (“Consultant”). The Company desires to retain Consultant as an independent contractor to perform consulting services for the Company, and Consultant is willing to perform such services, on the terms described below. In consideration of the mutual promises contained herein, the parties agree as follows: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1</w:t>
      </w:r>
      <w:r>
        <w:rPr>
          <w:rFonts w:ascii="Arial" w:cs="Arial" w:eastAsia="Arial" w:hAnsi="Arial"/>
          <w:sz w:val="18"/>
          <w:szCs w:val="18"/>
          <w:i w:val="1"/>
          <w:iCs w:val="1"/>
          <w:color w:val="auto"/>
        </w:rPr>
        <w:t>. Services and Compensation</w:t>
      </w:r>
      <w:r>
        <w:rPr>
          <w:rFonts w:ascii="Arial" w:cs="Arial" w:eastAsia="Arial" w:hAnsi="Arial"/>
          <w:sz w:val="18"/>
          <w:szCs w:val="18"/>
          <w:color w:val="auto"/>
        </w:rPr>
        <w:t xml:space="preserve">. Consultant agrees to perform for the Company the services described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“Services”), and the Company agrees to pay Consultant the compensation described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for Consultant’s performance of the Services.</w:t>
      </w:r>
    </w:p>
    <w:p>
      <w:pPr>
        <w:spacing w:after="0" w:line="132"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 Definition</w:t>
      </w:r>
      <w:r>
        <w:rPr>
          <w:rFonts w:ascii="Arial" w:cs="Arial" w:eastAsia="Arial" w:hAnsi="Arial"/>
          <w:sz w:val="16"/>
          <w:szCs w:val="16"/>
          <w:color w:val="auto"/>
        </w:rPr>
        <w:t>. “Confidential Information” means any non-public information that relates to the actual or anticipated business or research and development of the Company, technical data, trade secrets or know-how, including, but not limited to, research, product plans or other information regarding Company’s products or services and markets therefor, customer lists and customers (including, but not limited to, customers of the Company on whom Consultant called or with whom Consultant became acquainted during the term of this Agreement), software, developments, inventions, processes, formulas, technology, designs, drawing, engineering, hardware configuration information, marketing, finances or other business information. Confidential Information does not include information that (i) is known to Consultant at the time of disclosure to Consultant by the Company as evidenced by written records of Consultant, (ii) has become publicly known and made generally available through no wrongful act of Consultant or (iii) has been rightfully received by Consultant from a third party who is authorized to make such disclosure.</w:t>
      </w:r>
    </w:p>
    <w:p>
      <w:pPr>
        <w:spacing w:after="0" w:line="118"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Nonuse and Nondisclosure</w:t>
      </w:r>
      <w:r>
        <w:rPr>
          <w:rFonts w:ascii="Arial" w:cs="Arial" w:eastAsia="Arial" w:hAnsi="Arial"/>
          <w:sz w:val="16"/>
          <w:szCs w:val="16"/>
          <w:color w:val="auto"/>
        </w:rPr>
        <w:t>. Consultant will not, during or subsequent to the term of this Agreement, (i) use the Confidential Information for any purpose whatsoever other than the performance of the Services on behalf of the Company or (ii) disclose the Confidential Information to any third party. Consultant agrees that all Confidential Information will remain the sole property of the Company. Consultant also agrees to take all reasonable precautions to prevent any unauthorized disclosure of such Confidential Information. Without the Company’s prior written approval, Consultant will not directly or indirectly disclose to anyone the existence of this Agreement or the fact that Consultant has this arrangement with the Company.</w:t>
      </w:r>
    </w:p>
    <w:p>
      <w:pPr>
        <w:spacing w:after="0" w:line="11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Former Client Confidential Information</w:t>
      </w:r>
      <w:r>
        <w:rPr>
          <w:rFonts w:ascii="Arial" w:cs="Arial" w:eastAsia="Arial" w:hAnsi="Arial"/>
          <w:sz w:val="18"/>
          <w:szCs w:val="18"/>
          <w:color w:val="auto"/>
        </w:rPr>
        <w:t>. Consultant agrees that Consultant will not, during the term of this Agreement, improperly use or disclose any proprietary information or trade secrets of any former or current employer of Consultant or other person or entity with which Consultant has an agreement or duty to keep in confidence information acquired by Consultant, if any. Consultant also agrees that Consultant will not bring onto the Company’s premises any unpublished document or proprietary information belonging to any such employer, person or entity unless consented to in writing by such employer, person or entity.</w:t>
      </w:r>
    </w:p>
    <w:p>
      <w:pPr>
        <w:sectPr>
          <w:pgSz w:w="11900" w:h="16838" w:orient="portrait"/>
          <w:cols w:equalWidth="0" w:num="1">
            <w:col w:w="11400"/>
          </w:cols>
          <w:pgMar w:left="240" w:top="125" w:right="259" w:bottom="1440" w:gutter="0" w:footer="0" w:header="0"/>
        </w:sectPr>
      </w:pPr>
    </w:p>
    <w:bookmarkStart w:id="128" w:name="page129"/>
    <w:bookmarkEnd w:id="128"/>
    <w:p>
      <w:pPr>
        <w:ind w:right="8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 </w:t>
      </w:r>
      <w:r>
        <w:rPr>
          <w:rFonts w:ascii="Arial" w:cs="Arial" w:eastAsia="Arial" w:hAnsi="Arial"/>
          <w:sz w:val="16"/>
          <w:szCs w:val="16"/>
          <w:i w:val="1"/>
          <w:iCs w:val="1"/>
          <w:color w:val="auto"/>
        </w:rPr>
        <w:t>Third Party Confidential Information</w:t>
      </w:r>
      <w:r>
        <w:rPr>
          <w:rFonts w:ascii="Arial" w:cs="Arial" w:eastAsia="Arial" w:hAnsi="Arial"/>
          <w:sz w:val="16"/>
          <w:szCs w:val="16"/>
          <w:color w:val="auto"/>
        </w:rPr>
        <w:t>. Consultant recognizes that the Company has received and in the future will receive from third parties their confidential or proprietary information subject to a duty on the Company’s part to maintain the confidentiality of such information and to use it only for certain limited purposes. Consultant agrees that, during the term of this Agreement and thereafter, Consultant owes the Company and such third parties a duty to hold all such confidential or proprietary information in the strictest confidence and not to disclose it to any person, firm or corporation or to use it except as necessary in carrying out the Services for the Company consistent with the Company’s agreement with such third party.</w:t>
      </w:r>
    </w:p>
    <w:p>
      <w:pPr>
        <w:spacing w:after="0" w:line="11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Return of Materials</w:t>
      </w:r>
      <w:r>
        <w:rPr>
          <w:rFonts w:ascii="Arial" w:cs="Arial" w:eastAsia="Arial" w:hAnsi="Arial"/>
          <w:sz w:val="18"/>
          <w:szCs w:val="18"/>
          <w:color w:val="auto"/>
        </w:rPr>
        <w:t>. Upon the termination of this Agreement, or upon Company’s earlier request, Consultant will deliver to the Company all of the Company’s property, including but not limited to all electronically stored information and passwords to access such property, or Confidential Information that Consultant may have in Consultant’s possession or control.</w:t>
      </w:r>
    </w:p>
    <w:p>
      <w:pPr>
        <w:spacing w:after="0" w:line="14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Reverse Engineering</w:t>
      </w:r>
      <w:r>
        <w:rPr>
          <w:rFonts w:ascii="Arial" w:cs="Arial" w:eastAsia="Arial" w:hAnsi="Arial"/>
          <w:sz w:val="18"/>
          <w:szCs w:val="18"/>
          <w:color w:val="auto"/>
        </w:rPr>
        <w:t>. Unless and except to the extent expressly authorized by Company to do so, Consultant will not attempt to reverse engineer, de-encrypt, or otherwise derive the design, internal logic, structure or inner workings (including algorithms and source code) of any software, products, models, prototypes, or other items provided by Company that use, embody, or contain Confidential Information.</w:t>
      </w:r>
    </w:p>
    <w:p>
      <w:pPr>
        <w:spacing w:after="0" w:line="140" w:lineRule="exact"/>
        <w:rPr>
          <w:sz w:val="20"/>
          <w:szCs w:val="20"/>
          <w:color w:val="auto"/>
        </w:rPr>
      </w:pPr>
    </w:p>
    <w:p>
      <w:pPr>
        <w:ind w:left="640" w:hanging="17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291" w:lineRule="auto"/>
        <w:tabs>
          <w:tab w:leader="none" w:pos="1127"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Assignment</w:t>
      </w:r>
      <w:r>
        <w:rPr>
          <w:rFonts w:ascii="Arial" w:cs="Arial" w:eastAsia="Arial" w:hAnsi="Arial"/>
          <w:sz w:val="16"/>
          <w:szCs w:val="16"/>
          <w:color w:val="auto"/>
        </w:rPr>
        <w:t>. Consultant agrees that all copyrightable material, notes, records, drawings, designs, inventions, improvements, developments,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discoveries and trade secrets conceived, discovered, developed or reduced to practice by Consultant, solely or in collaboration with others, during the term of this Agreement that relate in any manner to the business of the Company that Consultant may be directed to undertake, investigate or experiment with or that Consultant may become associated with in work, investigation or experimentation in the Company’s line of business in performing the Services under this Agreement (collectively, “Inventions”), are the sole property of the Company. Consultant also agrees to assign (or cause to be assigned) and hereby assigns fully to the Company all Inventions and any copyrights, patents, mask work rights or other intellectual property rights relating to all Inventions.</w:t>
      </w:r>
    </w:p>
    <w:p>
      <w:pPr>
        <w:spacing w:after="0" w:line="120" w:lineRule="exact"/>
        <w:rPr>
          <w:rFonts w:ascii="Arial" w:cs="Arial" w:eastAsia="Arial" w:hAnsi="Arial"/>
          <w:sz w:val="16"/>
          <w:szCs w:val="16"/>
          <w:color w:val="auto"/>
        </w:rPr>
      </w:pPr>
    </w:p>
    <w:p>
      <w:pPr>
        <w:ind w:firstLine="921"/>
        <w:spacing w:after="0" w:line="290" w:lineRule="auto"/>
        <w:tabs>
          <w:tab w:leader="none" w:pos="111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Consultant agrees to assist Company, or its designee, at the Company’s expense, in every proper way to secure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rights in Inventions and any copyrights, patents, mask work rights or other intellectual property rights relating to all Inventions in any and all countries, including the disclosure to the Company of all pertinent information and data with respect to all Inventions, the execution of all applications, specifications, oaths, assignments and all other instruments that the Company may deem necessary in order to apply for and obtain such rights and in order to assign and convey to the Company, its successors, assigns and nominees the sole and exclusive right, title and interest in and to all Inventions, and any copyrights, patents, mask work rights or other intellectual property rights relating to all Inventions. Consultant also agrees that Consultant’s obligation to execute or cause to be executed any such instrument or papers shall continue after the termination of this Agreement.</w:t>
      </w:r>
    </w:p>
    <w:p>
      <w:pPr>
        <w:spacing w:after="0" w:line="118" w:lineRule="exact"/>
        <w:rPr>
          <w:rFonts w:ascii="Arial" w:cs="Arial" w:eastAsia="Arial" w:hAnsi="Arial"/>
          <w:sz w:val="16"/>
          <w:szCs w:val="16"/>
          <w:color w:val="auto"/>
        </w:rPr>
      </w:pPr>
    </w:p>
    <w:p>
      <w:pPr>
        <w:ind w:right="100" w:firstLine="921"/>
        <w:spacing w:after="0" w:line="294" w:lineRule="auto"/>
        <w:tabs>
          <w:tab w:leader="none" w:pos="1118"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Pre-Existing Material</w:t>
      </w:r>
      <w:r>
        <w:rPr>
          <w:rFonts w:ascii="Arial" w:cs="Arial" w:eastAsia="Arial" w:hAnsi="Arial"/>
          <w:sz w:val="16"/>
          <w:szCs w:val="16"/>
          <w:color w:val="auto"/>
        </w:rPr>
        <w:t>s. Subject to Section 3.A above, Consultant agrees that if, in the course of performing the Services, Consultant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into any Invention developed under this Agreement any pre-existing invention, improvement, development, concept, discovery or other proprietary information owned by Consultant or in which Consultant has an interest, (i) Consultant will inform Company, in writing before incorporating such invention, improvement, development, concept, discovery or other proprietary information into any Invention, and (ii) the Company is hereby granted a nonexclusive, royalty-free, perpetual, irrevocable, worldwide license to make, have made, modify, use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9" w:name="page130"/>
    <w:bookmarkEnd w:id="12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sell such item as part of or in connection with such Invention. Consultant will not incorporate any invention, improvement, development, concept, discovery, or other proprietary information owned by any third party into any Invention without Company’s prior written permission.</w:t>
      </w:r>
    </w:p>
    <w:p>
      <w:pPr>
        <w:spacing w:after="0" w:line="132"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Attorney-in-Fact</w:t>
      </w:r>
      <w:r>
        <w:rPr>
          <w:rFonts w:ascii="Arial" w:cs="Arial" w:eastAsia="Arial" w:hAnsi="Arial"/>
          <w:sz w:val="16"/>
          <w:szCs w:val="16"/>
          <w:color w:val="auto"/>
        </w:rPr>
        <w:t>. Consultant agrees that, if the Company is unable because of Consultant’s unavailability, dissolution, mental or physical incapacity, or for any other reason, to secure Consultant’s signature for the purpose of applying for or pursuing any application for any United States or foreign patents or mask work or copyright registrations covering the Inventions assigned to the Company in Section 3.A above, then Consultant hereby irrevocably designates and appoints the Company and its duly authorized officers and agents as Consultant’s agent and attorney-in-fact, to act for and on Consultant’s behalf to execute and file any such applications and to do all other lawfully permitted acts to further the prosecution and issuance of patents, copyright and mask work registrations with the same legal force and effect as if executed by Consultant.</w:t>
      </w:r>
    </w:p>
    <w:p>
      <w:pPr>
        <w:spacing w:after="0" w:line="120"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Conflicting Obligations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360" w:firstLine="921"/>
        <w:spacing w:after="0" w:line="306" w:lineRule="auto"/>
        <w:tabs>
          <w:tab w:leader="none" w:pos="1127"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Conflicts</w:t>
      </w:r>
      <w:r>
        <w:rPr>
          <w:rFonts w:ascii="Arial" w:cs="Arial" w:eastAsia="Arial" w:hAnsi="Arial"/>
          <w:sz w:val="16"/>
          <w:szCs w:val="16"/>
          <w:color w:val="auto"/>
        </w:rPr>
        <w:t>. Consultant certifies that Consultant has no outstanding agreement or obligation that is in conflict with any of the provisions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that would preclude Consultant from complying with the provisions of this Agreement. Consultant will not enter into any such conflicting agreement during the term of this Agreement. Consultant’s violation of this Section 4.A will be considered a material breach under Section 6.B below.</w:t>
      </w:r>
    </w:p>
    <w:p>
      <w:pPr>
        <w:spacing w:after="0" w:line="106" w:lineRule="exact"/>
        <w:rPr>
          <w:rFonts w:ascii="Arial" w:cs="Arial" w:eastAsia="Arial" w:hAnsi="Arial"/>
          <w:sz w:val="16"/>
          <w:szCs w:val="16"/>
          <w:color w:val="auto"/>
        </w:rPr>
      </w:pPr>
    </w:p>
    <w:p>
      <w:pPr>
        <w:ind w:firstLine="921"/>
        <w:spacing w:after="0" w:line="298" w:lineRule="auto"/>
        <w:tabs>
          <w:tab w:leader="none" w:pos="1118"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Substantially Similar Designs</w:t>
      </w:r>
      <w:r>
        <w:rPr>
          <w:rFonts w:ascii="Arial" w:cs="Arial" w:eastAsia="Arial" w:hAnsi="Arial"/>
          <w:sz w:val="16"/>
          <w:szCs w:val="16"/>
          <w:color w:val="auto"/>
        </w:rPr>
        <w:t>. In view of Consultant’s access to the Company’s trade secrets and proprietary know-how, Consultant agrees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will not, without Company’s prior written approval, design identical or substantially similar designs as those developed under this Agreement for any third party during the term of this Agreement and for a period of 24 months after the termination of this Agreement. Consultant acknowledges that the obligations in this Section 4 are ancillary to Consultant’s nondisclosure obligations under Section 2 above.</w:t>
      </w:r>
    </w:p>
    <w:p>
      <w:pPr>
        <w:spacing w:after="0" w:line="112" w:lineRule="exact"/>
        <w:rPr>
          <w:rFonts w:ascii="Arial" w:cs="Arial" w:eastAsia="Arial" w:hAnsi="Arial"/>
          <w:sz w:val="16"/>
          <w:szCs w:val="16"/>
          <w:color w:val="auto"/>
        </w:rPr>
      </w:pPr>
    </w:p>
    <w:p>
      <w:pPr>
        <w:ind w:right="60" w:firstLine="464"/>
        <w:spacing w:after="0" w:line="256"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Reports</w:t>
      </w:r>
      <w:r>
        <w:rPr>
          <w:rFonts w:ascii="Arial" w:cs="Arial" w:eastAsia="Arial" w:hAnsi="Arial"/>
          <w:sz w:val="18"/>
          <w:szCs w:val="18"/>
          <w:color w:val="auto"/>
        </w:rPr>
        <w:t>. Consultant also agrees that Consultant will, from time to time during the term of this Agreement or any extension thereof, keep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advised as to Consultant’s progress in performing the Services under this Agreement. Consultant further agrees that Consultant will, as requested by the Company, prepare written reports with respect to such progress. The Company and Consultant agree that the time required to prepare such written reports will be considered time devoted to the performance of the Services.</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Term and Termination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The term of this Agreement will begin on the date of this Agreement and will continue until terminated as provided in Section 6.B below.</w:t>
      </w:r>
    </w:p>
    <w:p>
      <w:pPr>
        <w:spacing w:after="0" w:line="194" w:lineRule="exact"/>
        <w:rPr>
          <w:rFonts w:ascii="Arial" w:cs="Arial" w:eastAsia="Arial" w:hAnsi="Arial"/>
          <w:sz w:val="16"/>
          <w:szCs w:val="16"/>
          <w:color w:val="auto"/>
        </w:rPr>
      </w:pPr>
    </w:p>
    <w:p>
      <w:pPr>
        <w:ind w:right="420" w:firstLine="921"/>
        <w:spacing w:after="0" w:line="259" w:lineRule="auto"/>
        <w:tabs>
          <w:tab w:leader="none" w:pos="111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Either party may terminate this Agreement upon giving the other party thirty (30) days prior written notice of such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11.E below. The Company may terminate this Agreement immediately and without prior notice if Consultant refuses to or is unable to perform the Services or is in breach of any material provision of this Agreement.</w:t>
      </w:r>
    </w:p>
    <w:p>
      <w:pPr>
        <w:spacing w:after="0" w:line="140" w:lineRule="exact"/>
        <w:rPr>
          <w:rFonts w:ascii="Arial" w:cs="Arial" w:eastAsia="Arial" w:hAnsi="Arial"/>
          <w:sz w:val="18"/>
          <w:szCs w:val="18"/>
          <w:color w:val="auto"/>
        </w:rPr>
      </w:pPr>
    </w:p>
    <w:p>
      <w:pPr>
        <w:ind w:left="1120" w:hanging="199"/>
        <w:spacing w:after="0"/>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Upon such termination, all rights and duties of the Company and Consultant toward each other shall cease except:</w:t>
      </w:r>
    </w:p>
    <w:p>
      <w:pPr>
        <w:spacing w:after="0" w:line="90" w:lineRule="exact"/>
        <w:rPr>
          <w:rFonts w:ascii="Arial" w:cs="Arial" w:eastAsia="Arial" w:hAnsi="Arial"/>
          <w:sz w:val="18"/>
          <w:szCs w:val="18"/>
          <w:color w:val="auto"/>
        </w:rPr>
      </w:pPr>
    </w:p>
    <w:p>
      <w:pPr>
        <w:ind w:right="220" w:firstLine="1492"/>
        <w:spacing w:after="0" w:line="268" w:lineRule="auto"/>
        <w:tabs>
          <w:tab w:leader="none" w:pos="1732"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Company will pay, within 30 days after the effective date of termination, all amounts owing to Consultant for Services completed and accepted by the Company prior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date and related expenses, if any, submitted in accordance with the Company’s policies and in accordance with the provisions of Section 1 above; and</w:t>
      </w:r>
    </w:p>
    <w:p>
      <w:pPr>
        <w:spacing w:after="0" w:line="206" w:lineRule="exact"/>
        <w:rPr>
          <w:sz w:val="20"/>
          <w:szCs w:val="20"/>
          <w:color w:val="auto"/>
        </w:rPr>
      </w:pPr>
    </w:p>
    <w:p>
      <w:pPr>
        <w:ind w:right="240" w:firstLine="1492"/>
        <w:spacing w:after="0" w:line="332" w:lineRule="auto"/>
        <w:tabs>
          <w:tab w:leader="none" w:pos="1732" w:val="left"/>
        </w:tabs>
        <w:numPr>
          <w:ilvl w:val="2"/>
          <w:numId w:val="30"/>
        </w:numPr>
        <w:rPr>
          <w:rFonts w:ascii="Arial" w:cs="Arial" w:eastAsia="Arial" w:hAnsi="Arial"/>
          <w:sz w:val="16"/>
          <w:szCs w:val="16"/>
          <w:color w:val="auto"/>
        </w:rPr>
      </w:pPr>
      <w:r>
        <w:rPr>
          <w:rFonts w:ascii="Arial" w:cs="Arial" w:eastAsia="Arial" w:hAnsi="Arial"/>
          <w:sz w:val="16"/>
          <w:szCs w:val="16"/>
          <w:color w:val="auto"/>
        </w:rPr>
        <w:t>Section 2 (Confidentiality), Section 3 (Ownership), Section 4 (Conflicting Obligations), Section 7 (Independent Contractor; Benefits), Section 8 (Indemnification), Section 9 (Restrictions) and Section 10 (Arbitration and Equitable Relief) will survive termination of this Agreement.</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Independent Contractor; Benefits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20" w:firstLine="921"/>
        <w:spacing w:after="0" w:line="294" w:lineRule="auto"/>
        <w:tabs>
          <w:tab w:leader="none" w:pos="1127"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Independent Contractor. </w:t>
      </w:r>
      <w:r>
        <w:rPr>
          <w:rFonts w:ascii="Arial" w:cs="Arial" w:eastAsia="Arial" w:hAnsi="Arial"/>
          <w:sz w:val="16"/>
          <w:szCs w:val="16"/>
          <w:color w:val="auto"/>
        </w:rPr>
        <w:t>It is the express intention of the Company and Consultant that Consultant perform the Services as an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contractor to the Company. Nothing in this Agreement shall in any way be construed to constitute Consultant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except as expressly provided in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right="140" w:firstLine="921"/>
        <w:spacing w:after="0" w:line="290" w:lineRule="auto"/>
        <w:tabs>
          <w:tab w:leader="none" w:pos="1118"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Consultant is not entitled to or eligible for any benefits that Company may make available to its employees, such as group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profit-sharing, or retirement benefits. Because Consultant is an independent contractor, Company will not withhold or make payments for social security, make unemployment insurance or disability insurance contributions, or obtain workers’ compensation insurance on behalf of Contractor. If, notwithstanding the foregoing, Consultant is reclassified as an employee of Company, or any affiliate of Company, by the U.S. Internal Revenue Service, the U.S. Department of Labor, or any other federal or state or foreign agency as the result of any administrative or judicial proceeding, Consultant agrees that Consultant will not, as the result of such reclassification, be entitled to or eligible for, on either a prospective or a retrospective basis, any employee benefits under any plans or programs established or maintained by Company.</w:t>
      </w:r>
    </w:p>
    <w:p>
      <w:pPr>
        <w:spacing w:after="0" w:line="118" w:lineRule="exact"/>
        <w:rPr>
          <w:rFonts w:ascii="Arial" w:cs="Arial" w:eastAsia="Arial" w:hAnsi="Arial"/>
          <w:sz w:val="16"/>
          <w:szCs w:val="16"/>
          <w:color w:val="auto"/>
        </w:rPr>
      </w:pPr>
    </w:p>
    <w:p>
      <w:pPr>
        <w:jc w:val="both"/>
        <w:ind w:right="20" w:firstLine="921"/>
        <w:spacing w:after="0" w:line="370" w:lineRule="auto"/>
        <w:tabs>
          <w:tab w:leader="none" w:pos="1118" w:val="left"/>
        </w:tabs>
        <w:numPr>
          <w:ilvl w:val="1"/>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Reimbursement of Expenses. </w:t>
      </w:r>
      <w:r>
        <w:rPr>
          <w:rFonts w:ascii="Arial" w:cs="Arial" w:eastAsia="Arial" w:hAnsi="Arial"/>
          <w:sz w:val="15"/>
          <w:szCs w:val="15"/>
          <w:color w:val="auto"/>
        </w:rPr>
        <w:t>Consultant will be reimbursed for all reasonable and appropriately substantiated out-of-pocket expenses incurred by</w:t>
      </w:r>
      <w:r>
        <w:rPr>
          <w:rFonts w:ascii="Arial" w:cs="Arial" w:eastAsia="Arial" w:hAnsi="Arial"/>
          <w:sz w:val="15"/>
          <w:szCs w:val="15"/>
          <w:i w:val="1"/>
          <w:iCs w:val="1"/>
          <w:color w:val="auto"/>
        </w:rPr>
        <w:t xml:space="preserve"> </w:t>
      </w:r>
      <w:r>
        <w:rPr>
          <w:rFonts w:ascii="Arial" w:cs="Arial" w:eastAsia="Arial" w:hAnsi="Arial"/>
          <w:sz w:val="15"/>
          <w:szCs w:val="15"/>
          <w:color w:val="auto"/>
        </w:rPr>
        <w:t>Consultant at the request of Company, in the course of rendering services pursuant to this Agreement. All expenses must be pre-approved in writing by Company.</w:t>
      </w:r>
    </w:p>
    <w:p>
      <w:pPr>
        <w:spacing w:after="0" w:line="62" w:lineRule="exact"/>
        <w:rPr>
          <w:rFonts w:ascii="Arial" w:cs="Arial" w:eastAsia="Arial" w:hAnsi="Arial"/>
          <w:sz w:val="15"/>
          <w:szCs w:val="15"/>
          <w:color w:val="auto"/>
        </w:rPr>
      </w:pPr>
    </w:p>
    <w:p>
      <w:pPr>
        <w:ind w:firstLine="921"/>
        <w:spacing w:after="0" w:line="294" w:lineRule="auto"/>
        <w:tabs>
          <w:tab w:leader="none" w:pos="1127"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Consultant shall bear any taxes, fees or other charges which Korean law or authorities may impose on Consultant regarding payment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 above. Because Consultant is an independent contractor, the Company will not withhold or make payments for any employment-related taxes or benefits. Consultant agrees to indemnify, defend and hold the Company harmless from any liability for, or assessment of, any claims or penalties with respect to such withholding taxes, employee benefits, and labor or employment requirements, including any liability for, or assessment of, withholding taxes imposed on the Company by the relevant taxing authorities with respect to any compensation paid to Consultant or Consultant’s partners, agents or its employees.</w:t>
      </w:r>
    </w:p>
    <w:p>
      <w:pPr>
        <w:spacing w:after="0" w:line="115" w:lineRule="exact"/>
        <w:rPr>
          <w:rFonts w:ascii="Arial" w:cs="Arial" w:eastAsia="Arial" w:hAnsi="Arial"/>
          <w:sz w:val="16"/>
          <w:szCs w:val="16"/>
          <w:color w:val="auto"/>
        </w:rPr>
      </w:pPr>
    </w:p>
    <w:p>
      <w:pPr>
        <w:ind w:right="120" w:firstLine="921"/>
        <w:spacing w:after="0" w:line="298" w:lineRule="auto"/>
        <w:tabs>
          <w:tab w:leader="none" w:pos="1108"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Compliance with Law</w:t>
      </w:r>
      <w:r>
        <w:rPr>
          <w:rFonts w:ascii="Arial" w:cs="Arial" w:eastAsia="Arial" w:hAnsi="Arial"/>
          <w:sz w:val="16"/>
          <w:szCs w:val="16"/>
          <w:color w:val="auto"/>
        </w:rPr>
        <w:t>. Consultant shall have full and sole responsibility for compliance with all applicable laws and labor and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with respect to Consultant’s self-employment, sole proprietorship or other form of business organization, and with respect to Consultant’s partners, agents, subcontractors and employees, including, but not limited to, payment of taxes, social security, worker’s compensation, unemployment and disability insurance coverage requirements and any Korean or other nation’s immigration requirements.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1" w:name="page132"/>
    <w:bookmarkEnd w:id="131"/>
    <w:p>
      <w:pPr>
        <w:ind w:right="2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 </w:t>
      </w:r>
      <w:r>
        <w:rPr>
          <w:rFonts w:ascii="Arial" w:cs="Arial" w:eastAsia="Arial" w:hAnsi="Arial"/>
          <w:sz w:val="16"/>
          <w:szCs w:val="16"/>
          <w:i w:val="1"/>
          <w:iCs w:val="1"/>
          <w:color w:val="auto"/>
        </w:rPr>
        <w:t>Certification</w:t>
      </w:r>
      <w:r>
        <w:rPr>
          <w:rFonts w:ascii="Arial" w:cs="Arial" w:eastAsia="Arial" w:hAnsi="Arial"/>
          <w:sz w:val="16"/>
          <w:szCs w:val="16"/>
          <w:color w:val="auto"/>
        </w:rPr>
        <w:t>. Consultant will provide Company with certifications and records (including, as appropriate, copies of Consultant’s tax returns) as Company may request from time to time, during or after the term of this Agreement, to verify that Contractor has complied with this Section 7.</w:t>
      </w:r>
    </w:p>
    <w:p>
      <w:pPr>
        <w:spacing w:after="0" w:line="4" w:lineRule="exact"/>
        <w:rPr>
          <w:sz w:val="20"/>
          <w:szCs w:val="20"/>
          <w:color w:val="auto"/>
        </w:rPr>
      </w:pPr>
    </w:p>
    <w:p>
      <w:pPr>
        <w:ind w:right="220" w:firstLine="464"/>
        <w:spacing w:after="0" w:line="302" w:lineRule="auto"/>
        <w:tabs>
          <w:tab w:leader="none" w:pos="632" w:val="left"/>
        </w:tabs>
        <w:numPr>
          <w:ilvl w:val="1"/>
          <w:numId w:val="32"/>
        </w:numPr>
        <w:rPr>
          <w:rFonts w:ascii="Arial" w:cs="Arial" w:eastAsia="Arial" w:hAnsi="Arial"/>
          <w:sz w:val="15"/>
          <w:szCs w:val="15"/>
          <w:color w:val="auto"/>
        </w:rPr>
      </w:pPr>
      <w:r>
        <w:rPr>
          <w:rFonts w:ascii="Arial" w:cs="Arial" w:eastAsia="Arial" w:hAnsi="Arial"/>
          <w:sz w:val="15"/>
          <w:szCs w:val="15"/>
          <w:i w:val="1"/>
          <w:iCs w:val="1"/>
          <w:color w:val="auto"/>
        </w:rPr>
        <w:t>Indemnification</w:t>
      </w:r>
      <w:r>
        <w:rPr>
          <w:rFonts w:ascii="Arial" w:cs="Arial" w:eastAsia="Arial" w:hAnsi="Arial"/>
          <w:sz w:val="15"/>
          <w:szCs w:val="15"/>
          <w:color w:val="auto"/>
        </w:rPr>
        <w:t>. Consultant agrees to indemnify and hold harmless the Company and its affiliates, directors, officers, agents and employees from and</w:t>
      </w:r>
      <w:r>
        <w:rPr>
          <w:rFonts w:ascii="Arial" w:cs="Arial" w:eastAsia="Arial" w:hAnsi="Arial"/>
          <w:sz w:val="15"/>
          <w:szCs w:val="15"/>
          <w:i w:val="1"/>
          <w:iCs w:val="1"/>
          <w:color w:val="auto"/>
        </w:rPr>
        <w:t xml:space="preserve"> </w:t>
      </w:r>
      <w:r>
        <w:rPr>
          <w:rFonts w:ascii="Arial" w:cs="Arial" w:eastAsia="Arial" w:hAnsi="Arial"/>
          <w:sz w:val="15"/>
          <w:szCs w:val="15"/>
          <w:color w:val="auto"/>
        </w:rPr>
        <w:t>against all taxes, losses, damages, liabilities, costs and expenses, including attorneys’ fees and other legal expenses, arising directly or indirectly from or in connection with (i) any negligent, reckless or intentionally wrongful act of Consultant or Consultant’s assistants, employees or agents, (ii) a determination by a court or agency that Consultant is not an independent contractor, (iii) any breach by Consultant or Consultant’s assistants, employees or agents of any of the covenants contained in this Agreement, (iv) any failure of Consultant to perform the Services in accordance with all applicable laws, rules and regulations, or</w:t>
      </w:r>
    </w:p>
    <w:p>
      <w:pPr>
        <w:spacing w:after="0" w:line="1" w:lineRule="exact"/>
        <w:rPr>
          <w:rFonts w:ascii="Arial" w:cs="Arial" w:eastAsia="Arial" w:hAnsi="Arial"/>
          <w:sz w:val="15"/>
          <w:szCs w:val="15"/>
          <w:color w:val="auto"/>
        </w:rPr>
      </w:pPr>
    </w:p>
    <w:p>
      <w:pPr>
        <w:ind w:firstLine="8"/>
        <w:spacing w:after="0" w:line="255"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violation or claimed violation of a third party’s rights resulting in whole or in part from the Company’s use of the work product of Consultant under this Agreement. Consultant may not agree to settle any third-party claim, suit or action for which the Company (or any of its affiliates, agents or employees) is or may be entitled to indemnification hereunder without the Company’s prior written consent.</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Restrictions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921"/>
        <w:spacing w:after="0" w:line="294" w:lineRule="auto"/>
        <w:tabs>
          <w:tab w:leader="none" w:pos="1127" w:val="left"/>
        </w:tabs>
        <w:numPr>
          <w:ilvl w:val="2"/>
          <w:numId w:val="33"/>
        </w:numPr>
        <w:rPr>
          <w:rFonts w:ascii="Arial" w:cs="Arial" w:eastAsia="Arial" w:hAnsi="Arial"/>
          <w:sz w:val="16"/>
          <w:szCs w:val="16"/>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From the date of this Agreement until 12 months after the termination of this Agreement (the “Restricted Period”),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without the Company’s prior written consent, directly or indirectly, solicit or encourage any employee or contractor of the Company or its affiliates to terminate employment with, or cease providing services to, the Company or its affiliates. During the Restricted Period, Consultant will not, whether for Consultant’s own account or for the account of any other person, firm, corporation or other business organization, intentionally interfere with any person who is or during the period of Consultant’s engagement by the Company was a partner, supplier, customer or client of the Company or its affiliates.</w:t>
      </w:r>
    </w:p>
    <w:p>
      <w:pPr>
        <w:spacing w:after="0" w:line="115" w:lineRule="exact"/>
        <w:rPr>
          <w:rFonts w:ascii="Arial" w:cs="Arial" w:eastAsia="Arial" w:hAnsi="Arial"/>
          <w:sz w:val="16"/>
          <w:szCs w:val="16"/>
          <w:color w:val="auto"/>
        </w:rPr>
      </w:pPr>
    </w:p>
    <w:p>
      <w:pPr>
        <w:ind w:right="60" w:firstLine="921"/>
        <w:spacing w:after="0" w:line="288" w:lineRule="auto"/>
        <w:tabs>
          <w:tab w:leader="none" w:pos="1118" w:val="left"/>
        </w:tabs>
        <w:numPr>
          <w:ilvl w:val="2"/>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Competitive Engagements. </w:t>
      </w:r>
      <w:r>
        <w:rPr>
          <w:rFonts w:ascii="Arial" w:cs="Arial" w:eastAsia="Arial" w:hAnsi="Arial"/>
          <w:sz w:val="16"/>
          <w:szCs w:val="16"/>
          <w:color w:val="auto"/>
        </w:rPr>
        <w:t>Consultant agrees that during the Restricted Period, Consultant will not directly or indirectly be or become an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employee, owner, co-owner, affiliate, partner, promoter, agent, representative, designer, consultant, advisor, manager, licensor, sublicensor, licensee or sublicensee of, for or to, or otherwise be or become associated with or acquire or hold (of record, beneficially or otherwise) any direct or indirect interest in, any person, firm, corporation or other business organization that directly or indirectly competes with any current or planned business or activity of Company; provided, however, that Consultant may, without violating this Section 9, own, as a passive investment, shares of capital stock of a publicly-held corporation that competes with the Company if (i) such shares are actively traded on an established national securities market, (ii) the number of shares of such corporation’s capital stock that are owned beneficially (directly or indirectly) by Consultant collectively represents less than one percent of the total number of shares of such corporation’s capital stock outstanding, and (iii) Consultant is not otherwise associated directly or indirectly with such corporation or with any affiliate of such corporation.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32" w:name="page133"/>
    <w:bookmarkEnd w:id="132"/>
    <w:p>
      <w:pPr>
        <w:ind w:left="680" w:hanging="25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 and Equitable Relief</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80" w:firstLine="921"/>
        <w:spacing w:after="0" w:line="298" w:lineRule="auto"/>
        <w:tabs>
          <w:tab w:leader="none" w:pos="1087"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Arbitration</w:t>
      </w:r>
      <w:r>
        <w:rPr>
          <w:rFonts w:ascii="Arial" w:cs="Arial" w:eastAsia="Arial" w:hAnsi="Arial"/>
          <w:sz w:val="16"/>
          <w:szCs w:val="16"/>
          <w:color w:val="auto"/>
        </w:rPr>
        <w:t>. Any dispute arising under or by virtue of this Agreement or any difference of opinion between the parties hereto concerning their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and obligations under this Agreement shall be finally resolved by arbitration. Such arbitration proceedings shall take place in Seoul in accordance with the applicable rules of arbitration of the International Chamber of Commerce (“ICC”) by one or more arbitrators appointed in accordance with such rules, but the proceedings shall be conducted in English language. The decision of the arbitration proceedings shall be final and binding upon parties.</w:t>
      </w:r>
    </w:p>
    <w:p>
      <w:pPr>
        <w:spacing w:after="0" w:line="112" w:lineRule="exact"/>
        <w:rPr>
          <w:rFonts w:ascii="Arial" w:cs="Arial" w:eastAsia="Arial" w:hAnsi="Arial"/>
          <w:sz w:val="16"/>
          <w:szCs w:val="16"/>
          <w:color w:val="auto"/>
        </w:rPr>
      </w:pPr>
    </w:p>
    <w:p>
      <w:pPr>
        <w:ind w:left="-40" w:right="80" w:firstLine="921"/>
        <w:spacing w:after="0" w:line="323" w:lineRule="auto"/>
        <w:tabs>
          <w:tab w:leader="none" w:pos="1078" w:val="left"/>
        </w:tabs>
        <w:numPr>
          <w:ilvl w:val="1"/>
          <w:numId w:val="34"/>
        </w:numPr>
        <w:rPr>
          <w:rFonts w:ascii="Arial" w:cs="Arial" w:eastAsia="Arial" w:hAnsi="Arial"/>
          <w:sz w:val="15"/>
          <w:szCs w:val="15"/>
          <w:color w:val="auto"/>
        </w:rPr>
      </w:pPr>
      <w:r>
        <w:rPr>
          <w:rFonts w:ascii="Arial" w:cs="Arial" w:eastAsia="Arial" w:hAnsi="Arial"/>
          <w:sz w:val="15"/>
          <w:szCs w:val="15"/>
          <w:i w:val="1"/>
          <w:iCs w:val="1"/>
          <w:color w:val="auto"/>
        </w:rPr>
        <w:t>Remedy</w:t>
      </w:r>
      <w:r>
        <w:rPr>
          <w:rFonts w:ascii="Arial" w:cs="Arial" w:eastAsia="Arial" w:hAnsi="Arial"/>
          <w:sz w:val="15"/>
          <w:szCs w:val="15"/>
          <w:color w:val="auto"/>
        </w:rPr>
        <w:t>. Except as provided by the applicable ICC rules, arbitration will be the sole, exclusive, and final remedy for any dispute between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and Consultant. Accordingly, except as provided by such rules, neither the Company nor Consultant will be permitted to pursue court action regarding claims that are subject to arbitration. Notwithstanding the foregoing, the arbitrators will not have the authority to disregard or refuse to enforce any lawful Company policy, and the arbitrators shall not order or require the Company to adopt a policy not otherwise required by law which the Company has not adopted.</w:t>
      </w:r>
    </w:p>
    <w:p>
      <w:pPr>
        <w:spacing w:after="0" w:line="97" w:lineRule="exact"/>
        <w:rPr>
          <w:rFonts w:ascii="Arial" w:cs="Arial" w:eastAsia="Arial" w:hAnsi="Arial"/>
          <w:sz w:val="15"/>
          <w:szCs w:val="15"/>
          <w:color w:val="auto"/>
        </w:rPr>
      </w:pPr>
    </w:p>
    <w:p>
      <w:pPr>
        <w:ind w:left="-40" w:right="80" w:firstLine="921"/>
        <w:spacing w:after="0" w:line="255" w:lineRule="auto"/>
        <w:tabs>
          <w:tab w:leader="none" w:pos="107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Availability of Injunctive Relief</w:t>
      </w:r>
      <w:r>
        <w:rPr>
          <w:rFonts w:ascii="Arial" w:cs="Arial" w:eastAsia="Arial" w:hAnsi="Arial"/>
          <w:sz w:val="18"/>
          <w:szCs w:val="18"/>
          <w:color w:val="auto"/>
        </w:rPr>
        <w:t>. In addition to the right under the applicable ICC rules to petition a court for provisional relief, Consultant agrees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any party may also petition the court for injunctive relief where either party alleges or claims a violation of Section 2 (Confidentiality), Section 3 (Ownership), or Section 4 (Conflicting Obligations) of this Agreement or any other agreement regarding trade secrets, confidential information, or nonsolicitation. In the event either the Company or Consultant seeks injunctive relief, the prevailing party will be entitled to recover reasonable costs and attorneys’ fees.</w:t>
      </w:r>
    </w:p>
    <w:p>
      <w:pPr>
        <w:spacing w:after="0" w:line="142" w:lineRule="exact"/>
        <w:rPr>
          <w:rFonts w:ascii="Arial" w:cs="Arial" w:eastAsia="Arial" w:hAnsi="Arial"/>
          <w:sz w:val="18"/>
          <w:szCs w:val="18"/>
          <w:color w:val="auto"/>
        </w:rPr>
      </w:pPr>
    </w:p>
    <w:p>
      <w:pPr>
        <w:ind w:left="-40" w:firstLine="921"/>
        <w:spacing w:after="0" w:line="255" w:lineRule="auto"/>
        <w:tabs>
          <w:tab w:leader="none" w:pos="1087"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Voluntary Nature of Agreement</w:t>
      </w:r>
      <w:r>
        <w:rPr>
          <w:rFonts w:ascii="Arial" w:cs="Arial" w:eastAsia="Arial" w:hAnsi="Arial"/>
          <w:sz w:val="18"/>
          <w:szCs w:val="18"/>
          <w:color w:val="auto"/>
        </w:rPr>
        <w:t>. Consultant acknowledges and agrees that Consultant is executing this Agreement voluntarily and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duress or undue influence by the Company or anyone else. Consultant further acknowledges and agrees that Consultant has carefully read this Agreement and has asked any questions needed to understand the terms, consequences and binding effect of this Agreement and fully understands it, including that Consultant is waiving its right to a jury trial. Finally, Consultant agrees that Consultant has been provided an opportunity to seek the advice of an attorney of Consultant’s choice before signing this Agreement.</w:t>
      </w:r>
    </w:p>
    <w:p>
      <w:pPr>
        <w:spacing w:after="0" w:line="142" w:lineRule="exact"/>
        <w:rPr>
          <w:rFonts w:ascii="Arial" w:cs="Arial" w:eastAsia="Arial" w:hAnsi="Arial"/>
          <w:sz w:val="18"/>
          <w:szCs w:val="18"/>
          <w:color w:val="auto"/>
        </w:rPr>
      </w:pPr>
    </w:p>
    <w:p>
      <w:pPr>
        <w:ind w:left="680" w:hanging="25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240" w:firstLine="921"/>
        <w:spacing w:after="0" w:line="268" w:lineRule="auto"/>
        <w:tabs>
          <w:tab w:leader="none" w:pos="1087"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interpretation, construction and performance of this Agreement shall be governed by the laws of the Republic of</w:t>
      </w:r>
      <w:r>
        <w:rPr>
          <w:rFonts w:ascii="Arial" w:cs="Arial" w:eastAsia="Arial" w:hAnsi="Arial"/>
          <w:sz w:val="18"/>
          <w:szCs w:val="18"/>
          <w:i w:val="1"/>
          <w:iCs w:val="1"/>
          <w:color w:val="auto"/>
        </w:rPr>
        <w:t xml:space="preserve"> </w:t>
      </w:r>
      <w:r>
        <w:rPr>
          <w:rFonts w:ascii="Arial" w:cs="Arial" w:eastAsia="Arial" w:hAnsi="Arial"/>
          <w:sz w:val="18"/>
          <w:szCs w:val="18"/>
          <w:color w:val="auto"/>
        </w:rPr>
        <w:t>Korea, without giving effect to the principles of conflict of laws.</w:t>
      </w:r>
    </w:p>
    <w:p>
      <w:pPr>
        <w:spacing w:after="0" w:line="131" w:lineRule="exact"/>
        <w:rPr>
          <w:rFonts w:ascii="Arial" w:cs="Arial" w:eastAsia="Arial" w:hAnsi="Arial"/>
          <w:sz w:val="18"/>
          <w:szCs w:val="18"/>
          <w:color w:val="auto"/>
        </w:rPr>
      </w:pPr>
    </w:p>
    <w:p>
      <w:pPr>
        <w:ind w:left="-40" w:right="240" w:firstLine="921"/>
        <w:spacing w:after="0" w:line="259" w:lineRule="auto"/>
        <w:tabs>
          <w:tab w:leader="none" w:pos="107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Assignability</w:t>
      </w:r>
      <w:r>
        <w:rPr>
          <w:rFonts w:ascii="Arial" w:cs="Arial" w:eastAsia="Arial" w:hAnsi="Arial"/>
          <w:sz w:val="18"/>
          <w:szCs w:val="18"/>
          <w:color w:val="auto"/>
        </w:rPr>
        <w:t>. Except as otherwise provided in this Agreement, Consultant may not sell, assign, or delegate any rights or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Upon prior written notice to Consultant, the Company may assign its rights to any affiliate of the Company, provided that such affiliate agrees in writing to assume all rights and responsibilities of the Company hereunder.</w:t>
      </w:r>
    </w:p>
    <w:p>
      <w:pPr>
        <w:spacing w:after="0" w:line="140" w:lineRule="exact"/>
        <w:rPr>
          <w:rFonts w:ascii="Arial" w:cs="Arial" w:eastAsia="Arial" w:hAnsi="Arial"/>
          <w:sz w:val="18"/>
          <w:szCs w:val="18"/>
          <w:color w:val="auto"/>
        </w:rPr>
      </w:pPr>
    </w:p>
    <w:p>
      <w:pPr>
        <w:ind w:left="-40" w:right="160" w:firstLine="921"/>
        <w:spacing w:after="0" w:line="268" w:lineRule="auto"/>
        <w:tabs>
          <w:tab w:leader="none" w:pos="1078"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with respect to the subject matter of this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all prior written and oral agreements between the parties regarding the subject matter of this Agreement.</w:t>
      </w:r>
    </w:p>
    <w:p>
      <w:pPr>
        <w:spacing w:after="0" w:line="131" w:lineRule="exact"/>
        <w:rPr>
          <w:rFonts w:ascii="Arial" w:cs="Arial" w:eastAsia="Arial" w:hAnsi="Arial"/>
          <w:sz w:val="18"/>
          <w:szCs w:val="18"/>
          <w:color w:val="auto"/>
        </w:rPr>
      </w:pPr>
    </w:p>
    <w:p>
      <w:pPr>
        <w:ind w:left="1100" w:hanging="219"/>
        <w:spacing w:after="0"/>
        <w:tabs>
          <w:tab w:leader="none" w:pos="1100"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Headings</w:t>
      </w:r>
      <w:r>
        <w:rPr>
          <w:rFonts w:ascii="Arial" w:cs="Arial" w:eastAsia="Arial" w:hAnsi="Arial"/>
          <w:sz w:val="16"/>
          <w:szCs w:val="16"/>
          <w:color w:val="auto"/>
        </w:rPr>
        <w:t>. Headings are used in this Agreement for reference only and shall not be considered when interpreting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133" w:name="page134"/>
    <w:bookmarkEnd w:id="133"/>
    <w:p>
      <w:pPr>
        <w:ind w:right="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8"/>
          <w:szCs w:val="18"/>
          <w:i w:val="1"/>
          <w:iCs w:val="1"/>
          <w:color w:val="auto"/>
        </w:rPr>
        <w:t>Notices</w:t>
      </w:r>
      <w:r>
        <w:rPr>
          <w:rFonts w:ascii="Arial" w:cs="Arial" w:eastAsia="Arial" w:hAnsi="Arial"/>
          <w:sz w:val="18"/>
          <w:szCs w:val="18"/>
          <w:color w:val="auto"/>
        </w:rPr>
        <w:t>. Any notice or other communication required or permitted by this Agreement to be given to a party shall be in writing and shall be deemed given if delivered personally or by commercial messenger or courier service, or mailed by registered or certified mail (return receipt requested), or sent via facsimile (with receipt of confirmation of complete transmission) to the party at the party’s address or facsimile number written below or at such other address or facsimile number as the party may have previously specified by like notice. If by mail, delivery shall be deemed effective five (5) business days after mailing in accordance with this Section 11.E.</w:t>
      </w:r>
    </w:p>
    <w:p>
      <w:pPr>
        <w:spacing w:after="0" w:line="62" w:lineRule="exact"/>
        <w:rPr>
          <w:sz w:val="20"/>
          <w:szCs w:val="20"/>
          <w:color w:val="auto"/>
        </w:rPr>
      </w:pPr>
    </w:p>
    <w:p>
      <w:pPr>
        <w:ind w:left="1500" w:right="7660" w:hanging="358"/>
        <w:spacing w:after="0" w:line="290" w:lineRule="auto"/>
        <w:tabs>
          <w:tab w:leader="none" w:pos="1489"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to the Company, to: MagnaChip Semiconductor Ltd. 891 Daechi-dong, Gangnam-gu Seoul 135-738 Korea Attention: General Counsel Telephone: 82-2-3459-3073 Facsimile: 82-2-3459-3898</w:t>
      </w:r>
    </w:p>
    <w:p>
      <w:pPr>
        <w:spacing w:after="0" w:line="37" w:lineRule="exact"/>
        <w:rPr>
          <w:rFonts w:ascii="Arial" w:cs="Arial" w:eastAsia="Arial" w:hAnsi="Arial"/>
          <w:sz w:val="16"/>
          <w:szCs w:val="16"/>
          <w:color w:val="auto"/>
        </w:rPr>
      </w:pPr>
    </w:p>
    <w:p>
      <w:pPr>
        <w:ind w:right="400" w:firstLine="1149"/>
        <w:spacing w:after="0" w:line="268" w:lineRule="auto"/>
        <w:tabs>
          <w:tab w:leader="none" w:pos="13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to Consultant, to the address for notice on the signature page to this Agreement or, if no such address is provided, to the last address of Consultant provided by Consultant to the Company.</w:t>
      </w:r>
    </w:p>
    <w:p>
      <w:pPr>
        <w:spacing w:after="0" w:line="131" w:lineRule="exact"/>
        <w:rPr>
          <w:rFonts w:ascii="Arial" w:cs="Arial" w:eastAsia="Arial" w:hAnsi="Arial"/>
          <w:sz w:val="18"/>
          <w:szCs w:val="18"/>
          <w:color w:val="auto"/>
        </w:rPr>
      </w:pPr>
    </w:p>
    <w:p>
      <w:pPr>
        <w:ind w:right="20" w:firstLine="921"/>
        <w:spacing w:after="0" w:line="332" w:lineRule="auto"/>
        <w:tabs>
          <w:tab w:leader="none" w:pos="1084"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Attorneys’ Fees</w:t>
      </w:r>
      <w:r>
        <w:rPr>
          <w:rFonts w:ascii="Arial" w:cs="Arial" w:eastAsia="Arial" w:hAnsi="Arial"/>
          <w:sz w:val="16"/>
          <w:szCs w:val="16"/>
          <w:color w:val="auto"/>
        </w:rPr>
        <w:t>. In any court action at law or equity that is brought by one of the parties to this Agreement to enforce or interpret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the prevailing party will be entitled to reasonable attorneys’ fees, in addition to any other relief to which that party may be entitled.</w:t>
      </w:r>
    </w:p>
    <w:p>
      <w:pPr>
        <w:spacing w:after="0" w:line="85" w:lineRule="exact"/>
        <w:rPr>
          <w:rFonts w:ascii="Arial" w:cs="Arial" w:eastAsia="Arial" w:hAnsi="Arial"/>
          <w:sz w:val="16"/>
          <w:szCs w:val="16"/>
          <w:color w:val="auto"/>
        </w:rPr>
      </w:pPr>
    </w:p>
    <w:p>
      <w:pPr>
        <w:ind w:firstLine="921"/>
        <w:spacing w:after="0" w:line="268" w:lineRule="auto"/>
        <w:tabs>
          <w:tab w:leader="none" w:pos="1127"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is found to be illegal or unenforceable, the other provisions shall remain effective and 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greatest extent permitted by law.</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Language</w:t>
      </w:r>
      <w:r>
        <w:rPr>
          <w:rFonts w:ascii="Arial" w:cs="Arial" w:eastAsia="Arial" w:hAnsi="Arial"/>
          <w:sz w:val="16"/>
          <w:szCs w:val="16"/>
          <w:color w:val="auto"/>
        </w:rPr>
        <w:t>. For purposes of interpretation or resolving ambiguities, this Agreement, as executed in English, will prevail over any translation.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4" w:name="page135"/>
    <w:bookmarkEnd w:id="134"/>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Consulting Agreement as of the date first written above.</w:t>
      </w:r>
    </w:p>
    <w:p>
      <w:pPr>
        <w:spacing w:after="0" w:line="229" w:lineRule="exact"/>
        <w:rPr>
          <w:sz w:val="20"/>
          <w:szCs w:val="20"/>
          <w:color w:val="auto"/>
        </w:rPr>
      </w:pPr>
    </w:p>
    <w:p>
      <w:pPr>
        <w:spacing w:after="0"/>
        <w:tabs>
          <w:tab w:leader="none" w:pos="5840" w:val="left"/>
        </w:tabs>
        <w:rPr>
          <w:sz w:val="20"/>
          <w:szCs w:val="20"/>
          <w:color w:val="auto"/>
        </w:rPr>
      </w:pPr>
      <w:r>
        <w:rPr>
          <w:rFonts w:ascii="Arial" w:cs="Arial" w:eastAsia="Arial" w:hAnsi="Arial"/>
          <w:sz w:val="16"/>
          <w:szCs w:val="16"/>
          <w:b w:val="1"/>
          <w:bCs w:val="1"/>
          <w:color w:val="auto"/>
        </w:rPr>
        <w:t>CONSULTANT</w:t>
      </w:r>
      <w:r>
        <w:rPr>
          <w:sz w:val="20"/>
          <w:szCs w:val="20"/>
          <w:color w:val="auto"/>
        </w:rPr>
        <w:tab/>
      </w:r>
      <w:r>
        <w:rPr>
          <w:rFonts w:ascii="Arial" w:cs="Arial" w:eastAsia="Arial" w:hAnsi="Arial"/>
          <w:sz w:val="16"/>
          <w:szCs w:val="16"/>
          <w:b w:val="1"/>
          <w:bCs w:val="1"/>
          <w:color w:val="auto"/>
        </w:rPr>
        <w:t>MAGNACHIP SEMICONDUCTOR, LTD.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JERRY BAKER</w:t>
      </w:r>
    </w:p>
    <w:p>
      <w:pPr>
        <w:sectPr>
          <w:pgSz w:w="11900" w:h="16838" w:orient="portrait"/>
          <w:cols w:equalWidth="0" w:num="1">
            <w:col w:w="10219"/>
          </w:cols>
          <w:pgMar w:left="240" w:top="280" w:right="1440"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Jerry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670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32670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32670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917575</wp:posOffset>
            </wp:positionV>
            <wp:extent cx="32670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25400</wp:posOffset>
            </wp:positionV>
            <wp:extent cx="32499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2540</wp:posOffset>
            </wp:positionV>
            <wp:extent cx="32499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46" w:lineRule="exact"/>
        <w:rPr>
          <w:sz w:val="20"/>
          <w:szCs w:val="20"/>
          <w:color w:val="auto"/>
        </w:rPr>
      </w:pPr>
    </w:p>
    <w:p>
      <w:pPr>
        <w:jc w:val="center"/>
        <w:ind w:right="4019"/>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17145</wp:posOffset>
            </wp:positionV>
            <wp:extent cx="32499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5100" w:space="720"/>
            <w:col w:w="4399"/>
          </w:cols>
          <w:pgMar w:left="240" w:top="2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[Signature Page to Consulting Agreement]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80" w:right="1440" w:bottom="1440" w:gutter="0" w:footer="0" w:header="0"/>
          <w:type w:val="continuous"/>
        </w:sectPr>
      </w:pPr>
    </w:p>
    <w:bookmarkStart w:id="135" w:name="page136"/>
    <w:bookmarkEnd w:id="135"/>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Services and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Contact</w:t>
      </w:r>
      <w:r>
        <w:rPr>
          <w:rFonts w:ascii="Arial" w:cs="Arial" w:eastAsia="Arial" w:hAnsi="Arial"/>
          <w:sz w:val="18"/>
          <w:szCs w:val="18"/>
          <w:color w:val="auto"/>
        </w:rPr>
        <w:t>. Consultant’s principal Company contact: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Youm Huh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President and CEO</w:t>
      </w:r>
    </w:p>
    <w:p>
      <w:pPr>
        <w:spacing w:after="0" w:line="171"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Location. The Services shall be performed in Seoul, Korea, and at Consultant’s home in California, U.S.A., but Consultant shall travel at the direction of the Company to the extent and to the places necessary for the performance of Consultant’s duties to the Company.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 Hours. Consultant shall perform the Services for the Company on a part-time basis of no less than [10] work hours per month or as otherwise agreed upon by Consultant and the Company.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 Description of the Services. The Services shall include, but shall not be limited to, the following: advisory services regarding business development, marketing, executive recruiting, and strategic direction for the company’s products and technology.</w:t>
      </w:r>
    </w:p>
    <w:p>
      <w:pPr>
        <w:spacing w:after="0" w:line="132"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 Invoices. Within five days of the end of every calendar month, Consultant shall submit to the Company a written invoice for Services and expenses, and such statement shall be subject to the approval of the contact person listed above or other designated agent of the Company.</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 Payment. In consideration of the Services rendered by Consultant hereunder, the Company agrees to pay Consultant US$60,000 per annum, one-twelfth of which is payable within five business days of the receipt by the Company of the monthly written invoice from Consultant, plus reasonable travel expenses that have been prior approved in writing by the Company.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 Travel Expenses. Consultant must provide receipts for all travel expenses. Allowable expenses for approved travel include: (i) international business class air travel from Consultant’s home to the work location for performance of the Services; (ii) surface travel expenses; (iii) hotels and other lodging charges; and (iv) telecommunication costs related to the purpose of the travel.</w:t>
      </w:r>
    </w:p>
    <w:p>
      <w:pPr>
        <w:sectPr>
          <w:pgSz w:w="11900" w:h="16838" w:orient="portrait"/>
          <w:cols w:equalWidth="0" w:num="1">
            <w:col w:w="11360"/>
          </w:cols>
          <w:pgMar w:left="240" w:top="274" w:right="29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22"/>
        </w:trPr>
        <w:tc>
          <w:tcPr>
            <w:tcW w:w="5160" w:type="dxa"/>
            <w:vAlign w:val="bottom"/>
          </w:tcPr>
          <w:p>
            <w:pPr>
              <w:ind w:left="460"/>
              <w:spacing w:after="0"/>
              <w:rPr>
                <w:sz w:val="20"/>
                <w:szCs w:val="20"/>
                <w:color w:val="auto"/>
              </w:rPr>
            </w:pPr>
            <w:r>
              <w:rPr>
                <w:rFonts w:ascii="Arial" w:cs="Arial" w:eastAsia="Arial" w:hAnsi="Arial"/>
                <w:sz w:val="18"/>
                <w:szCs w:val="18"/>
                <w:color w:val="auto"/>
              </w:rPr>
              <w:t>Accepted and agreed as of January 1, 2006.</w:t>
            </w:r>
          </w:p>
        </w:tc>
        <w:tc>
          <w:tcPr>
            <w:tcW w:w="11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06"/>
        </w:trPr>
        <w:tc>
          <w:tcPr>
            <w:tcW w:w="5160" w:type="dxa"/>
            <w:vAlign w:val="bottom"/>
          </w:tcPr>
          <w:p>
            <w:pPr>
              <w:spacing w:after="0"/>
              <w:rPr>
                <w:sz w:val="20"/>
                <w:szCs w:val="20"/>
                <w:color w:val="auto"/>
              </w:rPr>
            </w:pPr>
            <w:r>
              <w:rPr>
                <w:rFonts w:ascii="Arial" w:cs="Arial" w:eastAsia="Arial" w:hAnsi="Arial"/>
                <w:sz w:val="18"/>
                <w:szCs w:val="18"/>
                <w:b w:val="1"/>
                <w:bCs w:val="1"/>
                <w:color w:val="auto"/>
              </w:rPr>
              <w:t>CONSULTANT</w:t>
            </w:r>
          </w:p>
        </w:tc>
        <w:tc>
          <w:tcPr>
            <w:tcW w:w="6260" w:type="dxa"/>
            <w:vAlign w:val="bottom"/>
            <w:gridSpan w:val="2"/>
          </w:tcPr>
          <w:p>
            <w:pPr>
              <w:ind w:left="700"/>
              <w:spacing w:after="0"/>
              <w:rPr>
                <w:sz w:val="20"/>
                <w:szCs w:val="20"/>
                <w:color w:val="auto"/>
              </w:rPr>
            </w:pPr>
            <w:r>
              <w:rPr>
                <w:rFonts w:ascii="Arial" w:cs="Arial" w:eastAsia="Arial" w:hAnsi="Arial"/>
                <w:sz w:val="18"/>
                <w:szCs w:val="18"/>
                <w:b w:val="1"/>
                <w:bCs w:val="1"/>
                <w:color w:val="auto"/>
              </w:rPr>
              <w:t>MAGNACHIP SEMICONDUCTOR, LTD.</w:t>
            </w:r>
          </w:p>
        </w:tc>
      </w:tr>
      <w:tr>
        <w:trPr>
          <w:trHeight w:val="228"/>
        </w:trPr>
        <w:tc>
          <w:tcPr>
            <w:tcW w:w="5160" w:type="dxa"/>
            <w:vAlign w:val="bottom"/>
          </w:tcPr>
          <w:p>
            <w:pPr>
              <w:spacing w:after="0"/>
              <w:rPr>
                <w:sz w:val="20"/>
                <w:szCs w:val="20"/>
                <w:color w:val="auto"/>
              </w:rPr>
            </w:pPr>
            <w:r>
              <w:rPr>
                <w:rFonts w:ascii="Arial" w:cs="Arial" w:eastAsia="Arial" w:hAnsi="Arial"/>
                <w:sz w:val="18"/>
                <w:szCs w:val="18"/>
                <w:b w:val="1"/>
                <w:bCs w:val="1"/>
                <w:color w:val="auto"/>
              </w:rPr>
              <w:t>JERRY BAKER</w:t>
            </w:r>
          </w:p>
        </w:tc>
        <w:tc>
          <w:tcPr>
            <w:tcW w:w="114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46"/>
        </w:trPr>
        <w:tc>
          <w:tcPr>
            <w:tcW w:w="5160" w:type="dxa"/>
            <w:vAlign w:val="bottom"/>
          </w:tcPr>
          <w:p>
            <w:pPr>
              <w:spacing w:after="0"/>
              <w:rPr>
                <w:sz w:val="24"/>
                <w:szCs w:val="24"/>
                <w:color w:val="auto"/>
              </w:rPr>
            </w:pPr>
          </w:p>
        </w:tc>
        <w:tc>
          <w:tcPr>
            <w:tcW w:w="62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9"/>
        </w:trPr>
        <w:tc>
          <w:tcPr>
            <w:tcW w:w="51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453"/>
        </w:trPr>
        <w:tc>
          <w:tcPr>
            <w:tcW w:w="5160" w:type="dxa"/>
            <w:vAlign w:val="bottom"/>
          </w:tcPr>
          <w:p>
            <w:pPr>
              <w:spacing w:after="0"/>
              <w:rPr>
                <w:sz w:val="24"/>
                <w:szCs w:val="24"/>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w w:val="86"/>
              </w:rPr>
              <w:t>Name:</w:t>
            </w:r>
          </w:p>
        </w:tc>
        <w:tc>
          <w:tcPr>
            <w:tcW w:w="5120" w:type="dxa"/>
            <w:vAlign w:val="bottom"/>
            <w:tcBorders>
              <w:bottom w:val="single" w:sz="8" w:color="auto"/>
            </w:tcBorders>
          </w:tcPr>
          <w:p>
            <w:pPr>
              <w:spacing w:after="0"/>
              <w:rPr>
                <w:sz w:val="24"/>
                <w:szCs w:val="24"/>
                <w:color w:val="auto"/>
              </w:rPr>
            </w:pPr>
          </w:p>
        </w:tc>
      </w:tr>
      <w:tr>
        <w:trPr>
          <w:trHeight w:val="453"/>
        </w:trPr>
        <w:tc>
          <w:tcPr>
            <w:tcW w:w="5160" w:type="dxa"/>
            <w:vAlign w:val="bottom"/>
          </w:tcPr>
          <w:p>
            <w:pPr>
              <w:spacing w:after="0"/>
              <w:rPr>
                <w:sz w:val="24"/>
                <w:szCs w:val="24"/>
                <w:color w:val="auto"/>
              </w:rPr>
            </w:pP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51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7" w:name="page138"/>
    <w:bookmarkEnd w:id="137"/>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2"/>
          </w:tcPr>
          <w:p>
            <w:pPr>
              <w:ind w:left="1280"/>
              <w:spacing w:after="0"/>
              <w:rPr>
                <w:sz w:val="20"/>
                <w:szCs w:val="20"/>
                <w:color w:val="auto"/>
              </w:rPr>
            </w:pPr>
            <w:r>
              <w:rPr>
                <w:rFonts w:ascii="Arial" w:cs="Arial" w:eastAsia="Arial" w:hAnsi="Arial"/>
                <w:sz w:val="18"/>
                <w:szCs w:val="18"/>
                <w:b w:val="1"/>
                <w:bCs w:val="1"/>
                <w:color w:val="auto"/>
                <w:w w:val="89"/>
              </w:rPr>
              <w:t>Exhibit 21.1</w:t>
            </w:r>
          </w:p>
        </w:tc>
      </w:tr>
      <w:tr>
        <w:trPr>
          <w:trHeight w:val="378"/>
        </w:trPr>
        <w:tc>
          <w:tcPr>
            <w:tcW w:w="4340" w:type="dxa"/>
            <w:vAlign w:val="bottom"/>
          </w:tcPr>
          <w:p>
            <w:pPr>
              <w:spacing w:after="0"/>
              <w:rPr>
                <w:sz w:val="24"/>
                <w:szCs w:val="24"/>
                <w:color w:val="auto"/>
              </w:rPr>
            </w:pPr>
          </w:p>
        </w:tc>
        <w:tc>
          <w:tcPr>
            <w:tcW w:w="7100" w:type="dxa"/>
            <w:vAlign w:val="bottom"/>
            <w:gridSpan w:val="4"/>
          </w:tcPr>
          <w:p>
            <w:pPr>
              <w:ind w:left="260"/>
              <w:spacing w:after="0"/>
              <w:rPr>
                <w:sz w:val="20"/>
                <w:szCs w:val="20"/>
                <w:color w:val="auto"/>
              </w:rPr>
            </w:pPr>
            <w:r>
              <w:rPr>
                <w:rFonts w:ascii="Arial" w:cs="Arial" w:eastAsia="Arial" w:hAnsi="Arial"/>
                <w:sz w:val="18"/>
                <w:szCs w:val="18"/>
                <w:b w:val="1"/>
                <w:bCs w:val="1"/>
                <w:color w:val="auto"/>
              </w:rPr>
              <w:t>Subsidiaries of the Registrant</w:t>
            </w:r>
          </w:p>
        </w:tc>
      </w:tr>
      <w:tr>
        <w:trPr>
          <w:trHeight w:val="340"/>
        </w:trPr>
        <w:tc>
          <w:tcPr>
            <w:tcW w:w="4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Jurisdiction of</w:t>
            </w:r>
          </w:p>
        </w:tc>
      </w:tr>
      <w:tr>
        <w:trPr>
          <w:trHeight w:val="181"/>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Incorporation</w:t>
            </w:r>
          </w:p>
        </w:tc>
      </w:tr>
      <w:tr>
        <w:trPr>
          <w:trHeight w:val="195"/>
        </w:trPr>
        <w:tc>
          <w:tcPr>
            <w:tcW w:w="4340" w:type="dxa"/>
            <w:vAlign w:val="bottom"/>
          </w:tcPr>
          <w:p>
            <w:pPr>
              <w:spacing w:after="0" w:line="195" w:lineRule="exact"/>
              <w:rPr>
                <w:sz w:val="20"/>
                <w:szCs w:val="20"/>
                <w:color w:val="auto"/>
              </w:rPr>
            </w:pPr>
            <w:r>
              <w:rPr>
                <w:rFonts w:ascii="Arial" w:cs="Arial" w:eastAsia="Arial" w:hAnsi="Arial"/>
                <w:sz w:val="18"/>
                <w:szCs w:val="18"/>
                <w:color w:val="auto"/>
              </w:rPr>
              <w:t>MagnaChip Semiconductor S.A.</w:t>
            </w:r>
          </w:p>
        </w:tc>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Luxembourg</w:t>
            </w:r>
          </w:p>
        </w:tc>
        <w:tc>
          <w:tcPr>
            <w:tcW w:w="20" w:type="dxa"/>
            <w:vAlign w:val="bottom"/>
          </w:tcPr>
          <w:p>
            <w:pPr>
              <w:spacing w:after="0"/>
              <w:rPr>
                <w:sz w:val="16"/>
                <w:szCs w:val="16"/>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B.V.</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The Netherlands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Ltd.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Korea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Inc.</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California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SA Holdings LLC</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Finance Company</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Limited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Limited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Taiwan</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Limited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Hong Kong</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Inc.</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81"/>
              </w:rPr>
              <w:t>Japan</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Holding Company Limited</w:t>
            </w:r>
          </w:p>
        </w:tc>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British Virgin Islands</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w w:val="94"/>
              </w:rPr>
              <w:t>MagnaChip Semiconductor (Shanghai) Company Limited</w:t>
            </w: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China</w:t>
            </w:r>
          </w:p>
        </w:tc>
      </w:tr>
    </w:tbl>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2007</w:t>
      </w:r>
    </w:p>
    <w:p>
      <w:pPr>
        <w:spacing w:after="0" w:line="212"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ANG</w:t>
      </w:r>
      <w:r>
        <w:rPr>
          <w:rFonts w:ascii="Arial" w:cs="Arial" w:eastAsia="Arial" w:hAnsi="Arial"/>
          <w:sz w:val="16"/>
          <w:szCs w:val="16"/>
          <w:color w:val="auto"/>
        </w:rPr>
        <w:t xml:space="preserve"> P</w:t>
      </w:r>
      <w:r>
        <w:rPr>
          <w:rFonts w:ascii="Arial" w:cs="Arial" w:eastAsia="Arial" w:hAnsi="Arial"/>
          <w:sz w:val="13"/>
          <w:szCs w:val="13"/>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Executive Officer and Chairman</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2007</w:t>
      </w:r>
    </w:p>
    <w:p>
      <w:pPr>
        <w:spacing w:after="0" w:line="212"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K</w:t>
      </w:r>
      <w:r>
        <w:rPr>
          <w:rFonts w:ascii="Arial" w:cs="Arial" w:eastAsia="Arial" w:hAnsi="Arial"/>
          <w:sz w:val="13"/>
          <w:szCs w:val="13"/>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Robert J. Krakauer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President and Chief Financial Officer</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connection with the Annual Report of MagnaChip Semiconductor LLC (the “Company”) on Form 10-K for the period ending December 31, 2006, as filed with the Securities and Exchange Commission on the date hereof (the “Report”), I, Sang Park, Chief Executive Officer and Chairman of the Board of Directors of the Company, certify, pursuant to 18 U.S.C. §1350, as adopted pursuant to §906 of the Sarbanes-Oxley Act of 2002, that to my knowledge:</w:t>
      </w:r>
    </w:p>
    <w:p>
      <w:pPr>
        <w:spacing w:after="0" w:line="26" w:lineRule="exact"/>
        <w:rPr>
          <w:sz w:val="20"/>
          <w:szCs w:val="20"/>
          <w:color w:val="auto"/>
        </w:rPr>
      </w:pPr>
    </w:p>
    <w:p>
      <w:pPr>
        <w:ind w:left="1160" w:hanging="25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ANG</w:t>
      </w:r>
      <w:r>
        <w:rPr>
          <w:rFonts w:ascii="Arial" w:cs="Arial" w:eastAsia="Arial" w:hAnsi="Arial"/>
          <w:sz w:val="16"/>
          <w:szCs w:val="16"/>
          <w:color w:val="auto"/>
        </w:rPr>
        <w:t xml:space="preserve"> P</w:t>
      </w:r>
      <w:r>
        <w:rPr>
          <w:rFonts w:ascii="Arial" w:cs="Arial" w:eastAsia="Arial" w:hAnsi="Arial"/>
          <w:sz w:val="13"/>
          <w:szCs w:val="13"/>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Executive Officer and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March 29, 2007</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connection with the Annual Report of MagnaChip Semiconductor LLC (the “Company”) on Form 10-K for the period ending December 31, 2006,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26" w:lineRule="exact"/>
        <w:rPr>
          <w:sz w:val="20"/>
          <w:szCs w:val="20"/>
          <w:color w:val="auto"/>
        </w:rPr>
      </w:pPr>
    </w:p>
    <w:p>
      <w:pPr>
        <w:ind w:left="1160" w:hanging="257"/>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K</w:t>
      </w:r>
      <w:r>
        <w:rPr>
          <w:rFonts w:ascii="Arial" w:cs="Arial" w:eastAsia="Arial" w:hAnsi="Arial"/>
          <w:sz w:val="13"/>
          <w:szCs w:val="13"/>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Robert J. Krakauer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President and 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March 29,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decimal"/>
      <w:start w:val="318"/>
    </w:lvl>
  </w:abstractNum>
  <w:abstractNum w:abstractNumId="8">
    <w:nsid w:val="4353D0CD"/>
    <w:multiLevelType w:val="hybridMultilevel"/>
    <w:lvl w:ilvl="0">
      <w:lvlJc w:val="left"/>
      <w:lvlText w:val="%1."/>
      <w:numFmt w:val="decimal"/>
      <w:start w:val="14"/>
    </w:lvl>
  </w:abstractNum>
  <w:abstractNum w:abstractNumId="9">
    <w:nsid w:val="B03E0C6"/>
    <w:multiLevelType w:val="hybridMultilevel"/>
    <w:lvl w:ilvl="0">
      <w:lvlJc w:val="left"/>
      <w:lvlText w:val="%1."/>
      <w:numFmt w:val="decimal"/>
      <w:start w:val="17"/>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4"/>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5"/>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lowerLetter"/>
      <w:start w:val="1"/>
    </w:lvl>
    <w:lvl w:ilvl="1">
      <w:lvlJc w:val="left"/>
      <w:lvlText w:val="%2."/>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5"/>
    </w:lvl>
  </w:abstractNum>
  <w:abstractNum w:abstractNumId="24">
    <w:nsid w:val="3006C83E"/>
    <w:multiLevelType w:val="hybridMultilevel"/>
    <w:lvl w:ilvl="0">
      <w:lvlJc w:val="left"/>
      <w:lvlText w:val="%1"/>
      <w:numFmt w:val="lowerLetter"/>
      <w:start w:val="1"/>
    </w:lvl>
    <w:lvl w:ilvl="1">
      <w:lvlJc w:val="left"/>
      <w:lvlText w:val="(%2)"/>
      <w:numFmt w:val="lowerLetter"/>
      <w:start w:val="1"/>
    </w:lvl>
  </w:abstractNum>
  <w:abstractNum w:abstractNumId="25">
    <w:nsid w:val="614FD4A1"/>
    <w:multiLevelType w:val="hybridMultilevel"/>
    <w:lvl w:ilvl="0">
      <w:lvlJc w:val="left"/>
      <w:lvlText w:val="(%1)"/>
      <w:numFmt w:val="lowerLetter"/>
      <w:start w:val="61"/>
    </w:lvl>
    <w:lvl w:ilvl="1">
      <w:lvlJc w:val="left"/>
      <w:lvlText w:val="(%2)"/>
      <w:numFmt w:val="lowerLetter"/>
      <w:start w:val="3"/>
    </w:lvl>
  </w:abstractNum>
  <w:abstractNum w:abstractNumId="26">
    <w:nsid w:val="419AC241"/>
    <w:multiLevelType w:val="hybridMultilevel"/>
    <w:lvl w:ilvl="0">
      <w:lvlJc w:val="left"/>
      <w:lvlText w:val="%1."/>
      <w:numFmt w:val="decimal"/>
      <w:start w:val="2"/>
    </w:lvl>
  </w:abstractNum>
  <w:abstractNum w:abstractNumId="27">
    <w:nsid w:val="5577F8E1"/>
    <w:multiLevelType w:val="hybridMultilevel"/>
    <w:lvl w:ilvl="0">
      <w:lvlJc w:val="left"/>
      <w:lvlText w:val="%1."/>
      <w:numFmt w:val="decimal"/>
      <w:start w:val="3"/>
    </w:lvl>
    <w:lvl w:ilvl="1">
      <w:lvlJc w:val="left"/>
      <w:lvlText w:val="%2."/>
      <w:numFmt w:val="upperLetter"/>
      <w:start w:val="1"/>
    </w:lvl>
  </w:abstractNum>
  <w:abstractNum w:abstractNumId="28">
    <w:nsid w:val="440BADFC"/>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abstractNum>
  <w:abstractNum w:abstractNumId="29">
    <w:nsid w:val="5072367"/>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30">
    <w:nsid w:val="3804823E"/>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31">
    <w:nsid w:val="77465F01"/>
    <w:multiLevelType w:val="hybridMultilevel"/>
    <w:lvl w:ilvl="0">
      <w:lvlJc w:val="left"/>
      <w:lvlText w:val="%1"/>
      <w:numFmt w:val="lowerRoman"/>
      <w:start w:val="1"/>
    </w:lvl>
    <w:lvl w:ilvl="1">
      <w:lvlJc w:val="left"/>
      <w:lvlText w:val="%2."/>
      <w:numFmt w:val="decimal"/>
      <w:start w:val="8"/>
    </w:lvl>
    <w:lvl w:ilvl="2">
      <w:lvlJc w:val="left"/>
      <w:lvlText w:val="%3"/>
      <w:numFmt w:val="upperLetter"/>
      <w:start w:val="1"/>
    </w:lvl>
  </w:abstractNum>
  <w:abstractNum w:abstractNumId="32">
    <w:nsid w:val="7724C67E"/>
    <w:multiLevelType w:val="hybridMultilevel"/>
    <w:lvl w:ilvl="0">
      <w:lvlJc w:val="left"/>
      <w:lvlText w:val="(%1)"/>
      <w:numFmt w:val="lowerRoman"/>
      <w:start w:val="5"/>
    </w:lvl>
    <w:lvl w:ilvl="1">
      <w:lvlJc w:val="left"/>
      <w:lvlText w:val="%2."/>
      <w:numFmt w:val="decimal"/>
      <w:start w:val="9"/>
    </w:lvl>
    <w:lvl w:ilvl="2">
      <w:lvlJc w:val="left"/>
      <w:lvlText w:val="%3."/>
      <w:numFmt w:val="upperLetter"/>
      <w:start w:val="1"/>
    </w:lvl>
  </w:abstractNum>
  <w:abstractNum w:abstractNumId="33">
    <w:nsid w:val="5C482A97"/>
    <w:multiLevelType w:val="hybridMultilevel"/>
    <w:lvl w:ilvl="0">
      <w:lvlJc w:val="left"/>
      <w:lvlText w:val="%1."/>
      <w:numFmt w:val="decimal"/>
      <w:start w:val="10"/>
    </w:lvl>
    <w:lvl w:ilvl="1">
      <w:lvlJc w:val="left"/>
      <w:lvlText w:val="%2."/>
      <w:numFmt w:val="upperLetter"/>
      <w:start w:val="1"/>
    </w:lvl>
  </w:abstractNum>
  <w:abstractNum w:abstractNumId="34">
    <w:nsid w:val="2463B9EA"/>
    <w:multiLevelType w:val="hybridMultilevel"/>
    <w:lvl w:ilvl="0">
      <w:lvlJc w:val="left"/>
      <w:lvlText w:val="%1"/>
      <w:numFmt w:val="upperLetter"/>
      <w:start w:val="1"/>
    </w:lvl>
    <w:lvl w:ilvl="1">
      <w:lvlJc w:val="left"/>
      <w:lvlText w:val="(%2)"/>
      <w:numFmt w:val="decimal"/>
      <w:start w:val="1"/>
    </w:lvl>
  </w:abstractNum>
  <w:abstractNum w:abstractNumId="35">
    <w:nsid w:val="5E884ADC"/>
    <w:multiLevelType w:val="hybridMultilevel"/>
    <w:lvl w:ilvl="0">
      <w:lvlJc w:val="left"/>
      <w:lvlText w:val="%1."/>
      <w:numFmt w:val="upperLetter"/>
      <w:start w:val="6"/>
    </w:lvl>
    <w:lvl w:ilvl="1">
      <w:lvlJc w:val="left"/>
      <w:lvlText w:val="%2"/>
      <w:numFmt w:val="decimal"/>
      <w:start w:val="1"/>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1."/>
      <w:numFmt w:val="decimal"/>
      <w:start w:val="3"/>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2019-12-15T09:44:26Z</dcterms:created>
  <dcterms:modified xsi:type="dcterms:W3CDTF">2019-12-15T09:44:26Z</dcterms:modified>
</cp:coreProperties>
</file>