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July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5"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166370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4" w:right="48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78"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As previously disclosed, on May 26, 2021, outside legal counsel of each of the Company and Parent received an e-mail from the U.S. Department of Treasury on behalf of the Staff Chairperson of the Committee on Foreign Investment in the United States (“CFIUS”). In the e-mail, the CFIUS Staff Chairperson, acting on the recommendation of CFIUS, requested that the parties file a notice concerning the Merger and thereby undergo formal CFIUS review of the Merger. The Company and Parent filed such notice with CFIUS on June 11, 2021.</w:t>
      </w:r>
    </w:p>
    <w:p>
      <w:pPr>
        <w:spacing w:after="0" w:line="171"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As previously disclosed, on June 15, 2021, outside legal counsel of each of the Company and Parent received a letter attaching an “Order Establishing Interim Mitigation Measures” (the “Interim Order”) from the U.S. Department of Treasury on behalf of CFIUS. The Interim Order imposes the following interim measures, effective as of June 15, 2021, on the Company and Parent: (i) neither of the Company or Parent shall take any action, directly or indirectly, to close, consummate, complete, or effectuate the purpose of the Merger, including: (a) the transfer, lease, license, or sale of any asset or subsidiary of the Company to Parent or any affiliate thereof, (b) the merger of Parent or any affiliate thereof with or into the Company or any affiliate thereof, or (c) the acquisition of any equity or other ownership interest in the Company or any affiliate thereof by Parent or any subsidiary thereof; (ii) Parent shall not take, and shall ensure that none of its subsidiaries take, any security interest in the Company or any affiliate thereof; and</w:t>
      </w:r>
    </w:p>
    <w:p>
      <w:pPr>
        <w:spacing w:after="0" w:line="2" w:lineRule="exact"/>
        <w:rPr>
          <w:sz w:val="20"/>
          <w:szCs w:val="20"/>
          <w:color w:val="auto"/>
        </w:rPr>
      </w:pPr>
    </w:p>
    <w:p>
      <w:pPr>
        <w:jc w:val="both"/>
        <w:ind w:left="4" w:right="120" w:hanging="4"/>
        <w:spacing w:after="0" w:line="295" w:lineRule="auto"/>
        <w:tabs>
          <w:tab w:leader="none" w:pos="31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shall not take any action to: (a) change its state of incorporation from Delaware to any other jurisdiction or (b) delist from, or modify the existing listing of the Company on, the New York Stock Exchange. The Interim Order is to remain in effect until (1) CFIUS concludes action under Section 721 of the Defense Production Act of 1950, as amended (the “DPA”) with respect to the Merger, (2) the President takes action or declines to take action under Section 721 of the DPA with respect to the Merger or (3) CFIUS or the President revokes or terminates the Interim Order.</w:t>
      </w:r>
    </w:p>
    <w:p>
      <w:pPr>
        <w:spacing w:after="0" w:line="161" w:lineRule="exact"/>
        <w:rPr>
          <w:sz w:val="20"/>
          <w:szCs w:val="20"/>
          <w:color w:val="auto"/>
        </w:rPr>
      </w:pPr>
    </w:p>
    <w:p>
      <w:pPr>
        <w:jc w:val="both"/>
        <w:ind w:left="4" w:right="180" w:firstLine="440"/>
        <w:spacing w:after="0" w:line="263" w:lineRule="auto"/>
        <w:rPr>
          <w:sz w:val="20"/>
          <w:szCs w:val="20"/>
          <w:color w:val="auto"/>
        </w:rPr>
      </w:pPr>
      <w:r>
        <w:rPr>
          <w:rFonts w:ascii="Arial" w:cs="Arial" w:eastAsia="Arial" w:hAnsi="Arial"/>
          <w:sz w:val="18"/>
          <w:szCs w:val="18"/>
          <w:color w:val="auto"/>
        </w:rPr>
        <w:t>On July 26, 2021, outside legal counsel of each of the Company and Parent received a letter from the Acting CFIUS Staff Chairperson notifying the parties that CFIUS will undertake an investigation of the Merger pursuant to Section 721(b)(2) of the DPA, which will be completed no later than September 13, 2021.</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As announced in the Company’s Form 8-K filed with the SEC on June 16, 2021, the Company received the Interim Order from the U.S. Department of Treasury on behalf of CFIUS on June 15, 2021. In light of the Interim Order, the Company has postponed the special meeting relating to the proposed transaction, which was scheduled to be held at 8:00 p.m. Eastern time on June 17, 2021, pending further developments with respect to the Interim Order.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ectPr>
          <w:pgSz w:w="11900" w:h="16838" w:orient="portrait"/>
          <w:cols w:equalWidth="0" w:num="1">
            <w:col w:w="11004"/>
          </w:cols>
          <w:pgMar w:left="436"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9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28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14605</wp:posOffset>
            </wp:positionV>
            <wp:extent cx="2665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Theodore Kim</w:t>
      </w:r>
    </w:p>
    <w:p>
      <w:pPr>
        <w:spacing w:after="0" w:line="9" w:lineRule="exact"/>
        <w:rPr>
          <w:sz w:val="20"/>
          <w:szCs w:val="20"/>
          <w:color w:val="auto"/>
        </w:rPr>
      </w:pPr>
    </w:p>
    <w:p>
      <w:pPr>
        <w:ind w:left="62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 General Counsel and Secretary</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2021-07-29T16:05:03Z</dcterms:created>
  <dcterms:modified xsi:type="dcterms:W3CDTF">2021-07-29T16:05:03Z</dcterms:modified>
</cp:coreProperties>
</file>