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5"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30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(as may be amended, supplemented or modified,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w:t>
      </w:r>
    </w:p>
    <w:p>
      <w:pPr>
        <w:spacing w:after="0" w:line="19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As previously disclosed, on August 27, 2021, outside legal counsel for each of the Company and Parent received a letter from the Department of Treasury on behalf of Committee on Foreign Investment in the United States (“CFIUS”) indicating that (i) CFIUS has identified risks to the national security of the United States arising as a result of the Merger, (ii) CFIUS has not identified any mitigation measures, including those proposed jointly by the Company and Parent, that CFIUS believes would adequately mitigate the identified risks, (iii) absent new information arising during the investigation period that alters CFIUS’s assessment of the national security risks or the feasibility of mitigation measures to resolve those risks, CFIUS anticipates that it will refer the matter to the President for decision, and (iv) the Company and Parent could provide additional information to CFIUS for consideration, including proposals to permanently mitigate the identified national security risks.</w:t>
      </w:r>
    </w:p>
    <w:p>
      <w:pPr>
        <w:spacing w:after="0" w:line="17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By letter dated September 10, 2021, the Company and Parent, through outside legal counsel, asked CFIUS to permit them to withdraw and re-file their June 11, 2021 notice concerning the Merger, in order to permit further discussion with CFIUS concerning potential options for permanently mitigating risks to the national security that have been identified by CFIUS. By letter dated September 13, 2021, the Acting CFIUS Staff Chairperson notified the parties that CFIUS had granted this request and that a new CFIUS review period for the Merger would commence on September 14, 2021 and conclude no later than October 28, 2021. By letter dated October 28, 2021, the Acting CFIUS Staff Chairperson notified the parties that CFIUS is undertaking an investigation of the Merger pursuant to Section 721(b)(2) of the Defense Production Act of 1950, as amended, which will be completed no later than December 13, 2021. There can be no assurance that the Company and Parent will develop or agree to any proposals that would result in CFIUS clearance.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U.S. Securities and Exchange Commission (the “SEC”), including the definitive proxy statement on Schedule 14A filed on May 7, 2021 (as amended and supplemented,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2021-10-29T15:11:13Z</dcterms:created>
  <dcterms:modified xsi:type="dcterms:W3CDTF">2021-10-29T15:11:13Z</dcterms:modified>
</cp:coreProperties>
</file>