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20" w:type="dxa"/>
            <w:vAlign w:val="bottom"/>
          </w:tcPr>
          <w:p>
            <w:pPr>
              <w:jc w:val="center"/>
              <w:ind w:right="23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8"/>
                <w:szCs w:val="18"/>
                <w:b w:val="1"/>
                <w:bCs w:val="1"/>
                <w:color w:val="auto"/>
                <w:w w:val="99"/>
              </w:rPr>
              <w:t>c/o Magnachip Semiconductor, Ltd.</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15F, 76 Jikji-daero 436beon-gil, Heungdeok-gu</w:t>
            </w:r>
          </w:p>
        </w:tc>
        <w:tc>
          <w:tcPr>
            <w:tcW w:w="2460" w:type="dxa"/>
            <w:vAlign w:val="bottom"/>
          </w:tcPr>
          <w:p>
            <w:pPr>
              <w:spacing w:after="0"/>
              <w:rPr>
                <w:sz w:val="18"/>
                <w:szCs w:val="18"/>
                <w:color w:val="auto"/>
              </w:rPr>
            </w:pPr>
          </w:p>
        </w:tc>
      </w:tr>
      <w:tr>
        <w:trPr>
          <w:trHeight w:val="227"/>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Cheongju-si, Chungcheongbuk-do, 28581, Republic of Korea</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April 8, 2025, Magnachip Semiconductor Corporation (the “Company”) announced its plan to shut down its Display business (the “Discontinued Business”), which will include the liquidation of Magnachip Mixed-Signal, Ltd., the Company’s wholly owned subsidiary that operates the Discontinued Business (collectively, the “Liquidation”). On April 6, 2025, the Company’s Board of Directors unanimously approved the Liquidation. Prior to the decision to effect the Liquidation, the Company performed a thorough review of a number of factors including the Discontinued Business’ competitive landscape, declining revenue of the Discontinued Business, the current and expected profitability for the Discontinued Business and the Company’s strategic focus on the Company’s Power business, and concluded that the Discontinued Business is currently unsustainable and cannot be restructured in a way that will allow the Company to achieve profitable growth. As previously reported, the Company explored strategic options for the Discontinued Business, including a sale of the Discontinued Business, but the Company has not been able to consummate any such transaction, following several months of discussions with several interested parties, on terms that the Company’s Board of Directors believed were in the best interests of the Company and its stockholders. Therefore, the Company has already begun notifying its customers impacted by this decision. While the Company currently expects to exit the operations of the Discontinued Business by the end of the second quarter of 2025, the Company will continue to evaluate opportunities to monetize Display assets.</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time of the filing of this Current Report on Form 8-K, the Company is unable in good faith to make a determination of an estimate of the total amount or range of amounts expected to be incurred by the Company in connection with the Liquidation. The Company expects to file an amendment to this Current Report on Form 8-K within four business days after it makes a determination of an estimate or range of estimates of the costs that are expected to be incurred in connection with the Liquidation.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for Forward-Looking Statements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that involve risks and uncertainties. All forward-looking statements included in this report, including expectations about costs and time period to complete the Liquidation, are based upon information available to the Company as of the date of this report, which may change, and the Company assumes no obligation to update any such forward-looking statements. These statements are not guarantees of future performance and actual results could differ materially from the Company’s current expectations. Factors that could cause or contribute to such differences include the risks and uncertainties detailed from time to time in the Company’s filings with the Securities and Exchange Commission. The Company assumes no obligation and does not intend to update the forward-looking statements provided, whether as a result of new information, future events or otherwise.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April 8, 2025, the Company issued a press release announcing the Liquidation as described in Item 2.05 of this Form 8-K. A copy of the Company’s press release is furnished with this Form 8-K and attached hereto as Exhibit 99.1.</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00" w:type="dxa"/>
            <w:vAlign w:val="bottom"/>
          </w:tcPr>
          <w:p>
            <w:pPr>
              <w:spacing w:after="0"/>
              <w:rPr>
                <w:sz w:val="13"/>
                <w:szCs w:val="13"/>
                <w:color w:val="auto"/>
              </w:rPr>
            </w:pPr>
          </w:p>
        </w:tc>
        <w:tc>
          <w:tcPr>
            <w:tcW w:w="4480" w:type="dxa"/>
            <w:vAlign w:val="bottom"/>
          </w:tcPr>
          <w:p>
            <w:pPr>
              <w:spacing w:after="0"/>
              <w:rPr>
                <w:sz w:val="13"/>
                <w:szCs w:val="13"/>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   No. </w:t>
            </w:r>
          </w:p>
        </w:tc>
        <w:tc>
          <w:tcPr>
            <w:tcW w:w="99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Magnachip Semiconductor Corporation dated April 8, 2025.</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8, 2025</w:t>
            </w: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Theodore Kim</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Theodore Kim</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5629275</wp:posOffset>
            </wp:positionH>
            <wp:positionV relativeFrom="paragraph">
              <wp:posOffset>173990</wp:posOffset>
            </wp:positionV>
            <wp:extent cx="136334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334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Magnachip Announces Plan to Shut Down Display Business by End of Q2 2025 Company to Become a Pure-Play Power Business To Drive Profitable Growth and Maximize Shareholder Value -Company will continue to evaluate opportunities to monetize Display assets-</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SEOUL, South Korea, April 8, 2025 </w:t>
      </w:r>
      <w:r>
        <w:rPr>
          <w:rFonts w:ascii="Times New Roman" w:cs="Times New Roman" w:eastAsia="Times New Roman" w:hAnsi="Times New Roman"/>
          <w:sz w:val="18"/>
          <w:szCs w:val="18"/>
          <w:color w:val="auto"/>
        </w:rPr>
        <w:t>– Magnachip Semiconductor Corporation (NYSE:MX) (“Magnachip” or the “Company”) today announced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a thorough review its Board of Directors unanimously approved a plan to shut down the Company’s Display business by the end of the second quarter of 2025. The Company had previously announced its intention to explore all strategic options for the Display business and to classify the Display business as discontinued operations when it reports Q1 results in May in order to focus as a pure-play Power discrete and Power IC company and to achieve profitable revenue growth and maximize shareholder value. However, the Company has not been able to consummate a transaction following several months of discussions with several interested parties on terms that the Company’s Board of Directors believed were in the best interests of the Company and its stockholders. Therefore, the Company has already begun notifying its customers impacted by this decision.</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Shutting down the Display business will include the liquidation of Magnachip Mixed-Signal, Ltd. (“MMS”), the Company’s wholly owned subsidiary that operates the discontinued Display business. The Company will retain its Power IC business which had previously resided in MMS and now operates alongside the Company’s Power discrete business in Magnachip Semiconductor, Ltd. (“Magnachip Korea”), the Company’s wholly owned subsidiary that comprises the Power solutions business. Together, the Power IC and Power discrete businesses represent Magnachip’s going-forward continuing operations. The Company will maintain a small team to continue to support customers with respect to “end of life” (“EOL”) products. While Magnachip expects to shut down the Display business by the end of Q2, Magnachip will continue to evaluate opportunities to monetize Display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Magnachip CEO YJ Kim said, “It was an extremely difficult decision to shut down our Display business when considering both our valued customers and employees. However, our first priority is to ensure Magnachip’s long-term success by achieving consistent profitability and earnings growth in order to maximize shareholder value. Navigating the unpredictable macroeconomic headwinds will likely pose significant challenges to all companies over the coming few quarters. At the same time, our strategic pivot to focus exclusively on Power discrete and Power IC businesses is designed to position the Company for a return to profitability. We aim to attain a quarterly Adjusted EBITDA* break-even from continuing operations by the end of this year. We also believe that this will pave the way for positive adjusted operating income* in 2026 and positive adjusted free cash flow* in 2027. Each of these targets will act as milestones towards achieving a goal in 3 years to reach a $300 million annual revenue run-rate with a 30% gross profit margin target. We call this our 3-3-3 strategy.” Magnachip’s Power discrete and Power IC businesses generated $185 million in revenue in 2024, up 13% from 2023, and the Company expects mid-to-high-single digit revenue growth in 2025.”</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Magnachip’s Chairman of the Board Camillo Martino commented, “Having concluded an in-depth review of our businesses, Magnachip’s Board of Directors made a unanimous decision to shut down the Display business in order to focus the Company on the revenue growth and profit potential of the Power discrete and Power IC businesses. We believe the actions announced today demonstrate the Board’s firm commitment to put Magnachip on the path to achieve profitable revenue growth, restore the Company back to profitability and to enhance shareholder value.”</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actions that are being undertaken by the Company in connection with the liquidation process are expected to result in a 30% to 35% reduction in annualized operating expenditures (excluding equity compensation charges) as compared with 2024. In addition, the Company will provide limited support for remaining customer obligations including the sale of EOL Display products, which will be conducted by Magnachip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Non-GAAP measure. Please see “Use of Non-GAAP Financial Measures” below.</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5891530</wp:posOffset>
            </wp:positionH>
            <wp:positionV relativeFrom="page">
              <wp:posOffset>183515</wp:posOffset>
            </wp:positionV>
            <wp:extent cx="137985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79855" cy="274320"/>
                    </a:xfrm>
                    <a:prstGeom prst="rect">
                      <a:avLst/>
                    </a:prstGeom>
                    <a:noFill/>
                  </pic:spPr>
                </pic:pic>
              </a:graphicData>
            </a:graphic>
          </wp:anchor>
        </w:drawing>
        <w:t>The Company is unable at this time to provide an estimated amount or range of estimated amounts to be incurred or the future cash expenditures or charges that it will incur in connection with the shutdown of the Company’s Display business and the liquidation of MMS. The Company expects to disclose such costs promptly after the Company makes a determination of an estimate or range of estimates of the costs that are expected to be incurred in connection with the shutdown of the Display business and the liquidation of MMS.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Adjusted EBITDA, adjusted operating income and adjusted free cash flow are considered Non-GAAP measures. 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can be found in our most recent earnings press release on the investor relations page of our website at https://investors.magnachip.com. We define adjusted free cash flow as net cash provided by operating activities, adjusted for net foreign currency transaction gain or loss, less capital expenditures.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Information in this presentation regarding Magnachip’s forecasts, business outlook, expectations and beliefs are forward-looking statements within the meaning of the Private Securities Litigation Reform Act of 1995 that involve risks and uncertainties. All forward-looking statements included or incorporated by reference in this press release, including expectations about future operating results and financial performance, outlook and business plans, including longer term revenue growth and Adjusted EBITDA, adjusted operating income and adjusted free cash flow targets,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including between Russia-Ukraine and between Israel-Hamas, sustained military action and conflict in the Red Sea, and global macroeconomic conditions resulting from trade and tariff actions instituted between the U.S. and other countries on Magnachip’s future operating results and financial performance, and the timing and extent of future revenue contributions by our products and businesses, are based upon information available to Magnachip as of the date of this press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the geopolitical conflicts including between Russia-Ukraine and between Israel-Hamas, sustained military action and conflict in the Red Sea;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14, 2025,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000"/>
          </w:cols>
          <w:pgMar w:left="440" w:top="85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5891530</wp:posOffset>
            </wp:positionH>
            <wp:positionV relativeFrom="page">
              <wp:posOffset>182880</wp:posOffset>
            </wp:positionV>
            <wp:extent cx="137985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79855" cy="274320"/>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 Internet of Things (“IoT”), consumer, computing, industrial and automotive applications.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steven@blueshirtgroup.co</w:t>
      </w:r>
    </w:p>
    <w:sectPr>
      <w:pgSz w:w="11900" w:h="16838" w:orient="portrait"/>
      <w:cols w:equalWidth="0" w:num="1">
        <w:col w:w="10960"/>
      </w:cols>
      <w:pgMar w:left="440" w:top="84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2025-04-08T06:18:17Z</dcterms:created>
  <dcterms:modified xsi:type="dcterms:W3CDTF">2025-04-08T06:18:17Z</dcterms:modified>
</cp:coreProperties>
</file>