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5)*</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MagnaChip Semiconductor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55933J203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9660" w:firstLine="8"/>
        <w:spacing w:after="0" w:line="224" w:lineRule="exact"/>
        <w:tabs>
          <w:tab w:leader="none" w:pos="567"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w:t>
      </w: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90"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03"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w:t>
      </w:r>
      <w:r>
        <w:rPr>
          <w:rFonts w:ascii="Arial" w:cs="Arial" w:eastAsia="Arial" w:hAnsi="Arial"/>
          <w:sz w:val="18"/>
          <w:szCs w:val="18"/>
          <w:b w:val="1"/>
          <w:bCs w:val="1"/>
          <w:i w:val="1"/>
          <w:iCs w:val="1"/>
          <w:color w:val="auto"/>
        </w:rPr>
        <w:t>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682625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55933J203</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300"/>
              <w:spacing w:after="0"/>
              <w:rPr>
                <w:sz w:val="20"/>
                <w:szCs w:val="20"/>
                <w:color w:val="auto"/>
              </w:rPr>
            </w:pPr>
            <w:r>
              <w:rPr>
                <w:rFonts w:ascii="Arial" w:cs="Arial" w:eastAsia="Arial" w:hAnsi="Arial"/>
                <w:sz w:val="18"/>
                <w:szCs w:val="18"/>
                <w:color w:val="auto"/>
                <w:w w:val="88"/>
              </w:rPr>
              <w:t>Page 2 of 23</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Oaktree Value Opportunities Fund Holdings, L.P.</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40" w:type="dxa"/>
            <w:vAlign w:val="bottom"/>
            <w:tcBorders>
              <w:right w:val="single" w:sz="8" w:color="auto"/>
            </w:tcBorders>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4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040" w:type="dxa"/>
            <w:vAlign w:val="bottom"/>
            <w:tcBorders>
              <w:bottom w:val="single" w:sz="8" w:color="auto"/>
            </w:tcBorders>
            <w:gridSpan w:val="2"/>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2,300,000 (1)</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2,300,000 (1)</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7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2,300,000 (1)</w:t>
            </w: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4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4.95% (2)</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3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its capacity as the direct owner of 2,300,000 shares of common stock, par value $0.50 per share of the Issuer (“Common Stock”).</w:t>
      </w:r>
    </w:p>
    <w:p>
      <w:pPr>
        <w:spacing w:after="0" w:line="252" w:lineRule="exact"/>
        <w:rPr>
          <w:rFonts w:ascii="Arial" w:cs="Arial" w:eastAsia="Arial" w:hAnsi="Arial"/>
          <w:sz w:val="18"/>
          <w:szCs w:val="18"/>
          <w:color w:val="auto"/>
        </w:rPr>
      </w:pPr>
    </w:p>
    <w:p>
      <w:pPr>
        <w:jc w:val="both"/>
        <w:ind w:left="580" w:right="180" w:hanging="572"/>
        <w:spacing w:after="0" w:line="342"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All calculations of percentage ownership herein are based on a total of 46,464,889 shares of Common Stock issued and outstanding as of October 29, 2021, as disclosed on the Issuer's Quarterly Report on Form 10-Q, filed with the Securities and Exchange Commission on November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55933J203</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300"/>
              <w:spacing w:after="0"/>
              <w:rPr>
                <w:sz w:val="20"/>
                <w:szCs w:val="20"/>
                <w:color w:val="auto"/>
              </w:rPr>
            </w:pPr>
            <w:r>
              <w:rPr>
                <w:rFonts w:ascii="Arial" w:cs="Arial" w:eastAsia="Arial" w:hAnsi="Arial"/>
                <w:sz w:val="18"/>
                <w:szCs w:val="18"/>
                <w:color w:val="auto"/>
                <w:w w:val="88"/>
              </w:rPr>
              <w:t>Page 3 of 23</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Oaktree Value Opportunities Fund GP, L.P.</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40" w:type="dxa"/>
            <w:vAlign w:val="bottom"/>
            <w:tcBorders>
              <w:right w:val="single" w:sz="8" w:color="auto"/>
            </w:tcBorders>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4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040" w:type="dxa"/>
            <w:vAlign w:val="bottom"/>
            <w:tcBorders>
              <w:bottom w:val="single" w:sz="8" w:color="auto"/>
            </w:tcBorders>
            <w:gridSpan w:val="2"/>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Cayman Islands</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2,300,000 (1)</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2,300,000 (1)</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7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2,300,000 (1)</w:t>
            </w: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4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4.95%</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3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Solely in its capacity as the general partner of Oaktree Value Opportunities Fund Holdings,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55933J203</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300"/>
              <w:spacing w:after="0"/>
              <w:rPr>
                <w:sz w:val="20"/>
                <w:szCs w:val="20"/>
                <w:color w:val="auto"/>
              </w:rPr>
            </w:pPr>
            <w:r>
              <w:rPr>
                <w:rFonts w:ascii="Arial" w:cs="Arial" w:eastAsia="Arial" w:hAnsi="Arial"/>
                <w:sz w:val="18"/>
                <w:szCs w:val="18"/>
                <w:color w:val="auto"/>
                <w:w w:val="88"/>
              </w:rPr>
              <w:t>Page 4 of 23</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Oaktree Value Opportunities Fund GP Ltd.</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40" w:type="dxa"/>
            <w:vAlign w:val="bottom"/>
            <w:tcBorders>
              <w:right w:val="single" w:sz="8" w:color="auto"/>
            </w:tcBorders>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4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040" w:type="dxa"/>
            <w:vAlign w:val="bottom"/>
            <w:tcBorders>
              <w:bottom w:val="single" w:sz="8" w:color="auto"/>
            </w:tcBorders>
            <w:gridSpan w:val="2"/>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Cayman Islands</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2,300,000 (1)</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2,300,000 (1)</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7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2,300,000 (1)</w:t>
            </w: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4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4.95%</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283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Solely in its capacity as the general partner of Oaktree Value Opportunities Fund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55933J203</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300"/>
              <w:spacing w:after="0"/>
              <w:rPr>
                <w:sz w:val="20"/>
                <w:szCs w:val="20"/>
                <w:color w:val="auto"/>
              </w:rPr>
            </w:pPr>
            <w:r>
              <w:rPr>
                <w:rFonts w:ascii="Arial" w:cs="Arial" w:eastAsia="Arial" w:hAnsi="Arial"/>
                <w:sz w:val="18"/>
                <w:szCs w:val="18"/>
                <w:color w:val="auto"/>
                <w:w w:val="88"/>
              </w:rPr>
              <w:t>Page 5 of 23</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Oaktree Fund GP I, L.P.</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40" w:type="dxa"/>
            <w:vAlign w:val="bottom"/>
            <w:tcBorders>
              <w:right w:val="single" w:sz="8" w:color="auto"/>
            </w:tcBorders>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4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040" w:type="dxa"/>
            <w:vAlign w:val="bottom"/>
            <w:tcBorders>
              <w:bottom w:val="single" w:sz="8" w:color="auto"/>
            </w:tcBorders>
            <w:gridSpan w:val="2"/>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2,300,000 (1)</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2,300,000 (1)</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7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2,300,000 (1)</w:t>
            </w: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4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4.95%</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3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Solely in its capacity as the sole shareholder of Oaktree Value Opportunities Fund 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55933J203</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300"/>
              <w:spacing w:after="0"/>
              <w:rPr>
                <w:sz w:val="20"/>
                <w:szCs w:val="20"/>
                <w:color w:val="auto"/>
              </w:rPr>
            </w:pPr>
            <w:r>
              <w:rPr>
                <w:rFonts w:ascii="Arial" w:cs="Arial" w:eastAsia="Arial" w:hAnsi="Arial"/>
                <w:sz w:val="18"/>
                <w:szCs w:val="18"/>
                <w:color w:val="auto"/>
                <w:w w:val="88"/>
              </w:rPr>
              <w:t>Page 6 of 23</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Oaktree Capital I, L.P.</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40" w:type="dxa"/>
            <w:vAlign w:val="bottom"/>
            <w:tcBorders>
              <w:right w:val="single" w:sz="8" w:color="auto"/>
            </w:tcBorders>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4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040" w:type="dxa"/>
            <w:vAlign w:val="bottom"/>
            <w:tcBorders>
              <w:bottom w:val="single" w:sz="8" w:color="auto"/>
            </w:tcBorders>
            <w:gridSpan w:val="2"/>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2,300,000 (1)</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2,300,000 (1)</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7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2,300,000 (1)</w:t>
            </w: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4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4.95%</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3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Solely in its capacity as the general partner of Oaktree Fund GP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w w:val="99"/>
              </w:rPr>
              <w:t>CUSIP No. 55933J203</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300"/>
              <w:spacing w:after="0"/>
              <w:rPr>
                <w:sz w:val="20"/>
                <w:szCs w:val="20"/>
                <w:color w:val="auto"/>
              </w:rPr>
            </w:pPr>
            <w:r>
              <w:rPr>
                <w:rFonts w:ascii="Arial" w:cs="Arial" w:eastAsia="Arial" w:hAnsi="Arial"/>
                <w:sz w:val="18"/>
                <w:szCs w:val="18"/>
                <w:color w:val="auto"/>
                <w:w w:val="88"/>
              </w:rPr>
              <w:t>Page 7 of 23</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OCM Holdings I, LLC</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40" w:type="dxa"/>
            <w:vAlign w:val="bottom"/>
            <w:tcBorders>
              <w:right w:val="single" w:sz="8" w:color="auto"/>
            </w:tcBorders>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4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040" w:type="dxa"/>
            <w:vAlign w:val="bottom"/>
            <w:tcBorders>
              <w:bottom w:val="single" w:sz="8" w:color="auto"/>
            </w:tcBorders>
            <w:gridSpan w:val="2"/>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2,300,000 (1)</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2,300,000 (1)</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7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2,300,000 (1)</w:t>
            </w: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4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4.95%</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283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80" w:hanging="57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Solely in its capacity as the general partner of Oaktree Capital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w w:val="99"/>
              </w:rPr>
              <w:t>CUSIP No. 55933J203</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300"/>
              <w:spacing w:after="0"/>
              <w:rPr>
                <w:sz w:val="20"/>
                <w:szCs w:val="20"/>
                <w:color w:val="auto"/>
              </w:rPr>
            </w:pPr>
            <w:r>
              <w:rPr>
                <w:rFonts w:ascii="Arial" w:cs="Arial" w:eastAsia="Arial" w:hAnsi="Arial"/>
                <w:sz w:val="18"/>
                <w:szCs w:val="18"/>
                <w:color w:val="auto"/>
                <w:w w:val="88"/>
              </w:rPr>
              <w:t>Page 8 of 23</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Oaktree Holdings, LLC</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40" w:type="dxa"/>
            <w:vAlign w:val="bottom"/>
            <w:tcBorders>
              <w:right w:val="single" w:sz="8" w:color="auto"/>
            </w:tcBorders>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4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040" w:type="dxa"/>
            <w:vAlign w:val="bottom"/>
            <w:tcBorders>
              <w:bottom w:val="single" w:sz="8" w:color="auto"/>
            </w:tcBorders>
            <w:gridSpan w:val="2"/>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2,300,000 (1)</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2,300,000 (1)</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7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2,300,000 (1)</w:t>
            </w: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4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4.95%</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283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80" w:hanging="572"/>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Solely in its capacity as the general partner of OCM Holdings 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55933J203</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300"/>
              <w:spacing w:after="0"/>
              <w:rPr>
                <w:sz w:val="20"/>
                <w:szCs w:val="20"/>
                <w:color w:val="auto"/>
              </w:rPr>
            </w:pPr>
            <w:r>
              <w:rPr>
                <w:rFonts w:ascii="Arial" w:cs="Arial" w:eastAsia="Arial" w:hAnsi="Arial"/>
                <w:sz w:val="18"/>
                <w:szCs w:val="18"/>
                <w:color w:val="auto"/>
                <w:w w:val="88"/>
              </w:rPr>
              <w:t>Page 9 of 23</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Oaktree Capital Management, L.P.</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40" w:type="dxa"/>
            <w:vAlign w:val="bottom"/>
            <w:tcBorders>
              <w:right w:val="single" w:sz="8" w:color="auto"/>
            </w:tcBorders>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4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040" w:type="dxa"/>
            <w:vAlign w:val="bottom"/>
            <w:tcBorders>
              <w:bottom w:val="single" w:sz="8" w:color="auto"/>
            </w:tcBorders>
            <w:gridSpan w:val="2"/>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2,300,000 (1)</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2,300,000 (1)</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7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2,300,000 (1)</w:t>
            </w: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4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4.95%</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3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80" w:hanging="572"/>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Solely in its capacity as the sole director of Oaktree Value Opportunities Fund 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55933J203</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w w:val="87"/>
              </w:rPr>
              <w:t>Page 10 of 23</w:t>
            </w:r>
          </w:p>
        </w:tc>
        <w:tc>
          <w:tcPr>
            <w:tcW w:w="0" w:type="dxa"/>
            <w:vAlign w:val="bottom"/>
          </w:tcPr>
          <w:p>
            <w:pPr>
              <w:spacing w:after="0"/>
              <w:rPr>
                <w:sz w:val="1"/>
                <w:szCs w:val="1"/>
                <w:color w:val="auto"/>
              </w:rPr>
            </w:pPr>
          </w:p>
        </w:tc>
      </w:tr>
      <w:tr>
        <w:trPr>
          <w:trHeight w:val="223"/>
        </w:trPr>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040" w:type="dxa"/>
            <w:vAlign w:val="bottom"/>
            <w:tcBorders>
              <w:bottom w:val="single" w:sz="8" w:color="auto"/>
            </w:tcBorders>
            <w:gridSpan w:val="2"/>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Oaktree Capital Management GP, LLC</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40" w:type="dxa"/>
            <w:vAlign w:val="bottom"/>
            <w:tcBorders>
              <w:right w:val="single" w:sz="8" w:color="auto"/>
            </w:tcBorders>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4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040" w:type="dxa"/>
            <w:vAlign w:val="bottom"/>
            <w:tcBorders>
              <w:bottom w:val="single" w:sz="8" w:color="auto"/>
            </w:tcBorders>
            <w:gridSpan w:val="2"/>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2,300,000 (1)</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2,300,000 (1)</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7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2,300,000 (1)</w:t>
            </w: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4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4.95%</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3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80" w:hanging="57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Solely in its capacity as the general partner of Oaktree Capital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55933J203</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w w:val="87"/>
              </w:rPr>
              <w:t>Page 11 of 23</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Atlas OCM Holdings LLC</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40" w:type="dxa"/>
            <w:vAlign w:val="bottom"/>
            <w:tcBorders>
              <w:right w:val="single" w:sz="8" w:color="auto"/>
            </w:tcBorders>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4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040" w:type="dxa"/>
            <w:vAlign w:val="bottom"/>
            <w:tcBorders>
              <w:bottom w:val="single" w:sz="8" w:color="auto"/>
            </w:tcBorders>
            <w:gridSpan w:val="2"/>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2,300,000 (1)</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2,300,000 (1)</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7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2,300,000 (1)</w:t>
            </w: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4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4.95%</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283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Solely in its capacity as the sole managing member of Oaktree Capital Management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55933J203</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w w:val="87"/>
              </w:rPr>
              <w:t>Page 12 of 23</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Oaktree Capital Group, LLC</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40" w:type="dxa"/>
            <w:vAlign w:val="bottom"/>
            <w:tcBorders>
              <w:right w:val="single" w:sz="8" w:color="auto"/>
            </w:tcBorders>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4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040" w:type="dxa"/>
            <w:vAlign w:val="bottom"/>
            <w:tcBorders>
              <w:bottom w:val="single" w:sz="8" w:color="auto"/>
            </w:tcBorders>
            <w:gridSpan w:val="2"/>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2,300,000 (1)</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2,300,000 (1)</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7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2,300,000 (1)</w:t>
            </w: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4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4.95%</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283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Solely in its capacity as the managing member of Oaktree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55933J203</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w w:val="87"/>
              </w:rPr>
              <w:t>Page 13 of 23</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Oaktree Capital Group Holdings GP, LLC</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40" w:type="dxa"/>
            <w:vAlign w:val="bottom"/>
            <w:tcBorders>
              <w:right w:val="single" w:sz="8" w:color="auto"/>
            </w:tcBorders>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4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040" w:type="dxa"/>
            <w:vAlign w:val="bottom"/>
            <w:tcBorders>
              <w:bottom w:val="single" w:sz="8" w:color="auto"/>
            </w:tcBorders>
            <w:gridSpan w:val="2"/>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2,300,000 (1)</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2,300,000 (1)</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7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2,300,000 (1)</w:t>
            </w: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4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4.95%</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2834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80" w:hanging="572"/>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Solely in its capacity as the indirect owner of the class B units of each of Oaktree Capital Group, LLC and Atlas OCM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55933J203</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w w:val="87"/>
              </w:rPr>
              <w:t>Page 14 of 23</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Brookfield Asset Management Inc.</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40" w:type="dxa"/>
            <w:vAlign w:val="bottom"/>
            <w:tcBorders>
              <w:right w:val="single" w:sz="8" w:color="auto"/>
            </w:tcBorders>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4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040" w:type="dxa"/>
            <w:vAlign w:val="bottom"/>
            <w:tcBorders>
              <w:bottom w:val="single" w:sz="8" w:color="auto"/>
            </w:tcBorders>
            <w:gridSpan w:val="2"/>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Ontario, Canada</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2,300,000 (1)</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2,300,000 (1)</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7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2,300,000 (1)</w:t>
            </w: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4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4.95%</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HC</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2834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80" w:hanging="572"/>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Solely in its capacity as the indirect owner of the class A units of each of Oaktree Capital Group, LLC and Atlas OCM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14" w:name="page15"/>
    <w:bookmarkEnd w:id="14"/>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55933J203</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w w:val="87"/>
              </w:rPr>
              <w:t>Page 15 of 23</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BAM Partners Trust</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40" w:type="dxa"/>
            <w:vAlign w:val="bottom"/>
            <w:tcBorders>
              <w:right w:val="single" w:sz="8" w:color="auto"/>
            </w:tcBorders>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4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040" w:type="dxa"/>
            <w:vAlign w:val="bottom"/>
            <w:tcBorders>
              <w:bottom w:val="single" w:sz="8" w:color="auto"/>
            </w:tcBorders>
            <w:gridSpan w:val="2"/>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Ontario, Canada</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2,300,000 (1)</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2,300,000 (1)</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7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2,300,000 (1)</w:t>
            </w: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4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4.95%</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HC</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283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80" w:hanging="572"/>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Solely in its capacity as the sole owner of Class B Limited Voting Shares of Brookfield Asset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15" w:name="page16"/>
    <w:bookmarkEnd w:id="15"/>
    <w:tbl>
      <w:tblPr>
        <w:tblLayout w:type="fixed"/>
        <w:tblInd w:w="10" w:type="dxa"/>
        <w:tblCellMar>
          <w:top w:w="0" w:type="dxa"/>
          <w:left w:w="0" w:type="dxa"/>
          <w:bottom w:w="0" w:type="dxa"/>
          <w:right w:w="0" w:type="dxa"/>
        </w:tblCellMar>
      </w:tblPr>
      <w:tr>
        <w:trPr>
          <w:trHeight w:val="250"/>
        </w:trPr>
        <w:tc>
          <w:tcPr>
            <w:tcW w:w="2280" w:type="dxa"/>
            <w:vAlign w:val="bottom"/>
            <w:tcBorders>
              <w:top w:val="single" w:sz="8" w:color="auto"/>
              <w:left w:val="single" w:sz="8" w:color="auto"/>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CUSIP No. 55933J203</w:t>
            </w:r>
          </w:p>
        </w:tc>
        <w:tc>
          <w:tcPr>
            <w:tcW w:w="1660" w:type="dxa"/>
            <w:vAlign w:val="bottom"/>
          </w:tcPr>
          <w:p>
            <w:pPr>
              <w:spacing w:after="0"/>
              <w:rPr>
                <w:sz w:val="21"/>
                <w:szCs w:val="21"/>
                <w:color w:val="auto"/>
              </w:rPr>
            </w:pPr>
          </w:p>
        </w:tc>
        <w:tc>
          <w:tcPr>
            <w:tcW w:w="5060" w:type="dxa"/>
            <w:vAlign w:val="bottom"/>
            <w:tcBorders>
              <w:right w:val="single" w:sz="8" w:color="auto"/>
            </w:tcBorders>
          </w:tcPr>
          <w:p>
            <w:pPr>
              <w:ind w:left="100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w w:val="87"/>
              </w:rPr>
              <w:t>Page 16 of 23</w:t>
            </w:r>
          </w:p>
        </w:tc>
      </w:tr>
      <w:tr>
        <w:trPr>
          <w:trHeight w:val="540"/>
        </w:trPr>
        <w:tc>
          <w:tcPr>
            <w:tcW w:w="9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3040" w:type="dxa"/>
            <w:vAlign w:val="bottom"/>
            <w:gridSpan w:val="2"/>
          </w:tcPr>
          <w:p>
            <w:pPr>
              <w:ind w:left="240"/>
              <w:spacing w:after="0"/>
              <w:rPr>
                <w:sz w:val="20"/>
                <w:szCs w:val="20"/>
                <w:color w:val="auto"/>
              </w:rPr>
            </w:pPr>
            <w:r>
              <w:rPr>
                <w:rFonts w:ascii="Arial" w:cs="Arial" w:eastAsia="Arial" w:hAnsi="Arial"/>
                <w:sz w:val="18"/>
                <w:szCs w:val="18"/>
                <w:b w:val="1"/>
                <w:bCs w:val="1"/>
                <w:color w:val="auto"/>
                <w:w w:val="90"/>
              </w:rPr>
              <w:t>(a)Name of Issuer:</w:t>
            </w:r>
          </w:p>
        </w:tc>
        <w:tc>
          <w:tcPr>
            <w:tcW w:w="5060" w:type="dxa"/>
            <w:vAlign w:val="bottom"/>
          </w:tcPr>
          <w:p>
            <w:pPr>
              <w:spacing w:after="0"/>
              <w:rPr>
                <w:sz w:val="24"/>
                <w:szCs w:val="24"/>
                <w:color w:val="auto"/>
              </w:rPr>
            </w:pPr>
          </w:p>
        </w:tc>
        <w:tc>
          <w:tcPr>
            <w:tcW w:w="2240" w:type="dxa"/>
            <w:vAlign w:val="bottom"/>
          </w:tcPr>
          <w:p>
            <w:pPr>
              <w:spacing w:after="0"/>
              <w:rPr>
                <w:sz w:val="24"/>
                <w:szCs w:val="24"/>
                <w:color w:val="auto"/>
              </w:rPr>
            </w:pPr>
          </w:p>
        </w:tc>
      </w:tr>
    </w:tbl>
    <w:p>
      <w:pPr>
        <w:spacing w:after="0" w:line="134"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The name of the issuer is MagnaChip Semiconductor Corporation (the “</w:t>
      </w:r>
      <w:r>
        <w:rPr>
          <w:rFonts w:ascii="Arial" w:cs="Arial" w:eastAsia="Arial" w:hAnsi="Arial"/>
          <w:sz w:val="18"/>
          <w:szCs w:val="18"/>
          <w:b w:val="1"/>
          <w:bCs w:val="1"/>
          <w:i w:val="1"/>
          <w:iCs w:val="1"/>
          <w:color w:val="auto"/>
        </w:rPr>
        <w:t>Issuer</w:t>
      </w:r>
      <w:r>
        <w:rPr>
          <w:rFonts w:ascii="Arial" w:cs="Arial" w:eastAsia="Arial" w:hAnsi="Arial"/>
          <w:sz w:val="18"/>
          <w:szCs w:val="18"/>
          <w:color w:val="auto"/>
        </w:rPr>
        <w:t>”).</w:t>
      </w:r>
    </w:p>
    <w:p>
      <w:pPr>
        <w:spacing w:after="0" w:line="154" w:lineRule="exact"/>
        <w:rPr>
          <w:sz w:val="20"/>
          <w:szCs w:val="20"/>
          <w:color w:val="auto"/>
        </w:rPr>
      </w:pPr>
    </w:p>
    <w:p>
      <w:pPr>
        <w:ind w:left="1700" w:hanging="558"/>
        <w:spacing w:after="0"/>
        <w:tabs>
          <w:tab w:leader="none" w:pos="17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Issuer’s Principal Executive Offices:</w:t>
      </w:r>
    </w:p>
    <w:p>
      <w:pPr>
        <w:spacing w:after="0" w:line="162" w:lineRule="exact"/>
        <w:rPr>
          <w:sz w:val="20"/>
          <w:szCs w:val="20"/>
          <w:color w:val="auto"/>
        </w:rPr>
      </w:pPr>
    </w:p>
    <w:p>
      <w:pPr>
        <w:ind w:left="1700" w:right="60"/>
        <w:spacing w:after="0" w:line="277" w:lineRule="auto"/>
        <w:rPr>
          <w:sz w:val="20"/>
          <w:szCs w:val="20"/>
          <w:color w:val="auto"/>
        </w:rPr>
      </w:pPr>
      <w:r>
        <w:rPr>
          <w:rFonts w:ascii="Arial" w:cs="Arial" w:eastAsia="Arial" w:hAnsi="Arial"/>
          <w:sz w:val="18"/>
          <w:szCs w:val="18"/>
          <w:color w:val="auto"/>
        </w:rPr>
        <w:t>The Issuer’s principal executive offices are located at c/o MagnaChip Semiconductor S.A., 1, Allée Scheffer, L-2520, Luxembourg, Grand Duchy of Luxembourg.</w:t>
      </w:r>
    </w:p>
    <w:p>
      <w:pPr>
        <w:spacing w:after="0" w:line="9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(a)-(c) Name of Person Filing; Address of Principal Business Office; and Citizenship</w:t>
      </w:r>
    </w:p>
    <w:p>
      <w:pPr>
        <w:spacing w:after="0" w:line="162" w:lineRule="exact"/>
        <w:rPr>
          <w:sz w:val="20"/>
          <w:szCs w:val="20"/>
          <w:color w:val="auto"/>
        </w:rPr>
      </w:pPr>
    </w:p>
    <w:p>
      <w:pPr>
        <w:ind w:left="1140" w:right="600"/>
        <w:spacing w:after="0" w:line="277" w:lineRule="auto"/>
        <w:rPr>
          <w:sz w:val="20"/>
          <w:szCs w:val="20"/>
          <w:color w:val="auto"/>
        </w:rPr>
      </w:pPr>
      <w:r>
        <w:rPr>
          <w:rFonts w:ascii="Arial" w:cs="Arial" w:eastAsia="Arial" w:hAnsi="Arial"/>
          <w:sz w:val="18"/>
          <w:szCs w:val="18"/>
          <w:color w:val="auto"/>
        </w:rPr>
        <w:t>This Schedule 13G is filed jointly by each of the following persons (collectively, the “</w:t>
      </w:r>
      <w:r>
        <w:rPr>
          <w:rFonts w:ascii="Arial" w:cs="Arial" w:eastAsia="Arial" w:hAnsi="Arial"/>
          <w:sz w:val="18"/>
          <w:szCs w:val="18"/>
          <w:b w:val="1"/>
          <w:bCs w:val="1"/>
          <w:i w:val="1"/>
          <w:iCs w:val="1"/>
          <w:color w:val="auto"/>
        </w:rPr>
        <w:t>Reporting Persons</w:t>
      </w:r>
      <w:r>
        <w:rPr>
          <w:rFonts w:ascii="Arial" w:cs="Arial" w:eastAsia="Arial" w:hAnsi="Arial"/>
          <w:sz w:val="18"/>
          <w:szCs w:val="18"/>
          <w:color w:val="auto"/>
        </w:rPr>
        <w:t>”) pursuant to a joint filing agreement attached hereto as Exhibit 1:</w:t>
      </w:r>
    </w:p>
    <w:p>
      <w:pPr>
        <w:spacing w:after="0" w:line="103" w:lineRule="exact"/>
        <w:rPr>
          <w:sz w:val="20"/>
          <w:szCs w:val="20"/>
          <w:color w:val="auto"/>
        </w:rPr>
      </w:pPr>
    </w:p>
    <w:p>
      <w:pPr>
        <w:ind w:left="1700" w:right="260" w:hanging="558"/>
        <w:spacing w:after="0" w:line="277" w:lineRule="auto"/>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Oaktree Value Opportunities Fund Holdings, L.P., a Delaware limited partnership (“</w:t>
      </w:r>
      <w:r>
        <w:rPr>
          <w:rFonts w:ascii="Arial" w:cs="Arial" w:eastAsia="Arial" w:hAnsi="Arial"/>
          <w:sz w:val="18"/>
          <w:szCs w:val="18"/>
          <w:b w:val="1"/>
          <w:bCs w:val="1"/>
          <w:i w:val="1"/>
          <w:iCs w:val="1"/>
          <w:color w:val="auto"/>
        </w:rPr>
        <w:t>VOF Holdings</w:t>
      </w:r>
      <w:r>
        <w:rPr>
          <w:rFonts w:ascii="Arial" w:cs="Arial" w:eastAsia="Arial" w:hAnsi="Arial"/>
          <w:sz w:val="18"/>
          <w:szCs w:val="18"/>
          <w:color w:val="auto"/>
        </w:rPr>
        <w:t>”), in its capacity as the direct owner of 2,300,000 shares of Common Stock;</w:t>
      </w:r>
    </w:p>
    <w:p>
      <w:pPr>
        <w:spacing w:after="0" w:line="102" w:lineRule="exact"/>
        <w:rPr>
          <w:rFonts w:ascii="Arial" w:cs="Arial" w:eastAsia="Arial" w:hAnsi="Arial"/>
          <w:sz w:val="18"/>
          <w:szCs w:val="18"/>
          <w:color w:val="auto"/>
        </w:rPr>
      </w:pPr>
    </w:p>
    <w:p>
      <w:pPr>
        <w:ind w:left="1700" w:right="20" w:hanging="558"/>
        <w:spacing w:after="0" w:line="277" w:lineRule="auto"/>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Oaktree Value Opportunities Fund GP, L.P., a Cayman Islands limited partnership (“</w:t>
      </w:r>
      <w:r>
        <w:rPr>
          <w:rFonts w:ascii="Arial" w:cs="Arial" w:eastAsia="Arial" w:hAnsi="Arial"/>
          <w:sz w:val="18"/>
          <w:szCs w:val="18"/>
          <w:b w:val="1"/>
          <w:bCs w:val="1"/>
          <w:i w:val="1"/>
          <w:iCs w:val="1"/>
          <w:color w:val="auto"/>
        </w:rPr>
        <w:t>VOF GP</w:t>
      </w:r>
      <w:r>
        <w:rPr>
          <w:rFonts w:ascii="Arial" w:cs="Arial" w:eastAsia="Arial" w:hAnsi="Arial"/>
          <w:sz w:val="18"/>
          <w:szCs w:val="18"/>
          <w:color w:val="auto"/>
        </w:rPr>
        <w:t>”), in its capacity as the general partner of VOF Holdings;</w:t>
      </w:r>
    </w:p>
    <w:p>
      <w:pPr>
        <w:spacing w:after="0" w:line="102" w:lineRule="exact"/>
        <w:rPr>
          <w:rFonts w:ascii="Arial" w:cs="Arial" w:eastAsia="Arial" w:hAnsi="Arial"/>
          <w:sz w:val="18"/>
          <w:szCs w:val="18"/>
          <w:color w:val="auto"/>
        </w:rPr>
      </w:pPr>
    </w:p>
    <w:p>
      <w:pPr>
        <w:ind w:left="1700" w:right="200" w:hanging="558"/>
        <w:spacing w:after="0" w:line="277" w:lineRule="auto"/>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Oaktree Value Opportunities Fund GP Ltd., a Cayman Islands exempted company (“</w:t>
      </w:r>
      <w:r>
        <w:rPr>
          <w:rFonts w:ascii="Arial" w:cs="Arial" w:eastAsia="Arial" w:hAnsi="Arial"/>
          <w:sz w:val="18"/>
          <w:szCs w:val="18"/>
          <w:b w:val="1"/>
          <w:bCs w:val="1"/>
          <w:i w:val="1"/>
          <w:iCs w:val="1"/>
          <w:color w:val="auto"/>
        </w:rPr>
        <w:t>VOF GP Ltd.</w:t>
      </w:r>
      <w:r>
        <w:rPr>
          <w:rFonts w:ascii="Arial" w:cs="Arial" w:eastAsia="Arial" w:hAnsi="Arial"/>
          <w:sz w:val="18"/>
          <w:szCs w:val="18"/>
          <w:color w:val="auto"/>
        </w:rPr>
        <w:t>”), in its capacity as the general partner of VOF GP;</w:t>
      </w:r>
    </w:p>
    <w:p>
      <w:pPr>
        <w:spacing w:after="0" w:line="102" w:lineRule="exact"/>
        <w:rPr>
          <w:rFonts w:ascii="Arial" w:cs="Arial" w:eastAsia="Arial" w:hAnsi="Arial"/>
          <w:sz w:val="18"/>
          <w:szCs w:val="18"/>
          <w:color w:val="auto"/>
        </w:rPr>
      </w:pPr>
    </w:p>
    <w:p>
      <w:pPr>
        <w:ind w:left="1700" w:hanging="558"/>
        <w:spacing w:after="0"/>
        <w:tabs>
          <w:tab w:leader="none" w:pos="1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Oaktree Fund GP I, L.P., a Delaware limited partnership (“</w:t>
      </w:r>
      <w:r>
        <w:rPr>
          <w:rFonts w:ascii="Arial" w:cs="Arial" w:eastAsia="Arial" w:hAnsi="Arial"/>
          <w:sz w:val="17"/>
          <w:szCs w:val="17"/>
          <w:b w:val="1"/>
          <w:bCs w:val="1"/>
          <w:i w:val="1"/>
          <w:iCs w:val="1"/>
          <w:color w:val="auto"/>
        </w:rPr>
        <w:t>GP I</w:t>
      </w:r>
      <w:r>
        <w:rPr>
          <w:rFonts w:ascii="Arial" w:cs="Arial" w:eastAsia="Arial" w:hAnsi="Arial"/>
          <w:sz w:val="17"/>
          <w:szCs w:val="17"/>
          <w:color w:val="auto"/>
        </w:rPr>
        <w:t>”), in its capacity as the sole shareholder of VOF GP Ltd.;</w:t>
      </w:r>
    </w:p>
    <w:p>
      <w:pPr>
        <w:spacing w:after="0" w:line="169" w:lineRule="exact"/>
        <w:rPr>
          <w:rFonts w:ascii="Arial" w:cs="Arial" w:eastAsia="Arial" w:hAnsi="Arial"/>
          <w:sz w:val="17"/>
          <w:szCs w:val="17"/>
          <w:color w:val="auto"/>
        </w:rPr>
      </w:pPr>
    </w:p>
    <w:p>
      <w:pPr>
        <w:ind w:left="1700" w:hanging="558"/>
        <w:spacing w:after="0"/>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Oaktree Capital I, L.P., a Delaware limited partnership (“</w:t>
      </w:r>
      <w:r>
        <w:rPr>
          <w:rFonts w:ascii="Arial" w:cs="Arial" w:eastAsia="Arial" w:hAnsi="Arial"/>
          <w:sz w:val="18"/>
          <w:szCs w:val="18"/>
          <w:b w:val="1"/>
          <w:bCs w:val="1"/>
          <w:i w:val="1"/>
          <w:iCs w:val="1"/>
          <w:color w:val="auto"/>
        </w:rPr>
        <w:t>Capital I</w:t>
      </w:r>
      <w:r>
        <w:rPr>
          <w:rFonts w:ascii="Arial" w:cs="Arial" w:eastAsia="Arial" w:hAnsi="Arial"/>
          <w:sz w:val="18"/>
          <w:szCs w:val="18"/>
          <w:color w:val="auto"/>
        </w:rPr>
        <w:t>”), in its capacity as the general partner of GP I;</w:t>
      </w:r>
    </w:p>
    <w:p>
      <w:pPr>
        <w:spacing w:after="0" w:line="157" w:lineRule="exact"/>
        <w:rPr>
          <w:rFonts w:ascii="Arial" w:cs="Arial" w:eastAsia="Arial" w:hAnsi="Arial"/>
          <w:sz w:val="18"/>
          <w:szCs w:val="18"/>
          <w:color w:val="auto"/>
        </w:rPr>
      </w:pPr>
    </w:p>
    <w:p>
      <w:pPr>
        <w:ind w:left="1700" w:hanging="558"/>
        <w:spacing w:after="0"/>
        <w:tabs>
          <w:tab w:leader="none" w:pos="1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OCM Holdings I, LLC, a Delaware limited liability company (“</w:t>
      </w:r>
      <w:r>
        <w:rPr>
          <w:rFonts w:ascii="Arial" w:cs="Arial" w:eastAsia="Arial" w:hAnsi="Arial"/>
          <w:sz w:val="17"/>
          <w:szCs w:val="17"/>
          <w:b w:val="1"/>
          <w:bCs w:val="1"/>
          <w:i w:val="1"/>
          <w:iCs w:val="1"/>
          <w:color w:val="auto"/>
        </w:rPr>
        <w:t>Holdings I</w:t>
      </w:r>
      <w:r>
        <w:rPr>
          <w:rFonts w:ascii="Arial" w:cs="Arial" w:eastAsia="Arial" w:hAnsi="Arial"/>
          <w:sz w:val="17"/>
          <w:szCs w:val="17"/>
          <w:color w:val="auto"/>
        </w:rPr>
        <w:t>”), in its capacity as the general partner of Capital I;</w:t>
      </w:r>
    </w:p>
    <w:p>
      <w:pPr>
        <w:spacing w:after="0" w:line="169" w:lineRule="exact"/>
        <w:rPr>
          <w:rFonts w:ascii="Arial" w:cs="Arial" w:eastAsia="Arial" w:hAnsi="Arial"/>
          <w:sz w:val="17"/>
          <w:szCs w:val="17"/>
          <w:color w:val="auto"/>
        </w:rPr>
      </w:pPr>
    </w:p>
    <w:p>
      <w:pPr>
        <w:ind w:left="1700" w:hanging="558"/>
        <w:spacing w:after="0"/>
        <w:tabs>
          <w:tab w:leader="none" w:pos="17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Oaktree Holdings, LLC, a Delaware limited liability company (“</w:t>
      </w:r>
      <w:r>
        <w:rPr>
          <w:rFonts w:ascii="Arial" w:cs="Arial" w:eastAsia="Arial" w:hAnsi="Arial"/>
          <w:sz w:val="16"/>
          <w:szCs w:val="16"/>
          <w:b w:val="1"/>
          <w:bCs w:val="1"/>
          <w:i w:val="1"/>
          <w:iCs w:val="1"/>
          <w:color w:val="auto"/>
        </w:rPr>
        <w:t>Holdings</w:t>
      </w:r>
      <w:r>
        <w:rPr>
          <w:rFonts w:ascii="Arial" w:cs="Arial" w:eastAsia="Arial" w:hAnsi="Arial"/>
          <w:sz w:val="16"/>
          <w:szCs w:val="16"/>
          <w:color w:val="auto"/>
        </w:rPr>
        <w:t>”) in its capacity as the managing member of Holdings I;</w:t>
      </w:r>
    </w:p>
    <w:p>
      <w:pPr>
        <w:spacing w:after="0" w:line="180" w:lineRule="exact"/>
        <w:rPr>
          <w:rFonts w:ascii="Arial" w:cs="Arial" w:eastAsia="Arial" w:hAnsi="Arial"/>
          <w:sz w:val="16"/>
          <w:szCs w:val="16"/>
          <w:color w:val="auto"/>
        </w:rPr>
      </w:pPr>
    </w:p>
    <w:p>
      <w:pPr>
        <w:ind w:left="1700" w:right="80" w:hanging="558"/>
        <w:spacing w:after="0" w:line="277" w:lineRule="auto"/>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Oaktree Capital Management, L.P., a Delaware limited partnership (“</w:t>
      </w:r>
      <w:r>
        <w:rPr>
          <w:rFonts w:ascii="Arial" w:cs="Arial" w:eastAsia="Arial" w:hAnsi="Arial"/>
          <w:sz w:val="18"/>
          <w:szCs w:val="18"/>
          <w:b w:val="1"/>
          <w:bCs w:val="1"/>
          <w:i w:val="1"/>
          <w:iCs w:val="1"/>
          <w:color w:val="auto"/>
        </w:rPr>
        <w:t>Management</w:t>
      </w:r>
      <w:r>
        <w:rPr>
          <w:rFonts w:ascii="Arial" w:cs="Arial" w:eastAsia="Arial" w:hAnsi="Arial"/>
          <w:sz w:val="18"/>
          <w:szCs w:val="18"/>
          <w:color w:val="auto"/>
        </w:rPr>
        <w:t>”), in its capacity as the sole director of VOF GP Ltd.;</w:t>
      </w:r>
    </w:p>
    <w:p>
      <w:pPr>
        <w:spacing w:after="0" w:line="102" w:lineRule="exact"/>
        <w:rPr>
          <w:rFonts w:ascii="Arial" w:cs="Arial" w:eastAsia="Arial" w:hAnsi="Arial"/>
          <w:sz w:val="18"/>
          <w:szCs w:val="18"/>
          <w:color w:val="auto"/>
        </w:rPr>
      </w:pPr>
    </w:p>
    <w:p>
      <w:pPr>
        <w:ind w:left="1700" w:right="260" w:hanging="558"/>
        <w:spacing w:after="0" w:line="277" w:lineRule="auto"/>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Oaktree Capital Management GP, LLC, a Delaware limited liability company (“</w:t>
      </w:r>
      <w:r>
        <w:rPr>
          <w:rFonts w:ascii="Arial" w:cs="Arial" w:eastAsia="Arial" w:hAnsi="Arial"/>
          <w:sz w:val="18"/>
          <w:szCs w:val="18"/>
          <w:b w:val="1"/>
          <w:bCs w:val="1"/>
          <w:i w:val="1"/>
          <w:iCs w:val="1"/>
          <w:color w:val="auto"/>
        </w:rPr>
        <w:t>Management GP</w:t>
      </w:r>
      <w:r>
        <w:rPr>
          <w:rFonts w:ascii="Arial" w:cs="Arial" w:eastAsia="Arial" w:hAnsi="Arial"/>
          <w:sz w:val="18"/>
          <w:szCs w:val="18"/>
          <w:color w:val="auto"/>
        </w:rPr>
        <w:t>”), in its capacity as the general partner of Management;</w:t>
      </w:r>
    </w:p>
    <w:p>
      <w:pPr>
        <w:spacing w:after="0" w:line="102" w:lineRule="exact"/>
        <w:rPr>
          <w:rFonts w:ascii="Arial" w:cs="Arial" w:eastAsia="Arial" w:hAnsi="Arial"/>
          <w:sz w:val="18"/>
          <w:szCs w:val="18"/>
          <w:color w:val="auto"/>
        </w:rPr>
      </w:pPr>
    </w:p>
    <w:p>
      <w:pPr>
        <w:ind w:left="1700" w:right="680" w:hanging="558"/>
        <w:spacing w:after="0" w:line="277" w:lineRule="auto"/>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Atlas OCM Holdings LLC, a Delaware limited liability company (“</w:t>
      </w:r>
      <w:r>
        <w:rPr>
          <w:rFonts w:ascii="Arial" w:cs="Arial" w:eastAsia="Arial" w:hAnsi="Arial"/>
          <w:sz w:val="18"/>
          <w:szCs w:val="18"/>
          <w:b w:val="1"/>
          <w:bCs w:val="1"/>
          <w:i w:val="1"/>
          <w:iCs w:val="1"/>
          <w:color w:val="auto"/>
        </w:rPr>
        <w:t>Atlas</w:t>
      </w:r>
      <w:r>
        <w:rPr>
          <w:rFonts w:ascii="Arial" w:cs="Arial" w:eastAsia="Arial" w:hAnsi="Arial"/>
          <w:sz w:val="18"/>
          <w:szCs w:val="18"/>
          <w:color w:val="auto"/>
        </w:rPr>
        <w:t>”), in its capacity as the sole managing member of Management GP;</w:t>
      </w:r>
    </w:p>
    <w:p>
      <w:pPr>
        <w:spacing w:after="0" w:line="102" w:lineRule="exact"/>
        <w:rPr>
          <w:rFonts w:ascii="Arial" w:cs="Arial" w:eastAsia="Arial" w:hAnsi="Arial"/>
          <w:sz w:val="18"/>
          <w:szCs w:val="18"/>
          <w:color w:val="auto"/>
        </w:rPr>
      </w:pPr>
    </w:p>
    <w:p>
      <w:pPr>
        <w:ind w:left="1700" w:hanging="558"/>
        <w:spacing w:after="0"/>
        <w:tabs>
          <w:tab w:leader="none" w:pos="17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Oaktree Capital Group, LLC, a Delaware limited liability company (“</w:t>
      </w:r>
      <w:r>
        <w:rPr>
          <w:rFonts w:ascii="Arial" w:cs="Arial" w:eastAsia="Arial" w:hAnsi="Arial"/>
          <w:sz w:val="16"/>
          <w:szCs w:val="16"/>
          <w:b w:val="1"/>
          <w:bCs w:val="1"/>
          <w:i w:val="1"/>
          <w:iCs w:val="1"/>
          <w:color w:val="auto"/>
        </w:rPr>
        <w:t>OCG</w:t>
      </w:r>
      <w:r>
        <w:rPr>
          <w:rFonts w:ascii="Arial" w:cs="Arial" w:eastAsia="Arial" w:hAnsi="Arial"/>
          <w:sz w:val="16"/>
          <w:szCs w:val="16"/>
          <w:color w:val="auto"/>
        </w:rPr>
        <w:t>”), in its capacity as the managing member of Holdings.;</w:t>
      </w:r>
    </w:p>
    <w:p>
      <w:pPr>
        <w:spacing w:after="0" w:line="180" w:lineRule="exact"/>
        <w:rPr>
          <w:rFonts w:ascii="Arial" w:cs="Arial" w:eastAsia="Arial" w:hAnsi="Arial"/>
          <w:sz w:val="16"/>
          <w:szCs w:val="16"/>
          <w:color w:val="auto"/>
        </w:rPr>
      </w:pPr>
    </w:p>
    <w:p>
      <w:pPr>
        <w:ind w:left="1700" w:right="480" w:hanging="558"/>
        <w:spacing w:after="0" w:line="277" w:lineRule="auto"/>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Oaktree Capital Group Holdings GP, LLC, a Delaware limited liability company (“</w:t>
      </w:r>
      <w:r>
        <w:rPr>
          <w:rFonts w:ascii="Arial" w:cs="Arial" w:eastAsia="Arial" w:hAnsi="Arial"/>
          <w:sz w:val="18"/>
          <w:szCs w:val="18"/>
          <w:b w:val="1"/>
          <w:bCs w:val="1"/>
          <w:i w:val="1"/>
          <w:iCs w:val="1"/>
          <w:color w:val="auto"/>
        </w:rPr>
        <w:t>OCGH GP</w:t>
      </w:r>
      <w:r>
        <w:rPr>
          <w:rFonts w:ascii="Arial" w:cs="Arial" w:eastAsia="Arial" w:hAnsi="Arial"/>
          <w:sz w:val="18"/>
          <w:szCs w:val="18"/>
          <w:color w:val="auto"/>
        </w:rPr>
        <w:t>”), in its capacity as the indirect owner of the class B units of each of OCG and Atlas;</w:t>
      </w:r>
    </w:p>
    <w:p>
      <w:pPr>
        <w:spacing w:after="0" w:line="102" w:lineRule="exact"/>
        <w:rPr>
          <w:rFonts w:ascii="Arial" w:cs="Arial" w:eastAsia="Arial" w:hAnsi="Arial"/>
          <w:sz w:val="18"/>
          <w:szCs w:val="18"/>
          <w:color w:val="auto"/>
        </w:rPr>
      </w:pPr>
    </w:p>
    <w:p>
      <w:pPr>
        <w:ind w:left="1700" w:right="260" w:hanging="558"/>
        <w:spacing w:after="0" w:line="277" w:lineRule="auto"/>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Brookfield Asset Management Inc., a Canadian corporation (“</w:t>
      </w:r>
      <w:r>
        <w:rPr>
          <w:rFonts w:ascii="Arial" w:cs="Arial" w:eastAsia="Arial" w:hAnsi="Arial"/>
          <w:sz w:val="18"/>
          <w:szCs w:val="18"/>
          <w:b w:val="1"/>
          <w:bCs w:val="1"/>
          <w:i w:val="1"/>
          <w:iCs w:val="1"/>
          <w:color w:val="auto"/>
        </w:rPr>
        <w:t>BAM</w:t>
      </w:r>
      <w:r>
        <w:rPr>
          <w:rFonts w:ascii="Arial" w:cs="Arial" w:eastAsia="Arial" w:hAnsi="Arial"/>
          <w:sz w:val="18"/>
          <w:szCs w:val="18"/>
          <w:color w:val="auto"/>
        </w:rPr>
        <w:t>”), in its capacity as the indirect owner of the class A units of each of OCG and Atlas; and</w:t>
      </w:r>
    </w:p>
    <w:p>
      <w:pPr>
        <w:spacing w:after="0" w:line="102" w:lineRule="exact"/>
        <w:rPr>
          <w:rFonts w:ascii="Arial" w:cs="Arial" w:eastAsia="Arial" w:hAnsi="Arial"/>
          <w:sz w:val="18"/>
          <w:szCs w:val="18"/>
          <w:color w:val="auto"/>
        </w:rPr>
      </w:pPr>
    </w:p>
    <w:p>
      <w:pPr>
        <w:ind w:left="1700" w:right="280" w:hanging="558"/>
        <w:spacing w:after="0" w:line="277" w:lineRule="auto"/>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BAM Partners Trust, a trust formed under the laws of Ontario (“</w:t>
      </w:r>
      <w:r>
        <w:rPr>
          <w:rFonts w:ascii="Arial" w:cs="Arial" w:eastAsia="Arial" w:hAnsi="Arial"/>
          <w:sz w:val="18"/>
          <w:szCs w:val="18"/>
          <w:b w:val="1"/>
          <w:bCs w:val="1"/>
          <w:i w:val="1"/>
          <w:iCs w:val="1"/>
          <w:color w:val="auto"/>
        </w:rPr>
        <w:t>BAM Partnership</w:t>
      </w:r>
      <w:r>
        <w:rPr>
          <w:rFonts w:ascii="Arial" w:cs="Arial" w:eastAsia="Arial" w:hAnsi="Arial"/>
          <w:sz w:val="18"/>
          <w:szCs w:val="18"/>
          <w:color w:val="auto"/>
        </w:rPr>
        <w:t>”), in its capacity as the sole owner of Class B Limited Voting Shares of BAM.</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principal business address of each of the Reporting Persons is 333 S. Grand Avenue, 28th Floor, Los Angeles, CA 90071.</w:t>
      </w:r>
    </w:p>
    <w:p>
      <w:pPr>
        <w:spacing w:after="0" w:line="154" w:lineRule="exact"/>
        <w:rPr>
          <w:sz w:val="20"/>
          <w:szCs w:val="20"/>
          <w:color w:val="auto"/>
        </w:rPr>
      </w:pPr>
    </w:p>
    <w:p>
      <w:pPr>
        <w:ind w:left="1700" w:hanging="558"/>
        <w:spacing w:after="0"/>
        <w:tabs>
          <w:tab w:leader="none" w:pos="17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Title of Class of Securities:</w:t>
      </w:r>
    </w:p>
    <w:p>
      <w:pPr>
        <w:spacing w:after="0" w:line="161" w:lineRule="exact"/>
        <w:rPr>
          <w:rFonts w:ascii="Arial" w:cs="Arial" w:eastAsia="Arial" w:hAnsi="Arial"/>
          <w:sz w:val="18"/>
          <w:szCs w:val="18"/>
          <w:b w:val="1"/>
          <w:bCs w:val="1"/>
          <w:color w:val="auto"/>
        </w:rPr>
      </w:pPr>
    </w:p>
    <w:p>
      <w:pPr>
        <w:ind w:left="1700"/>
        <w:spacing w:after="0"/>
        <w:rPr>
          <w:rFonts w:ascii="Arial" w:cs="Arial" w:eastAsia="Arial" w:hAnsi="Arial"/>
          <w:sz w:val="18"/>
          <w:szCs w:val="18"/>
          <w:b w:val="1"/>
          <w:bCs w:val="1"/>
          <w:color w:val="auto"/>
        </w:rPr>
      </w:pPr>
      <w:r>
        <w:rPr>
          <w:rFonts w:ascii="Arial" w:cs="Arial" w:eastAsia="Arial" w:hAnsi="Arial"/>
          <w:sz w:val="18"/>
          <w:szCs w:val="18"/>
          <w:color w:val="auto"/>
        </w:rPr>
        <w:t>Common Stock, par value $0.01 per share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w:t>
      </w:r>
    </w:p>
    <w:p>
      <w:pPr>
        <w:spacing w:after="0" w:line="153" w:lineRule="exact"/>
        <w:rPr>
          <w:rFonts w:ascii="Arial" w:cs="Arial" w:eastAsia="Arial" w:hAnsi="Arial"/>
          <w:sz w:val="18"/>
          <w:szCs w:val="18"/>
          <w:b w:val="1"/>
          <w:bCs w:val="1"/>
          <w:color w:val="auto"/>
        </w:rPr>
      </w:pPr>
    </w:p>
    <w:p>
      <w:pPr>
        <w:ind w:left="1700" w:hanging="558"/>
        <w:spacing w:after="0"/>
        <w:tabs>
          <w:tab w:leader="none" w:pos="17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CUSIP Number: </w:t>
      </w:r>
      <w:r>
        <w:rPr>
          <w:rFonts w:ascii="Arial" w:cs="Arial" w:eastAsia="Arial" w:hAnsi="Arial"/>
          <w:sz w:val="18"/>
          <w:szCs w:val="18"/>
          <w:color w:val="auto"/>
        </w:rPr>
        <w:t>55933J203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16" w:name="page17"/>
    <w:bookmarkEnd w:id="16"/>
    <w:p>
      <w:pPr>
        <w:ind w:left="80"/>
        <w:spacing w:after="0"/>
        <w:tabs>
          <w:tab w:leader="none" w:pos="4920" w:val="left"/>
          <w:tab w:leader="none" w:pos="102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5900420</wp:posOffset>
            </wp:positionH>
            <wp:positionV relativeFrom="page">
              <wp:posOffset>517525</wp:posOffset>
            </wp:positionV>
            <wp:extent cx="144018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55933J203</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6"/>
          <w:szCs w:val="16"/>
          <w:color w:val="auto"/>
        </w:rPr>
        <w:t>Page 17 of 23</w:t>
      </w:r>
    </w:p>
    <w:p>
      <w:pPr>
        <w:sectPr>
          <w:pgSz w:w="11900" w:h="16838" w:orient="portrait"/>
          <w:cols w:equalWidth="0" w:num="1">
            <w:col w:w="11220"/>
          </w:cols>
          <w:pgMar w:left="320" w:top="823" w:right="3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1140" w:right="68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SS.240.13D-1(B) OR 240.13D-2(B) OR (C), CHECK WHETHER THE PERSON FILING IS A:</w:t>
      </w:r>
    </w:p>
    <w:p>
      <w:pPr>
        <w:spacing w:after="0" w:line="193" w:lineRule="exact"/>
        <w:rPr>
          <w:sz w:val="20"/>
          <w:szCs w:val="20"/>
          <w:color w:val="auto"/>
        </w:rPr>
      </w:pPr>
    </w:p>
    <w:p>
      <w:pPr>
        <w:ind w:left="1700" w:hanging="558"/>
        <w:spacing w:after="0"/>
        <w:tabs>
          <w:tab w:leader="none" w:pos="1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[__] Broker or dealer registered under Section 15 of the Act (15 U.S.C. 78o)</w:t>
      </w:r>
    </w:p>
    <w:p>
      <w:pPr>
        <w:spacing w:after="0" w:line="36" w:lineRule="exact"/>
        <w:rPr>
          <w:rFonts w:ascii="Arial" w:cs="Arial" w:eastAsia="Arial" w:hAnsi="Arial"/>
          <w:sz w:val="18"/>
          <w:szCs w:val="18"/>
          <w:color w:val="auto"/>
        </w:rPr>
      </w:pPr>
    </w:p>
    <w:p>
      <w:pPr>
        <w:ind w:left="1700" w:hanging="558"/>
        <w:spacing w:after="0"/>
        <w:tabs>
          <w:tab w:leader="none" w:pos="1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[__] Bank as defined in Section 3(a)(6) of the Act (15 U.S.C. 78c)</w:t>
      </w:r>
    </w:p>
    <w:p>
      <w:pPr>
        <w:spacing w:after="0" w:line="36" w:lineRule="exact"/>
        <w:rPr>
          <w:rFonts w:ascii="Arial" w:cs="Arial" w:eastAsia="Arial" w:hAnsi="Arial"/>
          <w:sz w:val="18"/>
          <w:szCs w:val="18"/>
          <w:color w:val="auto"/>
        </w:rPr>
      </w:pPr>
    </w:p>
    <w:p>
      <w:pPr>
        <w:ind w:left="1700" w:hanging="558"/>
        <w:spacing w:after="0"/>
        <w:tabs>
          <w:tab w:leader="none" w:pos="1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[__] Insurance company as defined in Section 3(a)(19) of the Act (15 U.S.C. 78c)</w:t>
      </w:r>
    </w:p>
    <w:p>
      <w:pPr>
        <w:spacing w:after="0" w:line="36" w:lineRule="exact"/>
        <w:rPr>
          <w:rFonts w:ascii="Arial" w:cs="Arial" w:eastAsia="Arial" w:hAnsi="Arial"/>
          <w:sz w:val="18"/>
          <w:szCs w:val="18"/>
          <w:color w:val="auto"/>
        </w:rPr>
      </w:pPr>
    </w:p>
    <w:p>
      <w:pPr>
        <w:ind w:left="1700" w:hanging="558"/>
        <w:spacing w:after="0"/>
        <w:tabs>
          <w:tab w:leader="none" w:pos="1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[__] Investment company registered under Section 8 of the Investment Company Act of 1940 (15 U.S.C. 80a-8)</w:t>
      </w:r>
    </w:p>
    <w:p>
      <w:pPr>
        <w:spacing w:after="0" w:line="36" w:lineRule="exact"/>
        <w:rPr>
          <w:rFonts w:ascii="Arial" w:cs="Arial" w:eastAsia="Arial" w:hAnsi="Arial"/>
          <w:sz w:val="18"/>
          <w:szCs w:val="18"/>
          <w:color w:val="auto"/>
        </w:rPr>
      </w:pPr>
    </w:p>
    <w:p>
      <w:pPr>
        <w:ind w:left="1700" w:hanging="558"/>
        <w:spacing w:after="0"/>
        <w:tabs>
          <w:tab w:leader="none" w:pos="1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[__] An investment adviser in accordance with ss.240.13d-1(b)(1)(ii)(E)</w:t>
      </w:r>
    </w:p>
    <w:p>
      <w:pPr>
        <w:spacing w:after="0" w:line="36" w:lineRule="exact"/>
        <w:rPr>
          <w:rFonts w:ascii="Arial" w:cs="Arial" w:eastAsia="Arial" w:hAnsi="Arial"/>
          <w:sz w:val="18"/>
          <w:szCs w:val="18"/>
          <w:color w:val="auto"/>
        </w:rPr>
      </w:pPr>
    </w:p>
    <w:p>
      <w:pPr>
        <w:ind w:left="1700" w:hanging="558"/>
        <w:spacing w:after="0"/>
        <w:tabs>
          <w:tab w:leader="none" w:pos="1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[__] An employee benefit plan or endowment fund in accordance with ss.240.13d-1(b)(1)(ii)(F)</w:t>
      </w:r>
    </w:p>
    <w:p>
      <w:pPr>
        <w:spacing w:after="0" w:line="36" w:lineRule="exact"/>
        <w:rPr>
          <w:rFonts w:ascii="Arial" w:cs="Arial" w:eastAsia="Arial" w:hAnsi="Arial"/>
          <w:sz w:val="18"/>
          <w:szCs w:val="18"/>
          <w:color w:val="auto"/>
        </w:rPr>
      </w:pPr>
    </w:p>
    <w:p>
      <w:pPr>
        <w:ind w:left="1700" w:hanging="558"/>
        <w:spacing w:after="0"/>
        <w:tabs>
          <w:tab w:leader="none" w:pos="1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[__] A Parent holding company or control person in accordance with ss.240.13d-1(b)(1)(ii)(G)</w:t>
      </w:r>
    </w:p>
    <w:p>
      <w:pPr>
        <w:spacing w:after="0" w:line="36" w:lineRule="exact"/>
        <w:rPr>
          <w:rFonts w:ascii="Arial" w:cs="Arial" w:eastAsia="Arial" w:hAnsi="Arial"/>
          <w:sz w:val="18"/>
          <w:szCs w:val="18"/>
          <w:color w:val="auto"/>
        </w:rPr>
      </w:pPr>
    </w:p>
    <w:p>
      <w:pPr>
        <w:ind w:left="1700" w:hanging="558"/>
        <w:spacing w:after="0"/>
        <w:tabs>
          <w:tab w:leader="none" w:pos="1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[__] A savings associations as defined in Section 3(b) of the Federal Deposit Insurance Act (12 U.S.C. 1813)</w:t>
      </w:r>
    </w:p>
    <w:p>
      <w:pPr>
        <w:spacing w:after="0" w:line="36" w:lineRule="exact"/>
        <w:rPr>
          <w:rFonts w:ascii="Arial" w:cs="Arial" w:eastAsia="Arial" w:hAnsi="Arial"/>
          <w:sz w:val="18"/>
          <w:szCs w:val="18"/>
          <w:color w:val="auto"/>
        </w:rPr>
      </w:pPr>
    </w:p>
    <w:p>
      <w:pPr>
        <w:ind w:left="1700" w:right="660" w:hanging="558"/>
        <w:spacing w:after="0" w:line="258" w:lineRule="auto"/>
        <w:tabs>
          <w:tab w:leader="none" w:pos="1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[__] A church plan that is excluded from the definition of an investment company under section 3(c)(14) of the Investment Company Act of 1940 (15 U.S.C. 80a-3)</w:t>
      </w:r>
    </w:p>
    <w:p>
      <w:pPr>
        <w:spacing w:after="0" w:line="1" w:lineRule="exact"/>
        <w:rPr>
          <w:rFonts w:ascii="Arial" w:cs="Arial" w:eastAsia="Arial" w:hAnsi="Arial"/>
          <w:sz w:val="18"/>
          <w:szCs w:val="18"/>
          <w:color w:val="auto"/>
        </w:rPr>
      </w:pPr>
    </w:p>
    <w:p>
      <w:pPr>
        <w:ind w:left="1700" w:hanging="558"/>
        <w:spacing w:after="0"/>
        <w:tabs>
          <w:tab w:leader="none" w:pos="1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 Group, in accordance with ss.240.13d-1(b)(1)(ii)(J).</w:t>
      </w:r>
    </w:p>
    <w:p>
      <w:pPr>
        <w:spacing w:after="0" w:line="26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OWNERSHIP</w:t>
      </w:r>
    </w:p>
    <w:p>
      <w:pPr>
        <w:spacing w:after="0" w:line="225" w:lineRule="exact"/>
        <w:rPr>
          <w:sz w:val="20"/>
          <w:szCs w:val="20"/>
          <w:color w:val="auto"/>
        </w:rPr>
      </w:pPr>
    </w:p>
    <w:p>
      <w:pPr>
        <w:ind w:left="1140" w:right="200"/>
        <w:spacing w:after="0" w:line="282" w:lineRule="auto"/>
        <w:rPr>
          <w:sz w:val="20"/>
          <w:szCs w:val="20"/>
          <w:color w:val="auto"/>
        </w:rPr>
      </w:pPr>
      <w:r>
        <w:rPr>
          <w:rFonts w:ascii="Arial" w:cs="Arial" w:eastAsia="Arial" w:hAnsi="Arial"/>
          <w:sz w:val="18"/>
          <w:szCs w:val="18"/>
          <w:b w:val="1"/>
          <w:bCs w:val="1"/>
          <w:color w:val="auto"/>
        </w:rPr>
        <w:t>(a)-(c) Amount beneficially owned, percent of class, number of shares as to which each person has sole or shared power to vote or direct the vote; sole or shared power to dispose or direct the disposition of:</w:t>
      </w:r>
    </w:p>
    <w:p>
      <w:pPr>
        <w:spacing w:after="0" w:line="166" w:lineRule="exact"/>
        <w:rPr>
          <w:sz w:val="20"/>
          <w:szCs w:val="20"/>
          <w:color w:val="auto"/>
        </w:rPr>
      </w:pPr>
    </w:p>
    <w:p>
      <w:pPr>
        <w:ind w:left="1140" w:right="600"/>
        <w:spacing w:after="0" w:line="277" w:lineRule="auto"/>
        <w:rPr>
          <w:sz w:val="20"/>
          <w:szCs w:val="20"/>
          <w:color w:val="auto"/>
        </w:rPr>
      </w:pPr>
      <w:r>
        <w:rPr>
          <w:rFonts w:ascii="Arial" w:cs="Arial" w:eastAsia="Arial" w:hAnsi="Arial"/>
          <w:sz w:val="18"/>
          <w:szCs w:val="18"/>
          <w:color w:val="auto"/>
        </w:rPr>
        <w:t>The responses of the Reporting Persons to Rows 5, 6, 7, 8, 9 and 11 in each of their respective cover pages to this Schedule 13G are incorporated herein by reference.</w:t>
      </w:r>
    </w:p>
    <w:p>
      <w:pPr>
        <w:spacing w:after="0" w:line="17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VOF Holdings directly holds 2,300,000 shares of the Issuer’s Common Stock.</w:t>
      </w:r>
    </w:p>
    <w:p>
      <w:pPr>
        <w:spacing w:after="0" w:line="225" w:lineRule="exact"/>
        <w:rPr>
          <w:sz w:val="20"/>
          <w:szCs w:val="20"/>
          <w:color w:val="auto"/>
        </w:rPr>
      </w:pPr>
    </w:p>
    <w:p>
      <w:pPr>
        <w:ind w:left="1140" w:right="260"/>
        <w:spacing w:after="0" w:line="263" w:lineRule="auto"/>
        <w:rPr>
          <w:sz w:val="20"/>
          <w:szCs w:val="20"/>
          <w:color w:val="auto"/>
        </w:rPr>
      </w:pPr>
      <w:r>
        <w:rPr>
          <w:rFonts w:ascii="Arial" w:cs="Arial" w:eastAsia="Arial" w:hAnsi="Arial"/>
          <w:sz w:val="18"/>
          <w:szCs w:val="18"/>
          <w:color w:val="auto"/>
        </w:rPr>
        <w:t>VOF GP, in its capacity as the general partner of VOF Holdings, has the ability to direct the management of VOF Holdings’ business, including the power to vote and dispose of securities held by VOF Holdings; therefore, VOF GP may be deemed to beneficially own the shares of the Issuer’s Common Stock deemed held by VOF Holdings.</w:t>
      </w:r>
    </w:p>
    <w:p>
      <w:pPr>
        <w:spacing w:after="0" w:line="184" w:lineRule="exact"/>
        <w:rPr>
          <w:sz w:val="20"/>
          <w:szCs w:val="20"/>
          <w:color w:val="auto"/>
        </w:rPr>
      </w:pPr>
    </w:p>
    <w:p>
      <w:pPr>
        <w:ind w:left="1140" w:right="180"/>
        <w:spacing w:after="0" w:line="311" w:lineRule="auto"/>
        <w:rPr>
          <w:sz w:val="20"/>
          <w:szCs w:val="20"/>
          <w:color w:val="auto"/>
        </w:rPr>
      </w:pPr>
      <w:r>
        <w:rPr>
          <w:rFonts w:ascii="Arial" w:cs="Arial" w:eastAsia="Arial" w:hAnsi="Arial"/>
          <w:sz w:val="16"/>
          <w:szCs w:val="16"/>
          <w:color w:val="auto"/>
        </w:rPr>
        <w:t>VOF GP Ltd., in its capacity as the general partner of VOF GP, has the ability to direct the management of VOF GP’s business, including the power to direct the decisions of VOF GP regarding the vote and disposition of securities held by VOF Holdings; therefore, VOF GP Ltd. may be deemed to have indirect beneficial ownership of the shares of the Issuer’s Common Stock deemed held by VOF Holdings.</w:t>
      </w:r>
    </w:p>
    <w:p>
      <w:pPr>
        <w:spacing w:after="0" w:line="149" w:lineRule="exact"/>
        <w:rPr>
          <w:sz w:val="20"/>
          <w:szCs w:val="20"/>
          <w:color w:val="auto"/>
        </w:rPr>
      </w:pPr>
    </w:p>
    <w:p>
      <w:pPr>
        <w:ind w:left="1140" w:right="80"/>
        <w:spacing w:after="0" w:line="259" w:lineRule="auto"/>
        <w:rPr>
          <w:sz w:val="20"/>
          <w:szCs w:val="20"/>
          <w:color w:val="auto"/>
        </w:rPr>
      </w:pPr>
      <w:r>
        <w:rPr>
          <w:rFonts w:ascii="Arial" w:cs="Arial" w:eastAsia="Arial" w:hAnsi="Arial"/>
          <w:sz w:val="18"/>
          <w:szCs w:val="18"/>
          <w:color w:val="auto"/>
        </w:rPr>
        <w:t>GP I, in its capacity as the sole shareholder of VOF GP Ltd., has the ability to appoint and remove the directors and direct the management of the business of VOF GP Ltd. As such, GP I has the power to direct the decisions of VOF GP Ltd. regarding the vote and disposition of securities held by VOF Holdings; therefore, GP I may be deemed to have indirect beneficial ownership of the Issuer’s Common Stock deemed held by VOF Holdings.</w:t>
      </w:r>
    </w:p>
    <w:p>
      <w:pPr>
        <w:spacing w:after="0" w:line="187" w:lineRule="exact"/>
        <w:rPr>
          <w:sz w:val="20"/>
          <w:szCs w:val="20"/>
          <w:color w:val="auto"/>
        </w:rPr>
      </w:pPr>
    </w:p>
    <w:p>
      <w:pPr>
        <w:jc w:val="both"/>
        <w:ind w:left="1140" w:right="160"/>
        <w:spacing w:after="0" w:line="286" w:lineRule="auto"/>
        <w:rPr>
          <w:sz w:val="20"/>
          <w:szCs w:val="20"/>
          <w:color w:val="auto"/>
        </w:rPr>
      </w:pPr>
      <w:r>
        <w:rPr>
          <w:rFonts w:ascii="Arial" w:cs="Arial" w:eastAsia="Arial" w:hAnsi="Arial"/>
          <w:sz w:val="17"/>
          <w:szCs w:val="17"/>
          <w:color w:val="auto"/>
        </w:rPr>
        <w:t>Capital I, in its capacity as the general partner of GP I, has the ability to direct the management of GP I’s business, including the power to direct the decisions of GP I regarding the vote and disposition of securities held by VOF Holdings; therefore, Capital I may be deemed to have indirect beneficial ownership of the shares of the Issuer’s Common Stock deemed held by VOF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23" w:right="359" w:bottom="1440" w:gutter="0" w:footer="0" w:header="0"/>
          <w:type w:val="continuous"/>
        </w:sectPr>
      </w:pPr>
    </w:p>
    <w:bookmarkStart w:id="17" w:name="page18"/>
    <w:bookmarkEnd w:id="17"/>
    <w:p>
      <w:pPr>
        <w:spacing w:after="0"/>
        <w:tabs>
          <w:tab w:leader="none" w:pos="4840" w:val="left"/>
          <w:tab w:leader="none" w:pos="10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5900420</wp:posOffset>
            </wp:positionH>
            <wp:positionV relativeFrom="page">
              <wp:posOffset>517525</wp:posOffset>
            </wp:positionV>
            <wp:extent cx="144018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55933J203</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6"/>
          <w:szCs w:val="16"/>
          <w:color w:val="auto"/>
        </w:rPr>
        <w:t>Page 18 of 23</w:t>
      </w:r>
    </w:p>
    <w:p>
      <w:pPr>
        <w:sectPr>
          <w:pgSz w:w="11900" w:h="16838" w:orient="portrait"/>
          <w:cols w:equalWidth="0" w:num="1">
            <w:col w:w="11140"/>
          </w:cols>
          <w:pgMar w:left="400" w:top="823" w:right="35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both"/>
        <w:ind w:left="1060" w:right="80"/>
        <w:spacing w:after="0" w:line="311" w:lineRule="auto"/>
        <w:rPr>
          <w:sz w:val="20"/>
          <w:szCs w:val="20"/>
          <w:color w:val="auto"/>
        </w:rPr>
      </w:pPr>
      <w:r>
        <w:rPr>
          <w:rFonts w:ascii="Arial" w:cs="Arial" w:eastAsia="Arial" w:hAnsi="Arial"/>
          <w:sz w:val="16"/>
          <w:szCs w:val="16"/>
          <w:color w:val="auto"/>
        </w:rPr>
        <w:t>Holdings I, in its capacity as the general partner of Capital I, has the ability to direct the management of Capital I’s business, including the power to direct the decisions of Capital I regarding the vote and disposition of securities held by VOF Holdings; therefore, Holdings I may be deemed to have indirect beneficial ownership of the shares of the Issuer’s Common Stock deemed held by VOF Holdings.</w:t>
      </w:r>
    </w:p>
    <w:p>
      <w:pPr>
        <w:spacing w:after="0" w:line="149" w:lineRule="exact"/>
        <w:rPr>
          <w:sz w:val="20"/>
          <w:szCs w:val="20"/>
          <w:color w:val="auto"/>
        </w:rPr>
      </w:pPr>
    </w:p>
    <w:p>
      <w:pPr>
        <w:ind w:left="1060" w:right="20"/>
        <w:spacing w:after="0" w:line="311" w:lineRule="auto"/>
        <w:rPr>
          <w:sz w:val="20"/>
          <w:szCs w:val="20"/>
          <w:color w:val="auto"/>
        </w:rPr>
      </w:pPr>
      <w:r>
        <w:rPr>
          <w:rFonts w:ascii="Arial" w:cs="Arial" w:eastAsia="Arial" w:hAnsi="Arial"/>
          <w:sz w:val="16"/>
          <w:szCs w:val="16"/>
          <w:color w:val="auto"/>
        </w:rPr>
        <w:t>Holdings, in its capacity as the managing member of Holdings I, has the ability to direct the management of Holding I’s business, including the power to direct the decisions of Holdings I regarding the vote and disposition of securities held by VOF Holdings; therefore, Holdings may be deemed to have indirect beneficial ownership of the shares of the Issuer’s Common Stock deemed held by VOF Holdings.</w:t>
      </w:r>
    </w:p>
    <w:p>
      <w:pPr>
        <w:spacing w:after="0" w:line="149" w:lineRule="exact"/>
        <w:rPr>
          <w:sz w:val="20"/>
          <w:szCs w:val="20"/>
          <w:color w:val="auto"/>
        </w:rPr>
      </w:pPr>
    </w:p>
    <w:p>
      <w:pPr>
        <w:ind w:left="1060" w:right="220"/>
        <w:spacing w:after="0" w:line="259" w:lineRule="auto"/>
        <w:rPr>
          <w:sz w:val="20"/>
          <w:szCs w:val="20"/>
          <w:color w:val="auto"/>
        </w:rPr>
      </w:pPr>
      <w:r>
        <w:rPr>
          <w:rFonts w:ascii="Arial" w:cs="Arial" w:eastAsia="Arial" w:hAnsi="Arial"/>
          <w:sz w:val="18"/>
          <w:szCs w:val="18"/>
          <w:color w:val="auto"/>
        </w:rPr>
        <w:t>Management, in its capacity as the sole director of VOF GP Ltd., has the ability to direct the management of VOF GP Ltd., including the power to direct the decisions of VOF GP Ltd. regarding the vote and disposition of securities held by VOF Holdings; therefore, Management may be deemed to have indirect beneficial ownership of the shares of the Issuer’s Common Stock deemed held by VOF Holdings.</w:t>
      </w:r>
    </w:p>
    <w:p>
      <w:pPr>
        <w:spacing w:after="0" w:line="187" w:lineRule="exact"/>
        <w:rPr>
          <w:sz w:val="20"/>
          <w:szCs w:val="20"/>
          <w:color w:val="auto"/>
        </w:rPr>
      </w:pPr>
    </w:p>
    <w:p>
      <w:pPr>
        <w:ind w:left="1060" w:right="60"/>
        <w:spacing w:after="0" w:line="286" w:lineRule="auto"/>
        <w:rPr>
          <w:sz w:val="20"/>
          <w:szCs w:val="20"/>
          <w:color w:val="auto"/>
        </w:rPr>
      </w:pPr>
      <w:r>
        <w:rPr>
          <w:rFonts w:ascii="Arial" w:cs="Arial" w:eastAsia="Arial" w:hAnsi="Arial"/>
          <w:sz w:val="17"/>
          <w:szCs w:val="17"/>
          <w:color w:val="auto"/>
        </w:rPr>
        <w:t>Management GP, in its capacity as the general partner of Management, has the ability to direct the management of Management’s business, including the power to vote and dispose of securities held by VOF Holdings; therefore, Management GP may be deemed to have indirect beneficial ownership of the shares of the Issuer’s Common Stock deemed held by VOF Holdings.</w:t>
      </w:r>
    </w:p>
    <w:p>
      <w:pPr>
        <w:spacing w:after="0" w:line="165" w:lineRule="exact"/>
        <w:rPr>
          <w:sz w:val="20"/>
          <w:szCs w:val="20"/>
          <w:color w:val="auto"/>
        </w:rPr>
      </w:pPr>
    </w:p>
    <w:p>
      <w:pPr>
        <w:jc w:val="both"/>
        <w:ind w:left="1060" w:right="440"/>
        <w:spacing w:after="0" w:line="311" w:lineRule="auto"/>
        <w:rPr>
          <w:sz w:val="20"/>
          <w:szCs w:val="20"/>
          <w:color w:val="auto"/>
        </w:rPr>
      </w:pPr>
      <w:r>
        <w:rPr>
          <w:rFonts w:ascii="Arial" w:cs="Arial" w:eastAsia="Arial" w:hAnsi="Arial"/>
          <w:sz w:val="16"/>
          <w:szCs w:val="16"/>
          <w:color w:val="auto"/>
        </w:rPr>
        <w:t>Atlas, in its capacity as the sole managing member of Management GP, has the ability to direct the management of Management GP’s business, including the power to direct the decisions of Management GP regarding the vote and disposition of securities held by VOF Holdings; therefore, Atlas may be deemed to have indirect beneficial ownership of the Shares held by VOF Holdings.</w:t>
      </w:r>
    </w:p>
    <w:p>
      <w:pPr>
        <w:spacing w:after="0" w:line="149" w:lineRule="exact"/>
        <w:rPr>
          <w:sz w:val="20"/>
          <w:szCs w:val="20"/>
          <w:color w:val="auto"/>
        </w:rPr>
      </w:pPr>
    </w:p>
    <w:p>
      <w:pPr>
        <w:ind w:left="1060" w:right="60"/>
        <w:spacing w:after="0" w:line="296" w:lineRule="auto"/>
        <w:rPr>
          <w:sz w:val="20"/>
          <w:szCs w:val="20"/>
          <w:color w:val="auto"/>
        </w:rPr>
      </w:pPr>
      <w:r>
        <w:rPr>
          <w:rFonts w:ascii="Arial" w:cs="Arial" w:eastAsia="Arial" w:hAnsi="Arial"/>
          <w:sz w:val="16"/>
          <w:szCs w:val="16"/>
          <w:color w:val="auto"/>
        </w:rPr>
        <w:t>OCG, in its capacity as the managing member of Holdings, has the ability to direct the management of Holdings’ business, including the power to direct the decisions of Holdings regarding the vote and disposition of securities held by VOF Holdings. Additionally, OCG, in its capacity as the sole shareholder of Holdings, Inc., has the ability to appoint and remove directors of Holdings, Inc. and, as such, may indirectly control the decisions of Holdings, Inc. regarding the vote and disposition of securities held by VOF Holdings. Therefore, OCG may be deemed to have indirect beneficial ownership of the shares of the Issuer’s Common Stock deemed held by VOF Holdings.</w:t>
      </w:r>
    </w:p>
    <w:p>
      <w:pPr>
        <w:spacing w:after="0" w:line="161" w:lineRule="exact"/>
        <w:rPr>
          <w:sz w:val="20"/>
          <w:szCs w:val="20"/>
          <w:color w:val="auto"/>
        </w:rPr>
      </w:pPr>
    </w:p>
    <w:p>
      <w:pPr>
        <w:ind w:left="1060" w:right="40"/>
        <w:spacing w:after="0" w:line="259" w:lineRule="auto"/>
        <w:rPr>
          <w:sz w:val="20"/>
          <w:szCs w:val="20"/>
          <w:color w:val="auto"/>
        </w:rPr>
      </w:pPr>
      <w:r>
        <w:rPr>
          <w:rFonts w:ascii="Arial" w:cs="Arial" w:eastAsia="Arial" w:hAnsi="Arial"/>
          <w:sz w:val="18"/>
          <w:szCs w:val="18"/>
          <w:color w:val="auto"/>
        </w:rPr>
        <w:t>OCGH GP, in its capacity as the indirect owner of the class B units of each of OCG and Atlas, has the ability to appoint and remove certain directors of OCG and Atlas and, as such, may indirectly control the decisions of OCG and Atlas regarding the vote and disposition of securities held by VOF Holdings; therefore, OCGH GP may be deemed to have indirect beneficial ownership of the Shares held by VOF Holdings.</w:t>
      </w:r>
    </w:p>
    <w:p>
      <w:pPr>
        <w:spacing w:after="0" w:line="187" w:lineRule="exact"/>
        <w:rPr>
          <w:sz w:val="20"/>
          <w:szCs w:val="20"/>
          <w:color w:val="auto"/>
        </w:rPr>
      </w:pPr>
    </w:p>
    <w:p>
      <w:pPr>
        <w:ind w:left="1060" w:right="400"/>
        <w:spacing w:after="0" w:line="259" w:lineRule="auto"/>
        <w:rPr>
          <w:sz w:val="20"/>
          <w:szCs w:val="20"/>
          <w:color w:val="auto"/>
        </w:rPr>
      </w:pPr>
      <w:r>
        <w:rPr>
          <w:rFonts w:ascii="Arial" w:cs="Arial" w:eastAsia="Arial" w:hAnsi="Arial"/>
          <w:sz w:val="18"/>
          <w:szCs w:val="18"/>
          <w:color w:val="auto"/>
        </w:rPr>
        <w:t>BAM, in its capacity as the indirect owner of the class A units of each of OCG and Atlas, has the ability to appoint and remove certain directors of OCG and Atlas and, as such, may indirectly control the decisions of OCG and Atlas regarding the vote and disposition of securities held by VOF Holdings; therefore BAM may be deemed to have indirect beneficial ownership of the Shares held by VOF Holdings.</w:t>
      </w:r>
    </w:p>
    <w:p>
      <w:pPr>
        <w:spacing w:after="0" w:line="187" w:lineRule="exact"/>
        <w:rPr>
          <w:sz w:val="20"/>
          <w:szCs w:val="20"/>
          <w:color w:val="auto"/>
        </w:rPr>
      </w:pPr>
    </w:p>
    <w:p>
      <w:pPr>
        <w:ind w:left="1060" w:right="40"/>
        <w:spacing w:after="0" w:line="311" w:lineRule="auto"/>
        <w:rPr>
          <w:sz w:val="20"/>
          <w:szCs w:val="20"/>
          <w:color w:val="auto"/>
        </w:rPr>
      </w:pPr>
      <w:r>
        <w:rPr>
          <w:rFonts w:ascii="Arial" w:cs="Arial" w:eastAsia="Arial" w:hAnsi="Arial"/>
          <w:sz w:val="16"/>
          <w:szCs w:val="16"/>
          <w:color w:val="auto"/>
        </w:rPr>
        <w:t>BAM Partnership, in its capacity as the sole owner of Class B Limited Voting Shares of BAM, has the ability to appoint and remove certain directors of BAM and, as such, may indirectly control the decisions of BAM regarding the vote and disposition of securities held by VOF Holdings; therefore BAM Partnership may be deemed to have indirect beneficial ownership of the Shares held by VOF Holdings.</w:t>
      </w:r>
    </w:p>
    <w:p>
      <w:pPr>
        <w:spacing w:after="0" w:line="149" w:lineRule="exact"/>
        <w:rPr>
          <w:sz w:val="20"/>
          <w:szCs w:val="20"/>
          <w:color w:val="auto"/>
        </w:rPr>
      </w:pPr>
    </w:p>
    <w:p>
      <w:pPr>
        <w:ind w:left="1060" w:right="20"/>
        <w:spacing w:after="0" w:line="279" w:lineRule="auto"/>
        <w:rPr>
          <w:sz w:val="20"/>
          <w:szCs w:val="20"/>
          <w:color w:val="auto"/>
        </w:rPr>
      </w:pPr>
      <w:r>
        <w:rPr>
          <w:rFonts w:ascii="Arial" w:cs="Arial" w:eastAsia="Arial" w:hAnsi="Arial"/>
          <w:sz w:val="17"/>
          <w:szCs w:val="17"/>
          <w:color w:val="auto"/>
        </w:rPr>
        <w:t>Pursuant to Rule 13d-4 of the Exchange Act, the Reporting Persons declare that filing this Statement shall not be construed as an admission that any such person is, for the purposes of Section 13(d) and/or Section 13(g) of the Exchange Act, the beneficial owner of any securities covered by this Statement except to the extent of such person’s pecuniary interest in the shares of Common Stock, and except to the extent of its pecuniary interest, such beneficial ownership is expressly disclaimed by each Reporting Person.</w:t>
      </w:r>
    </w:p>
    <w:p>
      <w:pPr>
        <w:spacing w:after="0" w:line="171" w:lineRule="exact"/>
        <w:rPr>
          <w:sz w:val="20"/>
          <w:szCs w:val="20"/>
          <w:color w:val="auto"/>
        </w:rPr>
      </w:pPr>
    </w:p>
    <w:p>
      <w:pPr>
        <w:ind w:left="1060" w:right="220"/>
        <w:spacing w:after="0" w:line="263" w:lineRule="auto"/>
        <w:rPr>
          <w:sz w:val="20"/>
          <w:szCs w:val="20"/>
          <w:color w:val="auto"/>
        </w:rPr>
      </w:pPr>
      <w:r>
        <w:rPr>
          <w:rFonts w:ascii="Arial" w:cs="Arial" w:eastAsia="Arial" w:hAnsi="Arial"/>
          <w:sz w:val="18"/>
          <w:szCs w:val="18"/>
          <w:color w:val="auto"/>
        </w:rPr>
        <w:t>All calculations of percentage ownership herein are based on a total of 46,464,889 shares of Common Stock issued and outstanding as of October 29, 2021, as disclosed on the Issuer's Quarterly Report on Form 10-Q, filed with the Securities and Exchange Commission on November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468630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00" w:top="823" w:right="359" w:bottom="1440" w:gutter="0" w:footer="0" w:header="0"/>
          <w:type w:val="continuous"/>
        </w:sectPr>
      </w:pPr>
    </w:p>
    <w:bookmarkStart w:id="18" w:name="page19"/>
    <w:bookmarkEnd w:id="18"/>
    <w:tbl>
      <w:tblPr>
        <w:tblLayout w:type="fixed"/>
        <w:tblInd w:w="10" w:type="dxa"/>
        <w:tblCellMar>
          <w:top w:w="0" w:type="dxa"/>
          <w:left w:w="0" w:type="dxa"/>
          <w:bottom w:w="0" w:type="dxa"/>
          <w:right w:w="0" w:type="dxa"/>
        </w:tblCellMar>
      </w:tblPr>
      <w:tr>
        <w:trPr>
          <w:trHeight w:val="250"/>
        </w:trPr>
        <w:tc>
          <w:tcPr>
            <w:tcW w:w="2280" w:type="dxa"/>
            <w:vAlign w:val="bottom"/>
            <w:tcBorders>
              <w:top w:val="single" w:sz="8" w:color="auto"/>
              <w:left w:val="single" w:sz="8" w:color="auto"/>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CUSIP No. 55933J203</w:t>
            </w: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w w:val="87"/>
              </w:rPr>
              <w:t>Page 19 of 23</w:t>
            </w:r>
          </w:p>
        </w:tc>
      </w:tr>
      <w:tr>
        <w:trPr>
          <w:trHeight w:val="648"/>
        </w:trPr>
        <w:tc>
          <w:tcPr>
            <w:tcW w:w="90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8100" w:type="dxa"/>
            <w:vAlign w:val="bottom"/>
            <w:gridSpan w:val="2"/>
          </w:tcPr>
          <w:p>
            <w:pPr>
              <w:ind w:left="240"/>
              <w:spacing w:after="0"/>
              <w:rPr>
                <w:sz w:val="20"/>
                <w:szCs w:val="20"/>
                <w:color w:val="auto"/>
              </w:rPr>
            </w:pPr>
            <w:r>
              <w:rPr>
                <w:rFonts w:ascii="Arial" w:cs="Arial" w:eastAsia="Arial" w:hAnsi="Arial"/>
                <w:sz w:val="18"/>
                <w:szCs w:val="18"/>
                <w:b w:val="1"/>
                <w:bCs w:val="1"/>
                <w:color w:val="auto"/>
              </w:rPr>
              <w:t>OWNERSHIP OF FIVE PERCENT OR LESS OF A CLASS.</w:t>
            </w:r>
          </w:p>
        </w:tc>
        <w:tc>
          <w:tcPr>
            <w:tcW w:w="2240" w:type="dxa"/>
            <w:vAlign w:val="bottom"/>
          </w:tcPr>
          <w:p>
            <w:pPr>
              <w:spacing w:after="0"/>
              <w:rPr>
                <w:sz w:val="24"/>
                <w:szCs w:val="24"/>
                <w:color w:val="auto"/>
              </w:rPr>
            </w:pPr>
          </w:p>
        </w:tc>
      </w:tr>
    </w:tbl>
    <w:p>
      <w:pPr>
        <w:spacing w:after="0" w:line="134" w:lineRule="exact"/>
        <w:rPr>
          <w:sz w:val="20"/>
          <w:szCs w:val="20"/>
          <w:color w:val="auto"/>
        </w:rPr>
      </w:pPr>
    </w:p>
    <w:p>
      <w:pPr>
        <w:ind w:left="1140" w:right="8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1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OWNERSHIP OF MORE THAN FIVE PERCENT ON BEHALF OF ANOTHER PERSON.</w:t>
      </w:r>
    </w:p>
    <w:p>
      <w:pPr>
        <w:spacing w:after="0" w:line="16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ind w:left="1140" w:right="94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9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16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NOTICE OF DISSOLUTION OF GROUP.</w:t>
      </w:r>
    </w:p>
    <w:p>
      <w:pPr>
        <w:spacing w:after="0" w:line="16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CERTIFICATIONS.</w:t>
      </w:r>
    </w:p>
    <w:p>
      <w:pPr>
        <w:spacing w:after="0" w:line="162" w:lineRule="exact"/>
        <w:rPr>
          <w:sz w:val="20"/>
          <w:szCs w:val="20"/>
          <w:color w:val="auto"/>
        </w:rPr>
      </w:pPr>
    </w:p>
    <w:p>
      <w:pPr>
        <w:ind w:left="1140" w:right="16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not held for the purpose of or with the effect of changing or influencing the control of the issuer of the securities and were not acquired and are not held in connection with or as a participant in any transaction having such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470535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19" w:name="page20"/>
    <w:bookmarkEnd w:id="19"/>
    <w:p>
      <w:pPr>
        <w:ind w:left="80"/>
        <w:spacing w:after="0"/>
        <w:tabs>
          <w:tab w:leader="none" w:pos="4920" w:val="left"/>
          <w:tab w:leader="none" w:pos="102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5900420</wp:posOffset>
            </wp:positionH>
            <wp:positionV relativeFrom="page">
              <wp:posOffset>517525</wp:posOffset>
            </wp:positionV>
            <wp:extent cx="144018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55933J203</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6"/>
          <w:szCs w:val="16"/>
          <w:color w:val="auto"/>
        </w:rPr>
        <w:t>Page 20 of 23</w:t>
      </w:r>
    </w:p>
    <w:p>
      <w:pPr>
        <w:sectPr>
          <w:pgSz w:w="11900" w:h="16838" w:orient="portrait"/>
          <w:cols w:equalWidth="0" w:num="1">
            <w:col w:w="11220"/>
          </w:cols>
          <w:pgMar w:left="320" w:top="823" w:right="35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83"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2022</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OAKTREE VALUE OPPORTUNITIES FUND HOLDINGS,</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L.P.</w:t>
      </w:r>
    </w:p>
    <w:p>
      <w:pPr>
        <w:spacing w:after="0" w:line="14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Oaktree Value Opportunities Fund GP, L.P.</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General Partner</w:t>
      </w:r>
    </w:p>
    <w:p>
      <w:pPr>
        <w:spacing w:after="0" w:line="14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Oaktree Value Opportunities Fund GP Ltd.</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General Partner</w:t>
      </w:r>
    </w:p>
    <w:p>
      <w:pPr>
        <w:spacing w:after="0" w:line="14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Oaktree Capital Management, L.P.</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Director</w:t>
      </w:r>
    </w:p>
    <w:p>
      <w:pPr>
        <w:spacing w:after="0" w:line="14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1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OAKTREE VALUE OPPORTUNITIES FUND GP, L.P.</w:t>
      </w:r>
    </w:p>
    <w:p>
      <w:pPr>
        <w:spacing w:after="0" w:line="158"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Oaktree Value Opportunities Fund GP Ltd.</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General Partner</w:t>
      </w:r>
    </w:p>
    <w:p>
      <w:pPr>
        <w:spacing w:after="0" w:line="14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Oaktree Capital Management, L.P.</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Director</w:t>
      </w:r>
    </w:p>
    <w:p>
      <w:pPr>
        <w:spacing w:after="0" w:line="14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1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OAKTREE VALUE OPPORTUNITIES FUND GP LTD.</w:t>
      </w:r>
    </w:p>
    <w:p>
      <w:pPr>
        <w:spacing w:after="0" w:line="158"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Oaktree Capital Management, L.P.</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Director</w:t>
      </w:r>
    </w:p>
    <w:p>
      <w:pPr>
        <w:spacing w:after="0" w:line="14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23" w:right="359" w:bottom="1440" w:gutter="0" w:footer="0" w:header="0"/>
          <w:type w:val="continuous"/>
        </w:sectPr>
      </w:pPr>
    </w:p>
    <w:bookmarkStart w:id="20" w:name="page21"/>
    <w:bookmarkEnd w:id="20"/>
    <w:p>
      <w:pPr>
        <w:spacing w:after="0"/>
        <w:tabs>
          <w:tab w:leader="none" w:pos="4840" w:val="left"/>
          <w:tab w:leader="none" w:pos="10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5900420</wp:posOffset>
            </wp:positionH>
            <wp:positionV relativeFrom="page">
              <wp:posOffset>517525</wp:posOffset>
            </wp:positionV>
            <wp:extent cx="144018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55933J203</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6"/>
          <w:szCs w:val="16"/>
          <w:color w:val="auto"/>
        </w:rPr>
        <w:t>Page 21 of 23</w:t>
      </w:r>
    </w:p>
    <w:p>
      <w:pPr>
        <w:sectPr>
          <w:pgSz w:w="11900" w:h="16838" w:orient="portrait"/>
          <w:cols w:equalWidth="0" w:num="1">
            <w:col w:w="11140"/>
          </w:cols>
          <w:pgMar w:left="400" w:top="823" w:right="35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OAKTREE FUND GP I, L.P.</w:t>
      </w:r>
    </w:p>
    <w:p>
      <w:pPr>
        <w:spacing w:after="0" w:line="158" w:lineRule="exact"/>
        <w:rPr>
          <w:sz w:val="20"/>
          <w:szCs w:val="20"/>
          <w:color w:val="auto"/>
        </w:rPr>
      </w:pPr>
    </w:p>
    <w:p>
      <w:pPr>
        <w:ind w:left="556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14605</wp:posOffset>
            </wp:positionV>
            <wp:extent cx="24942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560"/>
        <w:spacing w:after="0"/>
        <w:tabs>
          <w:tab w:leader="none" w:pos="6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1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OAKTREE CAPITAL I, L.P.</w:t>
      </w:r>
    </w:p>
    <w:p>
      <w:pPr>
        <w:spacing w:after="0" w:line="158" w:lineRule="exact"/>
        <w:rPr>
          <w:sz w:val="20"/>
          <w:szCs w:val="20"/>
          <w:color w:val="auto"/>
        </w:rPr>
      </w:pPr>
    </w:p>
    <w:p>
      <w:pPr>
        <w:ind w:left="556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14605</wp:posOffset>
            </wp:positionV>
            <wp:extent cx="24942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560"/>
        <w:spacing w:after="0"/>
        <w:tabs>
          <w:tab w:leader="none" w:pos="6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1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OCM HOLDINGS I, LLC</w:t>
      </w:r>
    </w:p>
    <w:p>
      <w:pPr>
        <w:spacing w:after="0" w:line="158" w:lineRule="exact"/>
        <w:rPr>
          <w:sz w:val="20"/>
          <w:szCs w:val="20"/>
          <w:color w:val="auto"/>
        </w:rPr>
      </w:pPr>
    </w:p>
    <w:p>
      <w:pPr>
        <w:ind w:left="556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14605</wp:posOffset>
            </wp:positionV>
            <wp:extent cx="24942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560"/>
        <w:spacing w:after="0"/>
        <w:tabs>
          <w:tab w:leader="none" w:pos="6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1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OAKTREE HOLDINGS, LLC</w:t>
      </w:r>
    </w:p>
    <w:p>
      <w:pPr>
        <w:spacing w:after="0" w:line="158" w:lineRule="exact"/>
        <w:rPr>
          <w:sz w:val="20"/>
          <w:szCs w:val="20"/>
          <w:color w:val="auto"/>
        </w:rPr>
      </w:pPr>
    </w:p>
    <w:p>
      <w:pPr>
        <w:ind w:left="556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14605</wp:posOffset>
            </wp:positionV>
            <wp:extent cx="24942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560"/>
        <w:spacing w:after="0"/>
        <w:tabs>
          <w:tab w:leader="none" w:pos="6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1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OAKTREE CAPITAL MANAGEMENT, L.P.</w:t>
      </w:r>
    </w:p>
    <w:p>
      <w:pPr>
        <w:spacing w:after="0" w:line="158" w:lineRule="exact"/>
        <w:rPr>
          <w:sz w:val="20"/>
          <w:szCs w:val="20"/>
          <w:color w:val="auto"/>
        </w:rPr>
      </w:pPr>
    </w:p>
    <w:p>
      <w:pPr>
        <w:ind w:left="556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14605</wp:posOffset>
            </wp:positionV>
            <wp:extent cx="24942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560"/>
        <w:spacing w:after="0"/>
        <w:tabs>
          <w:tab w:leader="none" w:pos="6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143"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OAKTREE CAPITAL MANAGEMENT GP, LLC</w:t>
      </w:r>
    </w:p>
    <w:p>
      <w:pPr>
        <w:spacing w:after="0" w:line="169" w:lineRule="exact"/>
        <w:rPr>
          <w:sz w:val="20"/>
          <w:szCs w:val="20"/>
          <w:color w:val="auto"/>
        </w:rPr>
      </w:pPr>
    </w:p>
    <w:p>
      <w:pPr>
        <w:ind w:left="556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Atlas OCM Holdings, LLC</w:t>
      </w:r>
    </w:p>
    <w:p>
      <w:pPr>
        <w:spacing w:after="0" w:line="23" w:lineRule="exact"/>
        <w:rPr>
          <w:sz w:val="20"/>
          <w:szCs w:val="20"/>
          <w:color w:val="auto"/>
        </w:rPr>
      </w:pPr>
    </w:p>
    <w:p>
      <w:pPr>
        <w:ind w:left="5560"/>
        <w:spacing w:after="0"/>
        <w:tabs>
          <w:tab w:leader="none" w:pos="610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Managing Member</w:t>
      </w:r>
    </w:p>
    <w:p>
      <w:pPr>
        <w:spacing w:after="0" w:line="143" w:lineRule="exact"/>
        <w:rPr>
          <w:sz w:val="20"/>
          <w:szCs w:val="20"/>
          <w:color w:val="auto"/>
        </w:rPr>
      </w:pPr>
    </w:p>
    <w:p>
      <w:pPr>
        <w:ind w:left="556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Oaktree New Holdings, LLC</w:t>
      </w:r>
    </w:p>
    <w:p>
      <w:pPr>
        <w:spacing w:after="0" w:line="23" w:lineRule="exact"/>
        <w:rPr>
          <w:sz w:val="20"/>
          <w:szCs w:val="20"/>
          <w:color w:val="auto"/>
        </w:rPr>
      </w:pPr>
    </w:p>
    <w:p>
      <w:pPr>
        <w:ind w:left="5560"/>
        <w:spacing w:after="0"/>
        <w:tabs>
          <w:tab w:leader="none" w:pos="610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Member</w:t>
      </w:r>
    </w:p>
    <w:p>
      <w:pPr>
        <w:spacing w:after="0" w:line="143" w:lineRule="exact"/>
        <w:rPr>
          <w:sz w:val="20"/>
          <w:szCs w:val="20"/>
          <w:color w:val="auto"/>
        </w:rPr>
      </w:pPr>
    </w:p>
    <w:p>
      <w:pPr>
        <w:ind w:left="556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14605</wp:posOffset>
            </wp:positionV>
            <wp:extent cx="24942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560"/>
        <w:spacing w:after="0"/>
        <w:tabs>
          <w:tab w:leader="none" w:pos="6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580390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00" w:top="823" w:right="359" w:bottom="1440" w:gutter="0" w:footer="0" w:header="0"/>
          <w:type w:val="continuous"/>
        </w:sectPr>
      </w:pPr>
    </w:p>
    <w:bookmarkStart w:id="21" w:name="page22"/>
    <w:bookmarkEnd w:id="21"/>
    <w:p>
      <w:pPr>
        <w:ind w:left="80"/>
        <w:spacing w:after="0"/>
        <w:tabs>
          <w:tab w:leader="none" w:pos="4920" w:val="left"/>
          <w:tab w:leader="none" w:pos="102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5900420</wp:posOffset>
            </wp:positionH>
            <wp:positionV relativeFrom="page">
              <wp:posOffset>517525</wp:posOffset>
            </wp:positionV>
            <wp:extent cx="144018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55933J203</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6"/>
          <w:szCs w:val="16"/>
          <w:color w:val="auto"/>
        </w:rPr>
        <w:t>Page 22 of 23</w:t>
      </w:r>
    </w:p>
    <w:p>
      <w:pPr>
        <w:sectPr>
          <w:pgSz w:w="11900" w:h="16838" w:orient="portrait"/>
          <w:cols w:equalWidth="0" w:num="1">
            <w:col w:w="11240"/>
          </w:cols>
          <w:pgMar w:left="320" w:top="823"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ATLAS OCM HOLDINGS, LLC</w:t>
      </w:r>
    </w:p>
    <w:p>
      <w:pPr>
        <w:spacing w:after="0" w:line="158"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Oaktree New Holdings, LLC</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Member</w:t>
      </w:r>
    </w:p>
    <w:p>
      <w:pPr>
        <w:spacing w:after="0" w:line="14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1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OAKTREE CAPITAL GROUP, LLC</w:t>
      </w:r>
    </w:p>
    <w:p>
      <w:pPr>
        <w:spacing w:after="0" w:line="158"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1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OAKTREE CAPITAL GROUP HOLDINGS GP, LLC</w:t>
      </w:r>
    </w:p>
    <w:p>
      <w:pPr>
        <w:spacing w:after="0" w:line="158"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1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BROOKFIELD ASSET MANAGEMENT INC.</w:t>
      </w:r>
    </w:p>
    <w:p>
      <w:pPr>
        <w:spacing w:after="0" w:line="158"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Kathy Sarpash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Kathy Sarpash</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Legal &amp; Regulatory</w:t>
      </w:r>
    </w:p>
    <w:p>
      <w:pPr>
        <w:spacing w:after="0" w:line="1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BAM PARTNERS TRUST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BAM Class B Partners Inc.</w:t>
            </w:r>
          </w:p>
        </w:tc>
        <w:tc>
          <w:tcPr>
            <w:tcW w:w="1120" w:type="dxa"/>
            <w:vAlign w:val="bottom"/>
          </w:tcPr>
          <w:p>
            <w:pPr>
              <w:spacing w:after="0"/>
              <w:rPr>
                <w:sz w:val="18"/>
                <w:szCs w:val="18"/>
                <w:color w:val="auto"/>
              </w:rPr>
            </w:pPr>
          </w:p>
        </w:tc>
      </w:t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Its:</w:t>
            </w:r>
          </w:p>
        </w:tc>
        <w:tc>
          <w:tcPr>
            <w:tcW w:w="3920" w:type="dxa"/>
            <w:vAlign w:val="bottom"/>
          </w:tcPr>
          <w:p>
            <w:pPr>
              <w:spacing w:after="0"/>
              <w:rPr>
                <w:sz w:val="20"/>
                <w:szCs w:val="20"/>
                <w:color w:val="auto"/>
              </w:rPr>
            </w:pPr>
            <w:r>
              <w:rPr>
                <w:rFonts w:ascii="Arial" w:cs="Arial" w:eastAsia="Arial" w:hAnsi="Arial"/>
                <w:sz w:val="18"/>
                <w:szCs w:val="18"/>
                <w:color w:val="auto"/>
              </w:rPr>
              <w:t>Trustee</w:t>
            </w:r>
          </w:p>
        </w:tc>
        <w:tc>
          <w:tcPr>
            <w:tcW w:w="1120" w:type="dxa"/>
            <w:vAlign w:val="bottom"/>
          </w:tcPr>
          <w:p>
            <w:pPr>
              <w:spacing w:after="0"/>
              <w:rPr>
                <w:sz w:val="20"/>
                <w:szCs w:val="20"/>
                <w:color w:val="auto"/>
              </w:rPr>
            </w:pP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Kathy Sarpash</w:t>
            </w:r>
          </w:p>
        </w:tc>
        <w:tc>
          <w:tcPr>
            <w:tcW w:w="1120" w:type="dxa"/>
            <w:vAlign w:val="bottom"/>
          </w:tcPr>
          <w:p>
            <w:pPr>
              <w:spacing w:after="0"/>
              <w:rPr>
                <w:sz w:val="24"/>
                <w:szCs w:val="24"/>
                <w:color w:val="auto"/>
              </w:rPr>
            </w:pPr>
          </w:p>
        </w:tc>
      </w:tr>
      <w:tr>
        <w:trPr>
          <w:trHeight w:val="195"/>
        </w:trPr>
        <w:tc>
          <w:tcPr>
            <w:tcW w:w="6200" w:type="dxa"/>
            <w:vAlign w:val="bottom"/>
          </w:tcPr>
          <w:p>
            <w:pPr>
              <w:ind w:left="5640"/>
              <w:spacing w:after="0" w:line="195"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Kathy Sarpash</w:t>
            </w:r>
          </w:p>
        </w:tc>
        <w:tc>
          <w:tcPr>
            <w:tcW w:w="1120" w:type="dxa"/>
            <w:vAlign w:val="bottom"/>
          </w:tcPr>
          <w:p>
            <w:pPr>
              <w:spacing w:after="0"/>
              <w:rPr>
                <w:sz w:val="16"/>
                <w:szCs w:val="16"/>
                <w:color w:val="auto"/>
              </w:rPr>
            </w:pPr>
          </w:p>
        </w:tc>
      </w:t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Secretary</w:t>
            </w:r>
          </w:p>
        </w:tc>
        <w:tc>
          <w:tcPr>
            <w:tcW w:w="1120" w:type="dxa"/>
            <w:vAlign w:val="bottom"/>
          </w:tcPr>
          <w:p>
            <w:pPr>
              <w:spacing w:after="0"/>
              <w:rPr>
                <w:sz w:val="20"/>
                <w:szCs w:val="20"/>
                <w:color w:val="auto"/>
              </w:rPr>
            </w:pPr>
          </w:p>
        </w:tc>
      </w:tr>
      <w:tr>
        <w:trPr>
          <w:trHeight w:val="1033"/>
        </w:trPr>
        <w:tc>
          <w:tcPr>
            <w:tcW w:w="62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23" w:right="339" w:bottom="1440" w:gutter="0" w:footer="0" w:header="0"/>
          <w:type w:val="continuous"/>
        </w:sectPr>
      </w:pPr>
    </w:p>
    <w:bookmarkStart w:id="22" w:name="page23"/>
    <w:bookmarkEnd w:id="22"/>
    <w:p>
      <w:pPr>
        <w:ind w:left="80"/>
        <w:spacing w:after="0"/>
        <w:tabs>
          <w:tab w:leader="none" w:pos="4920" w:val="left"/>
          <w:tab w:leader="none" w:pos="102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5900420</wp:posOffset>
            </wp:positionH>
            <wp:positionV relativeFrom="page">
              <wp:posOffset>517525</wp:posOffset>
            </wp:positionV>
            <wp:extent cx="144018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55933J203</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6"/>
          <w:szCs w:val="16"/>
          <w:color w:val="auto"/>
        </w:rPr>
        <w:t>Page 23 of 23</w:t>
      </w:r>
    </w:p>
    <w:p>
      <w:pPr>
        <w:sectPr>
          <w:pgSz w:w="11900" w:h="16838" w:orient="portrait"/>
          <w:cols w:equalWidth="0" w:num="1">
            <w:col w:w="11220"/>
          </w:cols>
          <w:pgMar w:left="320" w:top="823" w:right="35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00" w:lineRule="exact"/>
        <w:rPr>
          <w:sz w:val="20"/>
          <w:szCs w:val="20"/>
          <w:color w:val="auto"/>
        </w:rPr>
      </w:pPr>
    </w:p>
    <w:p>
      <w:pPr>
        <w:spacing w:after="0" w:line="29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Exhibit 1.</w:t>
      </w:r>
      <w:r>
        <w:rPr>
          <w:sz w:val="20"/>
          <w:szCs w:val="20"/>
          <w:color w:val="auto"/>
        </w:rPr>
        <w:tab/>
      </w:r>
      <w:r>
        <w:rPr>
          <w:rFonts w:ascii="Arial" w:cs="Arial" w:eastAsia="Arial" w:hAnsi="Arial"/>
          <w:sz w:val="16"/>
          <w:szCs w:val="16"/>
          <w:color w:val="auto"/>
        </w:rPr>
        <w:t>Joint Filing Agreement as required by Rule 13d-1(k)(1)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726440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23" w:right="359" w:bottom="1440" w:gutter="0" w:footer="0" w:header="0"/>
          <w:type w:val="continuous"/>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Pursuant to Rule 13d-1(k)(1) promulgated under the Securities Exchange Act of 1934, as amended, each of the undersigned acknowledges and agrees that the foregoing statement on this Schedule 13G is filed on behalf of the undersigned and that all subsequent amendments to this statement on Schedule 13G shall be filed on behalf of the undersigned without the necessity of filing additional joint acquisition statements. Each of the undersigned acknowledges that it shall be responsible for the timely filing of such amendments, and for the completeness and accuracy of the information concerning it contained therein, but shall not be responsible for the completeness and accuracy of the information concerning the others, except to the extent that he or it knows or has reason to believe that such information is inaccurate.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2022</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OAKTREE VALUE OPPORTUNITIES FUND HOLDINGS,</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L.P.</w:t>
      </w:r>
    </w:p>
    <w:p>
      <w:pPr>
        <w:sectPr>
          <w:pgSz w:w="11900" w:h="16838" w:orient="portrait"/>
          <w:cols w:equalWidth="0" w:num="1">
            <w:col w:w="11240"/>
          </w:cols>
          <w:pgMar w:left="320" w:top="796" w:right="339" w:bottom="1440" w:gutter="0" w:footer="0" w:header="0"/>
        </w:sectPr>
      </w:pPr>
    </w:p>
    <w:p>
      <w:pPr>
        <w:spacing w:after="0" w:line="143"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Oaktree Value Opportunities Fund GP, 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General Partner</w:t>
      </w:r>
    </w:p>
    <w:p>
      <w:pPr>
        <w:spacing w:after="0" w:line="143" w:lineRule="exact"/>
        <w:rPr>
          <w:sz w:val="20"/>
          <w:szCs w:val="20"/>
          <w:color w:val="auto"/>
        </w:rPr>
      </w:pPr>
    </w:p>
    <w:p>
      <w:pPr>
        <w:sectPr>
          <w:pgSz w:w="11900" w:h="16838" w:orient="portrait"/>
          <w:cols w:equalWidth="0" w:num="2">
            <w:col w:w="5900" w:space="300"/>
            <w:col w:w="5040"/>
          </w:cols>
          <w:pgMar w:left="320" w:top="796" w:right="339" w:bottom="1440" w:gutter="0" w:footer="0" w:header="0"/>
          <w:type w:val="continuous"/>
        </w:sectPr>
      </w:pPr>
    </w:p>
    <w:p>
      <w:pPr>
        <w:ind w:left="564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Oaktree Value Opportunities Fund GP Ltd.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General Partner</w:t>
      </w:r>
    </w:p>
    <w:p>
      <w:pPr>
        <w:spacing w:after="0" w:line="143" w:lineRule="exact"/>
        <w:rPr>
          <w:sz w:val="20"/>
          <w:szCs w:val="20"/>
          <w:color w:val="auto"/>
        </w:rPr>
      </w:pPr>
    </w:p>
    <w:p>
      <w:pPr>
        <w:sectPr>
          <w:pgSz w:w="11900" w:h="16838" w:orient="portrait"/>
          <w:cols w:equalWidth="0" w:num="2">
            <w:col w:w="5900" w:space="300"/>
            <w:col w:w="5040"/>
          </w:cols>
          <w:pgMar w:left="320" w:top="796" w:right="339" w:bottom="1440" w:gutter="0" w:footer="0" w:header="0"/>
          <w:type w:val="continuous"/>
        </w:sectPr>
      </w:pPr>
    </w:p>
    <w:p>
      <w:pPr>
        <w:ind w:left="564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Oaktree Capital Management, 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43" w:lineRule="exact"/>
        <w:rPr>
          <w:sz w:val="20"/>
          <w:szCs w:val="20"/>
          <w:color w:val="auto"/>
        </w:rPr>
      </w:pPr>
    </w:p>
    <w:p>
      <w:pPr>
        <w:sectPr>
          <w:pgSz w:w="11900" w:h="16838" w:orient="portrait"/>
          <w:cols w:equalWidth="0" w:num="2">
            <w:col w:w="5900" w:space="300"/>
            <w:col w:w="5040"/>
          </w:cols>
          <w:pgMar w:left="320" w:top="796" w:right="339" w:bottom="1440" w:gutter="0" w:footer="0" w:header="0"/>
          <w:type w:val="continuous"/>
        </w:sect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143"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OAKTREE VALUE OPPORTUNITIES FUND GP, L.P.</w:t>
      </w:r>
    </w:p>
    <w:p>
      <w:pPr>
        <w:sectPr>
          <w:pgSz w:w="11900" w:h="16838" w:orient="portrait"/>
          <w:cols w:equalWidth="0" w:num="1">
            <w:col w:w="11240"/>
          </w:cols>
          <w:pgMar w:left="320" w:top="796" w:right="339" w:bottom="1440" w:gutter="0" w:footer="0" w:header="0"/>
          <w:type w:val="continuous"/>
        </w:sectPr>
      </w:pPr>
    </w:p>
    <w:p>
      <w:pPr>
        <w:spacing w:after="0" w:line="18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Oaktree Value Opportunities Fund GP Ltd.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General Partner</w:t>
      </w:r>
    </w:p>
    <w:p>
      <w:pPr>
        <w:spacing w:after="0" w:line="143" w:lineRule="exact"/>
        <w:rPr>
          <w:sz w:val="20"/>
          <w:szCs w:val="20"/>
          <w:color w:val="auto"/>
        </w:rPr>
      </w:pPr>
    </w:p>
    <w:p>
      <w:pPr>
        <w:sectPr>
          <w:pgSz w:w="11900" w:h="16838" w:orient="portrait"/>
          <w:cols w:equalWidth="0" w:num="2">
            <w:col w:w="5900" w:space="300"/>
            <w:col w:w="5040"/>
          </w:cols>
          <w:pgMar w:left="320" w:top="796" w:right="339" w:bottom="1440" w:gutter="0" w:footer="0" w:header="0"/>
          <w:type w:val="continuous"/>
        </w:sectPr>
      </w:pPr>
    </w:p>
    <w:p>
      <w:pPr>
        <w:ind w:left="564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Oaktree Capital Management, 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43" w:lineRule="exact"/>
        <w:rPr>
          <w:sz w:val="20"/>
          <w:szCs w:val="20"/>
          <w:color w:val="auto"/>
        </w:rPr>
      </w:pPr>
    </w:p>
    <w:p>
      <w:pPr>
        <w:sectPr>
          <w:pgSz w:w="11900" w:h="16838" w:orient="portrait"/>
          <w:cols w:equalWidth="0" w:num="2">
            <w:col w:w="5900" w:space="300"/>
            <w:col w:w="5040"/>
          </w:cols>
          <w:pgMar w:left="320" w:top="796" w:right="339" w:bottom="1440" w:gutter="0" w:footer="0" w:header="0"/>
          <w:type w:val="continuous"/>
        </w:sect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143"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OAKTREE VALUE OPPORTUNITIES FUND GP LTD.</w:t>
      </w:r>
    </w:p>
    <w:p>
      <w:pPr>
        <w:sectPr>
          <w:pgSz w:w="11900" w:h="16838" w:orient="portrait"/>
          <w:cols w:equalWidth="0" w:num="1">
            <w:col w:w="11240"/>
          </w:cols>
          <w:pgMar w:left="320" w:top="796" w:right="339" w:bottom="1440" w:gutter="0" w:footer="0" w:header="0"/>
          <w:type w:val="continuous"/>
        </w:sectPr>
      </w:pPr>
    </w:p>
    <w:p>
      <w:pPr>
        <w:spacing w:after="0" w:line="169"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Oaktree Capital Management, 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43" w:lineRule="exact"/>
        <w:rPr>
          <w:sz w:val="20"/>
          <w:szCs w:val="20"/>
          <w:color w:val="auto"/>
        </w:rPr>
      </w:pPr>
    </w:p>
    <w:p>
      <w:pPr>
        <w:sectPr>
          <w:pgSz w:w="11900" w:h="16838" w:orient="portrait"/>
          <w:cols w:equalWidth="0" w:num="2">
            <w:col w:w="5900" w:space="300"/>
            <w:col w:w="5040"/>
          </w:cols>
          <w:pgMar w:left="320" w:top="796" w:right="339" w:bottom="1440" w:gutter="0" w:footer="0" w:header="0"/>
          <w:type w:val="continuous"/>
        </w:sect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24" w:name="page25"/>
    <w:bookmarkEnd w:id="24"/>
    <w:p>
      <w:pPr>
        <w:ind w:left="4520"/>
        <w:spacing w:after="0"/>
        <w:rPr>
          <w:sz w:val="20"/>
          <w:szCs w:val="20"/>
          <w:color w:val="auto"/>
        </w:rPr>
      </w:pPr>
      <w:r>
        <w:rPr>
          <w:rFonts w:ascii="Arial" w:cs="Arial" w:eastAsia="Arial" w:hAnsi="Arial"/>
          <w:sz w:val="18"/>
          <w:szCs w:val="18"/>
          <w:color w:val="auto"/>
        </w:rPr>
        <w:t>OAKTREE FUND GP I, L.P.</w:t>
      </w:r>
    </w:p>
    <w:p>
      <w:pPr>
        <w:spacing w:after="0" w:line="158"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24942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14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OAKTREE CAPITAL I, L.P.</w:t>
      </w:r>
    </w:p>
    <w:p>
      <w:pPr>
        <w:spacing w:after="0" w:line="158"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24942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14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OCM HOLDINGS I, LLC</w:t>
      </w:r>
    </w:p>
    <w:p>
      <w:pPr>
        <w:spacing w:after="0" w:line="158"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24942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14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OAKTREE HOLDINGS, LLC</w:t>
      </w:r>
    </w:p>
    <w:p>
      <w:pPr>
        <w:spacing w:after="0" w:line="158"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24942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14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OAKTREE CAPITAL MANAGEMENT, L.P.</w:t>
      </w:r>
    </w:p>
    <w:p>
      <w:pPr>
        <w:spacing w:after="0" w:line="158"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24942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143"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OAKTREE CAPITAL MANAGEMENT GP, LLC</w:t>
      </w:r>
    </w:p>
    <w:p>
      <w:pPr>
        <w:spacing w:after="0" w:line="16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Atlas OCM Holdings, LLC</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Managing Member</w:t>
      </w:r>
    </w:p>
    <w:p>
      <w:pPr>
        <w:spacing w:after="0" w:line="14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Oaktree New Holdings, LLC</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Member</w:t>
      </w:r>
    </w:p>
    <w:p>
      <w:pPr>
        <w:spacing w:after="0" w:line="14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24942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580390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800" w:right="1440" w:bottom="1440" w:gutter="0" w:footer="0" w:header="0"/>
        </w:sectPr>
      </w:pPr>
    </w:p>
    <w:bookmarkStart w:id="25" w:name="page26"/>
    <w:bookmarkEnd w:id="25"/>
    <w:p>
      <w:pPr>
        <w:ind w:left="5640"/>
        <w:spacing w:after="0"/>
        <w:rPr>
          <w:sz w:val="20"/>
          <w:szCs w:val="20"/>
          <w:color w:val="auto"/>
        </w:rPr>
      </w:pPr>
      <w:r>
        <w:rPr>
          <w:rFonts w:ascii="Arial" w:cs="Arial" w:eastAsia="Arial" w:hAnsi="Arial"/>
          <w:sz w:val="18"/>
          <w:szCs w:val="18"/>
          <w:color w:val="auto"/>
        </w:rPr>
        <w:t>ATLAS OCM HOLDINGS, LLC</w:t>
      </w:r>
    </w:p>
    <w:p>
      <w:pPr>
        <w:spacing w:after="0" w:line="158"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Oaktree New Holdings, LLC</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Member</w:t>
      </w:r>
    </w:p>
    <w:p>
      <w:pPr>
        <w:spacing w:after="0" w:line="14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1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OAKTREE CAPITAL GROUP, LLC</w:t>
      </w:r>
    </w:p>
    <w:p>
      <w:pPr>
        <w:spacing w:after="0" w:line="158"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1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OAKTREE CAPITAL GROUP HOLDINGS GP, LLC</w:t>
      </w:r>
    </w:p>
    <w:p>
      <w:pPr>
        <w:spacing w:after="0" w:line="158"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1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BROOKFIELD ASSET MANAGEMENT INC.</w:t>
      </w:r>
    </w:p>
    <w:p>
      <w:pPr>
        <w:spacing w:after="0" w:line="158"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Kathy Sarpash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Kathy Sarpash</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Legal &amp; Regulatory</w:t>
      </w:r>
    </w:p>
    <w:p>
      <w:pPr>
        <w:spacing w:after="0" w:line="1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BAM PARTNERS TRUST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BAM Class B Partners Inc.</w:t>
            </w:r>
          </w:p>
        </w:tc>
        <w:tc>
          <w:tcPr>
            <w:tcW w:w="1120" w:type="dxa"/>
            <w:vAlign w:val="bottom"/>
          </w:tcPr>
          <w:p>
            <w:pPr>
              <w:spacing w:after="0"/>
              <w:rPr>
                <w:sz w:val="18"/>
                <w:szCs w:val="18"/>
                <w:color w:val="auto"/>
              </w:rPr>
            </w:pPr>
          </w:p>
        </w:tc>
      </w:t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Its:</w:t>
            </w:r>
          </w:p>
        </w:tc>
        <w:tc>
          <w:tcPr>
            <w:tcW w:w="3920" w:type="dxa"/>
            <w:vAlign w:val="bottom"/>
          </w:tcPr>
          <w:p>
            <w:pPr>
              <w:spacing w:after="0"/>
              <w:rPr>
                <w:sz w:val="20"/>
                <w:szCs w:val="20"/>
                <w:color w:val="auto"/>
              </w:rPr>
            </w:pPr>
            <w:r>
              <w:rPr>
                <w:rFonts w:ascii="Arial" w:cs="Arial" w:eastAsia="Arial" w:hAnsi="Arial"/>
                <w:sz w:val="18"/>
                <w:szCs w:val="18"/>
                <w:color w:val="auto"/>
              </w:rPr>
              <w:t>Trustee</w:t>
            </w:r>
          </w:p>
        </w:tc>
        <w:tc>
          <w:tcPr>
            <w:tcW w:w="1120" w:type="dxa"/>
            <w:vAlign w:val="bottom"/>
          </w:tcPr>
          <w:p>
            <w:pPr>
              <w:spacing w:after="0"/>
              <w:rPr>
                <w:sz w:val="20"/>
                <w:szCs w:val="20"/>
                <w:color w:val="auto"/>
              </w:rPr>
            </w:pP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Kathy Sarpash</w:t>
            </w:r>
          </w:p>
        </w:tc>
        <w:tc>
          <w:tcPr>
            <w:tcW w:w="1120" w:type="dxa"/>
            <w:vAlign w:val="bottom"/>
          </w:tcPr>
          <w:p>
            <w:pPr>
              <w:spacing w:after="0"/>
              <w:rPr>
                <w:sz w:val="24"/>
                <w:szCs w:val="24"/>
                <w:color w:val="auto"/>
              </w:rPr>
            </w:pPr>
          </w:p>
        </w:tc>
      </w:tr>
      <w:tr>
        <w:trPr>
          <w:trHeight w:val="195"/>
        </w:trPr>
        <w:tc>
          <w:tcPr>
            <w:tcW w:w="6200" w:type="dxa"/>
            <w:vAlign w:val="bottom"/>
          </w:tcPr>
          <w:p>
            <w:pPr>
              <w:ind w:left="5640"/>
              <w:spacing w:after="0" w:line="195"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Kathy Sarpash</w:t>
            </w:r>
          </w:p>
        </w:tc>
        <w:tc>
          <w:tcPr>
            <w:tcW w:w="1120" w:type="dxa"/>
            <w:vAlign w:val="bottom"/>
          </w:tcPr>
          <w:p>
            <w:pPr>
              <w:spacing w:after="0"/>
              <w:rPr>
                <w:sz w:val="16"/>
                <w:szCs w:val="16"/>
                <w:color w:val="auto"/>
              </w:rPr>
            </w:pPr>
          </w:p>
        </w:tc>
      </w:t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Secretary</w:t>
            </w:r>
          </w:p>
        </w:tc>
        <w:tc>
          <w:tcPr>
            <w:tcW w:w="1120" w:type="dxa"/>
            <w:vAlign w:val="bottom"/>
          </w:tcPr>
          <w:p>
            <w:pPr>
              <w:spacing w:after="0"/>
              <w:rPr>
                <w:sz w:val="20"/>
                <w:szCs w:val="20"/>
                <w:color w:val="auto"/>
              </w:rPr>
            </w:pPr>
          </w:p>
        </w:tc>
      </w:tr>
      <w:tr>
        <w:trPr>
          <w:trHeight w:val="763"/>
        </w:trPr>
        <w:tc>
          <w:tcPr>
            <w:tcW w:w="62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0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lowerLetter"/>
      <w:start w:val="2"/>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1)"/>
      <w:numFmt w:val="lowerLetter"/>
      <w:start w:val="4"/>
    </w:lvl>
  </w:abstractNum>
  <w:abstractNum w:abstractNumId="18">
    <w:nsid w:val="7C83E45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2022-02-14T15:56:47Z</dcterms:created>
  <dcterms:modified xsi:type="dcterms:W3CDTF">2022-02-14T15:56:47Z</dcterms:modified>
</cp:coreProperties>
</file>