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Date of report (Date of earliest event reported): June 28,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240" w:type="dxa"/>
        <w:tblCellMar>
          <w:top w:w="0" w:type="dxa"/>
          <w:left w:w="0" w:type="dxa"/>
          <w:bottom w:w="0" w:type="dxa"/>
          <w:right w:w="0" w:type="dxa"/>
        </w:tblCellMar>
      </w:tblPr>
      <w:tr>
        <w:trPr>
          <w:trHeight w:val="218"/>
        </w:trPr>
        <w:tc>
          <w:tcPr>
            <w:tcW w:w="4540" w:type="dxa"/>
            <w:vAlign w:val="bottom"/>
          </w:tcPr>
          <w:p>
            <w:pPr>
              <w:jc w:val="center"/>
              <w:ind w:right="1042"/>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tcPr>
          <w:p>
            <w:pPr>
              <w:jc w:val="right"/>
              <w:ind w:right="922"/>
              <w:spacing w:after="0"/>
              <w:rPr>
                <w:sz w:val="20"/>
                <w:szCs w:val="20"/>
                <w:color w:val="auto"/>
              </w:rPr>
            </w:pPr>
            <w:r>
              <w:rPr>
                <w:rFonts w:ascii="Arial" w:cs="Arial" w:eastAsia="Arial" w:hAnsi="Arial"/>
                <w:sz w:val="18"/>
                <w:szCs w:val="18"/>
                <w:b w:val="1"/>
                <w:bCs w:val="1"/>
                <w:color w:val="auto"/>
              </w:rPr>
              <w:t>333-126019-09</w:t>
            </w:r>
          </w:p>
        </w:tc>
        <w:tc>
          <w:tcPr>
            <w:tcW w:w="2740" w:type="dxa"/>
            <w:vAlign w:val="bottom"/>
          </w:tcPr>
          <w:p>
            <w:pPr>
              <w:jc w:val="center"/>
              <w:ind w:left="16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540" w:type="dxa"/>
            <w:vAlign w:val="bottom"/>
          </w:tcPr>
          <w:p>
            <w:pPr>
              <w:jc w:val="center"/>
              <w:ind w:right="102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600" w:type="dxa"/>
            <w:vAlign w:val="bottom"/>
          </w:tcPr>
          <w:p>
            <w:pPr>
              <w:jc w:val="center"/>
              <w:ind w:right="40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40" w:type="dxa"/>
            <w:vAlign w:val="bottom"/>
          </w:tcPr>
          <w:p>
            <w:pPr>
              <w:jc w:val="center"/>
              <w:ind w:left="16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40" w:type="dxa"/>
            <w:vAlign w:val="bottom"/>
          </w:tcPr>
          <w:p>
            <w:pPr>
              <w:jc w:val="center"/>
              <w:ind w:right="1022"/>
              <w:spacing w:after="0"/>
              <w:rPr>
                <w:sz w:val="20"/>
                <w:szCs w:val="20"/>
                <w:color w:val="auto"/>
              </w:rPr>
            </w:pPr>
            <w:r>
              <w:rPr>
                <w:rFonts w:ascii="Arial" w:cs="Arial" w:eastAsia="Arial" w:hAnsi="Arial"/>
                <w:sz w:val="14"/>
                <w:szCs w:val="14"/>
                <w:b w:val="1"/>
                <w:bCs w:val="1"/>
                <w:color w:val="auto"/>
                <w:w w:val="89"/>
              </w:rPr>
              <w:t>of Incorporation)</w:t>
            </w:r>
          </w:p>
        </w:tc>
        <w:tc>
          <w:tcPr>
            <w:tcW w:w="2600" w:type="dxa"/>
            <w:vAlign w:val="bottom"/>
          </w:tcPr>
          <w:p>
            <w:pPr>
              <w:spacing w:after="0"/>
              <w:rPr>
                <w:sz w:val="15"/>
                <w:szCs w:val="15"/>
                <w:color w:val="auto"/>
              </w:rPr>
            </w:pPr>
          </w:p>
        </w:tc>
        <w:tc>
          <w:tcPr>
            <w:tcW w:w="2740" w:type="dxa"/>
            <w:vAlign w:val="bottom"/>
          </w:tcPr>
          <w:p>
            <w:pPr>
              <w:jc w:val="center"/>
              <w:ind w:left="16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7140" w:type="dxa"/>
            <w:vAlign w:val="bottom"/>
            <w:gridSpan w:val="2"/>
          </w:tcPr>
          <w:p>
            <w:pPr>
              <w:jc w:val="center"/>
              <w:ind w:right="1822"/>
              <w:spacing w:after="0"/>
              <w:rPr>
                <w:sz w:val="20"/>
                <w:szCs w:val="20"/>
                <w:color w:val="auto"/>
              </w:rPr>
            </w:pPr>
            <w:r>
              <w:rPr>
                <w:rFonts w:ascii="Arial" w:cs="Arial" w:eastAsia="Arial" w:hAnsi="Arial"/>
                <w:sz w:val="18"/>
                <w:szCs w:val="18"/>
                <w:b w:val="1"/>
                <w:bCs w:val="1"/>
                <w:color w:val="auto"/>
                <w:w w:val="89"/>
              </w:rPr>
              <w:t>c/o MagnaChip Semiconductor S.A., 74, rue de Merl, B.P. 709, L-2017</w:t>
            </w:r>
          </w:p>
        </w:tc>
        <w:tc>
          <w:tcPr>
            <w:tcW w:w="2740" w:type="dxa"/>
            <w:vAlign w:val="bottom"/>
          </w:tcPr>
          <w:p>
            <w:pPr>
              <w:spacing w:after="0"/>
              <w:rPr>
                <w:sz w:val="24"/>
                <w:szCs w:val="24"/>
                <w:color w:val="auto"/>
              </w:rPr>
            </w:pPr>
          </w:p>
        </w:tc>
      </w:tr>
      <w:tr>
        <w:trPr>
          <w:trHeight w:val="231"/>
        </w:trPr>
        <w:tc>
          <w:tcPr>
            <w:tcW w:w="4540" w:type="dxa"/>
            <w:vAlign w:val="bottom"/>
          </w:tcPr>
          <w:p>
            <w:pPr>
              <w:jc w:val="center"/>
              <w:ind w:left="642"/>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600" w:type="dxa"/>
            <w:vAlign w:val="bottom"/>
          </w:tcPr>
          <w:p>
            <w:pPr>
              <w:spacing w:after="0"/>
              <w:rPr>
                <w:sz w:val="20"/>
                <w:szCs w:val="20"/>
                <w:color w:val="auto"/>
              </w:rPr>
            </w:pPr>
          </w:p>
        </w:tc>
        <w:tc>
          <w:tcPr>
            <w:tcW w:w="2740" w:type="dxa"/>
            <w:vAlign w:val="bottom"/>
          </w:tcPr>
          <w:p>
            <w:pPr>
              <w:jc w:val="center"/>
              <w:ind w:right="6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540" w:type="dxa"/>
            <w:vAlign w:val="bottom"/>
          </w:tcPr>
          <w:p>
            <w:pPr>
              <w:jc w:val="center"/>
              <w:ind w:left="6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600" w:type="dxa"/>
            <w:vAlign w:val="bottom"/>
          </w:tcPr>
          <w:p>
            <w:pPr>
              <w:spacing w:after="0"/>
              <w:rPr>
                <w:sz w:val="15"/>
                <w:szCs w:val="15"/>
                <w:color w:val="auto"/>
              </w:rPr>
            </w:pPr>
          </w:p>
        </w:tc>
        <w:tc>
          <w:tcPr>
            <w:tcW w:w="27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28, 2007, MagnaChip Semiconductor LLC (the “Company”) entered into the Seventh Amendment to Credit Agreement (as amended, the “Credit Agreement”), dated as of June 28, 2007 (the “Seventh Amendment”), with MagnaChip Semiconductor S.A. and MagnaChip Semiconductor Finance Company, as borrowers, the Subsidiary Guarantors party thereto, the Lenders party thereto, and UBS AG, Stamford Branch, as administrative agent and collateral agent. Under the Seventh Amendment, among other things, the use of proceeds provision under Section 3.12 of the Credit Agreement was revised to provide increased flexibility for MagnaChip Semiconductor S.A. to use proceeds of any borrowing under the Credit Agreement. The foregoing description does not purport to be complete and is qualified in its entirety by reference to the text of the Amendment, which is attached hereto as Exhibit 10.3.g to this report and is incorporated herein by reference.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820" w:type="dxa"/>
            <w:vAlign w:val="bottom"/>
            <w:gridSpan w:val="2"/>
          </w:tcPr>
          <w:p>
            <w:pPr>
              <w:ind w:left="160"/>
              <w:spacing w:after="0"/>
              <w:rPr>
                <w:sz w:val="20"/>
                <w:szCs w:val="20"/>
                <w:color w:val="auto"/>
              </w:rPr>
            </w:pPr>
            <w:r>
              <w:rPr>
                <w:rFonts w:ascii="Arial" w:cs="Arial" w:eastAsia="Arial" w:hAnsi="Arial"/>
                <w:sz w:val="18"/>
                <w:szCs w:val="18"/>
                <w:b w:val="1"/>
                <w:bCs w:val="1"/>
                <w:color w:val="auto"/>
                <w:w w:val="85"/>
              </w:rPr>
              <w:t>Exhibits.</w:t>
            </w:r>
          </w:p>
        </w:tc>
        <w:tc>
          <w:tcPr>
            <w:tcW w:w="440" w:type="dxa"/>
            <w:vAlign w:val="bottom"/>
          </w:tcPr>
          <w:p>
            <w:pPr>
              <w:spacing w:after="0"/>
              <w:rPr>
                <w:sz w:val="19"/>
                <w:szCs w:val="19"/>
                <w:color w:val="auto"/>
              </w:rPr>
            </w:pPr>
          </w:p>
        </w:tc>
        <w:tc>
          <w:tcPr>
            <w:tcW w:w="8260" w:type="dxa"/>
            <w:vAlign w:val="bottom"/>
          </w:tcPr>
          <w:p>
            <w:pPr>
              <w:spacing w:after="0"/>
              <w:rPr>
                <w:sz w:val="19"/>
                <w:szCs w:val="19"/>
                <w:color w:val="auto"/>
              </w:rPr>
            </w:pPr>
          </w:p>
        </w:tc>
      </w:tr>
      <w:tr>
        <w:trPr>
          <w:trHeight w:val="353"/>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8700" w:type="dxa"/>
            <w:vAlign w:val="bottom"/>
            <w:gridSpan w:val="2"/>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60" w:type="dxa"/>
            <w:vAlign w:val="bottom"/>
            <w:shd w:val="clear" w:color="auto" w:fill="000000"/>
          </w:tcPr>
          <w:p>
            <w:pPr>
              <w:spacing w:after="0" w:line="20" w:lineRule="exact"/>
              <w:rPr>
                <w:sz w:val="1"/>
                <w:szCs w:val="1"/>
                <w:color w:val="auto"/>
              </w:rPr>
            </w:pPr>
          </w:p>
        </w:tc>
      </w:tr>
      <w:tr>
        <w:trPr>
          <w:trHeight w:val="195"/>
        </w:trPr>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10.3.g</w:t>
            </w:r>
          </w:p>
        </w:tc>
        <w:tc>
          <w:tcPr>
            <w:tcW w:w="8700" w:type="dxa"/>
            <w:vAlign w:val="bottom"/>
            <w:gridSpan w:val="2"/>
          </w:tcPr>
          <w:p>
            <w:pPr>
              <w:ind w:left="440"/>
              <w:spacing w:after="0" w:line="195" w:lineRule="exact"/>
              <w:rPr>
                <w:sz w:val="20"/>
                <w:szCs w:val="20"/>
                <w:color w:val="auto"/>
              </w:rPr>
            </w:pPr>
            <w:r>
              <w:rPr>
                <w:rFonts w:ascii="Arial" w:cs="Arial" w:eastAsia="Arial" w:hAnsi="Arial"/>
                <w:sz w:val="18"/>
                <w:szCs w:val="18"/>
                <w:color w:val="auto"/>
                <w:w w:val="91"/>
              </w:rPr>
              <w:t>Seventh Amendment to Credit Agreement, dated as of June 28, 2007, by and among MagnaChip Semiconductor</w:t>
            </w: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700" w:type="dxa"/>
            <w:vAlign w:val="bottom"/>
            <w:gridSpan w:val="2"/>
          </w:tcPr>
          <w:p>
            <w:pPr>
              <w:ind w:left="440"/>
              <w:spacing w:after="0"/>
              <w:rPr>
                <w:sz w:val="20"/>
                <w:szCs w:val="20"/>
                <w:color w:val="auto"/>
              </w:rPr>
            </w:pPr>
            <w:r>
              <w:rPr>
                <w:rFonts w:ascii="Arial" w:cs="Arial" w:eastAsia="Arial" w:hAnsi="Arial"/>
                <w:sz w:val="18"/>
                <w:szCs w:val="18"/>
                <w:color w:val="auto"/>
                <w:w w:val="96"/>
              </w:rPr>
              <w:t>S.A. and MagnaChip Semiconductor Finance Company, as borrowers, MagnaChip Semiconductor LLC, the</w:t>
            </w:r>
          </w:p>
        </w:tc>
      </w:tr>
      <w:tr>
        <w:trPr>
          <w:trHeight w:val="216"/>
        </w:trPr>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700" w:type="dxa"/>
            <w:vAlign w:val="bottom"/>
            <w:gridSpan w:val="2"/>
          </w:tcPr>
          <w:p>
            <w:pPr>
              <w:ind w:left="440"/>
              <w:spacing w:after="0"/>
              <w:rPr>
                <w:sz w:val="20"/>
                <w:szCs w:val="20"/>
                <w:color w:val="auto"/>
              </w:rPr>
            </w:pPr>
            <w:r>
              <w:rPr>
                <w:rFonts w:ascii="Arial" w:cs="Arial" w:eastAsia="Arial" w:hAnsi="Arial"/>
                <w:sz w:val="18"/>
                <w:szCs w:val="18"/>
                <w:color w:val="auto"/>
                <w:w w:val="91"/>
              </w:rPr>
              <w:t>Subsidiary Guarantors party thereto, the Lenders party thereto, and UBS AG, Stamford Branch, as administrative</w:t>
            </w:r>
          </w:p>
        </w:tc>
      </w:tr>
      <w:tr>
        <w:trPr>
          <w:trHeight w:val="222"/>
        </w:trPr>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700" w:type="dxa"/>
            <w:vAlign w:val="bottom"/>
            <w:gridSpan w:val="2"/>
          </w:tcPr>
          <w:p>
            <w:pPr>
              <w:ind w:left="440"/>
              <w:spacing w:after="0"/>
              <w:rPr>
                <w:sz w:val="20"/>
                <w:szCs w:val="20"/>
                <w:color w:val="auto"/>
              </w:rPr>
            </w:pPr>
            <w:r>
              <w:rPr>
                <w:rFonts w:ascii="Arial" w:cs="Arial" w:eastAsia="Arial" w:hAnsi="Arial"/>
                <w:sz w:val="18"/>
                <w:szCs w:val="18"/>
                <w:color w:val="auto"/>
              </w:rPr>
              <w:t>agent and collateral agent.</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6920" w:val="left"/>
        </w:tabs>
        <w:rPr>
          <w:sz w:val="20"/>
          <w:szCs w:val="20"/>
          <w:color w:val="auto"/>
        </w:rPr>
      </w:pPr>
      <w:r>
        <w:rPr>
          <w:rFonts w:ascii="Arial" w:cs="Arial" w:eastAsia="Arial" w:hAnsi="Arial"/>
          <w:sz w:val="18"/>
          <w:szCs w:val="18"/>
          <w:color w:val="auto"/>
        </w:rPr>
        <w:t>Dated: June 28, 2007</w:t>
      </w:r>
      <w:r>
        <w:rPr>
          <w:sz w:val="20"/>
          <w:szCs w:val="20"/>
          <w:color w:val="auto"/>
        </w:rPr>
        <w:tab/>
      </w:r>
      <w:r>
        <w:rPr>
          <w:rFonts w:ascii="Arial" w:cs="Arial" w:eastAsia="Arial" w:hAnsi="Arial"/>
          <w:sz w:val="16"/>
          <w:szCs w:val="16"/>
          <w:color w:val="auto"/>
        </w:rPr>
        <w:t>By:  /s/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10795</wp:posOffset>
            </wp:positionV>
            <wp:extent cx="2607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56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10.3.g</w:t>
            </w:r>
          </w:p>
        </w:tc>
        <w:tc>
          <w:tcPr>
            <w:tcW w:w="560" w:type="dxa"/>
            <w:vAlign w:val="bottom"/>
          </w:tcPr>
          <w:p>
            <w:pPr>
              <w:spacing w:after="0"/>
              <w:rPr>
                <w:sz w:val="16"/>
                <w:szCs w:val="16"/>
                <w:color w:val="auto"/>
              </w:rPr>
            </w:pPr>
          </w:p>
        </w:tc>
        <w:tc>
          <w:tcPr>
            <w:tcW w:w="10200" w:type="dxa"/>
            <w:vAlign w:val="bottom"/>
            <w:gridSpan w:val="3"/>
          </w:tcPr>
          <w:p>
            <w:pPr>
              <w:spacing w:after="0" w:line="195" w:lineRule="exact"/>
              <w:rPr>
                <w:sz w:val="20"/>
                <w:szCs w:val="20"/>
                <w:color w:val="auto"/>
              </w:rPr>
            </w:pPr>
            <w:r>
              <w:rPr>
                <w:rFonts w:ascii="Arial" w:cs="Arial" w:eastAsia="Arial" w:hAnsi="Arial"/>
                <w:sz w:val="18"/>
                <w:szCs w:val="18"/>
                <w:color w:val="auto"/>
                <w:w w:val="95"/>
              </w:rPr>
              <w:t>Seventh Amendment to Credit Agreement, dated as of June 28, 2007, by and among MagnaChip Semiconductor S.A. and MagnaChip</w:t>
            </w:r>
          </w:p>
        </w:tc>
      </w:tr>
      <w:tr>
        <w:trPr>
          <w:trHeight w:val="216"/>
        </w:trPr>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w w:val="90"/>
              </w:rPr>
              <w:t>Semiconductor Finance Company, as borrowers, MagnaChip Semiconductor LLC, the Subsidiary Guarantors party thereto, the Lenders party</w:t>
            </w:r>
          </w:p>
        </w:tc>
      </w:tr>
      <w:tr>
        <w:trPr>
          <w:trHeight w:val="222"/>
        </w:trPr>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rPr>
              <w:t>thereto, and UBS AG, Stamford Branch, as administrative agent and collateral agent.</w:t>
            </w: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10.3.g</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SEVENTH AMENDMENT TO CREDIT AGREEMENT</w:t>
      </w:r>
    </w:p>
    <w:p>
      <w:pPr>
        <w:spacing w:after="0" w:line="1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This SEVENTH AMENDMENT TO CREDIT AGREEMENT (as the same may be amended, restated, supplemented, extended or otherwise modified from time to time, this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is entered into as of June 28, 2007, by and among MAGNACHIP SEMICONDUCTOR S.A., a </w:t>
      </w:r>
      <w:r>
        <w:rPr>
          <w:rFonts w:ascii="Arial" w:cs="Arial" w:eastAsia="Arial" w:hAnsi="Arial"/>
          <w:sz w:val="16"/>
          <w:szCs w:val="16"/>
          <w:i w:val="1"/>
          <w:iCs w:val="1"/>
          <w:color w:val="auto"/>
        </w:rPr>
        <w:t>société anonyme</w:t>
      </w:r>
      <w:r>
        <w:rPr>
          <w:rFonts w:ascii="Arial" w:cs="Arial" w:eastAsia="Arial" w:hAnsi="Arial"/>
          <w:sz w:val="16"/>
          <w:szCs w:val="16"/>
          <w:color w:val="auto"/>
        </w:rPr>
        <w:t>, organized and existing under the laws of the Grand Duchy of Luxembourg, having its registered office at 74, rue de Merl, B.P. 709, L-2017 Luxembourg, Grand Duchy of Luxembourg, registered with the Luxembourg Register of commerce and companies under the number B 97,483 (“</w:t>
      </w:r>
      <w:r>
        <w:rPr>
          <w:rFonts w:ascii="Arial" w:cs="Arial" w:eastAsia="Arial" w:hAnsi="Arial"/>
          <w:sz w:val="16"/>
          <w:szCs w:val="16"/>
          <w:b w:val="1"/>
          <w:bCs w:val="1"/>
          <w:color w:val="auto"/>
        </w:rPr>
        <w:t>Luxco</w:t>
      </w:r>
      <w:r>
        <w:rPr>
          <w:rFonts w:ascii="Arial" w:cs="Arial" w:eastAsia="Arial" w:hAnsi="Arial"/>
          <w:sz w:val="16"/>
          <w:szCs w:val="16"/>
          <w:color w:val="auto"/>
        </w:rPr>
        <w:t>”), MAGNACHIP SEMICONDUCTOR FINANCE COMPANY, a Delaware corporation (together with Luxco, “</w:t>
      </w:r>
      <w:r>
        <w:rPr>
          <w:rFonts w:ascii="Arial" w:cs="Arial" w:eastAsia="Arial" w:hAnsi="Arial"/>
          <w:sz w:val="16"/>
          <w:szCs w:val="16"/>
          <w:b w:val="1"/>
          <w:bCs w:val="1"/>
          <w:color w:val="auto"/>
        </w:rPr>
        <w:t>Borrowers</w:t>
      </w:r>
      <w:r>
        <w:rPr>
          <w:rFonts w:ascii="Arial" w:cs="Arial" w:eastAsia="Arial" w:hAnsi="Arial"/>
          <w:sz w:val="16"/>
          <w:szCs w:val="16"/>
          <w:color w:val="auto"/>
        </w:rPr>
        <w:t>”), MAGNACHIP SEMICONDUCTOR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the Subsidiary Guarantors (the “</w:t>
      </w:r>
      <w:r>
        <w:rPr>
          <w:rFonts w:ascii="Arial" w:cs="Arial" w:eastAsia="Arial" w:hAnsi="Arial"/>
          <w:sz w:val="16"/>
          <w:szCs w:val="16"/>
          <w:b w:val="1"/>
          <w:bCs w:val="1"/>
          <w:color w:val="auto"/>
        </w:rPr>
        <w:t>Subsidiary Guarantors</w:t>
      </w:r>
      <w:r>
        <w:rPr>
          <w:rFonts w:ascii="Arial" w:cs="Arial" w:eastAsia="Arial" w:hAnsi="Arial"/>
          <w:sz w:val="16"/>
          <w:szCs w:val="16"/>
          <w:color w:val="auto"/>
        </w:rPr>
        <w:t>”) listed on the signature pages hereto (each of Borrowers, Holdings and Subsidiary Guarantors are sometimes referred to herein as a “</w:t>
      </w:r>
      <w:r>
        <w:rPr>
          <w:rFonts w:ascii="Arial" w:cs="Arial" w:eastAsia="Arial" w:hAnsi="Arial"/>
          <w:sz w:val="16"/>
          <w:szCs w:val="16"/>
          <w:b w:val="1"/>
          <w:bCs w:val="1"/>
          <w:color w:val="auto"/>
        </w:rPr>
        <w:t>Loan 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Loan Parties</w:t>
      </w:r>
      <w:r>
        <w:rPr>
          <w:rFonts w:ascii="Arial" w:cs="Arial" w:eastAsia="Arial" w:hAnsi="Arial"/>
          <w:sz w:val="16"/>
          <w:szCs w:val="16"/>
          <w:color w:val="auto"/>
        </w:rPr>
        <w:t>”), the Lenders, UBS AG, STAMFORD BRANCH, as administrative agent (in such capacity, “</w:t>
      </w:r>
      <w:r>
        <w:rPr>
          <w:rFonts w:ascii="Arial" w:cs="Arial" w:eastAsia="Arial" w:hAnsi="Arial"/>
          <w:sz w:val="16"/>
          <w:szCs w:val="16"/>
          <w:b w:val="1"/>
          <w:bCs w:val="1"/>
          <w:color w:val="auto"/>
        </w:rPr>
        <w:t>Administrative Agent</w:t>
      </w:r>
      <w:r>
        <w:rPr>
          <w:rFonts w:ascii="Arial" w:cs="Arial" w:eastAsia="Arial" w:hAnsi="Arial"/>
          <w:sz w:val="16"/>
          <w:szCs w:val="16"/>
          <w:color w:val="auto"/>
        </w:rPr>
        <w:t>”) for the Lenders and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and together with the Administrative Agent, the “</w:t>
      </w:r>
      <w:r>
        <w:rPr>
          <w:rFonts w:ascii="Arial" w:cs="Arial" w:eastAsia="Arial" w:hAnsi="Arial"/>
          <w:sz w:val="16"/>
          <w:szCs w:val="16"/>
          <w:b w:val="1"/>
          <w:bCs w:val="1"/>
          <w:color w:val="auto"/>
        </w:rPr>
        <w:t>Agents</w:t>
      </w:r>
      <w:r>
        <w:rPr>
          <w:rFonts w:ascii="Arial" w:cs="Arial" w:eastAsia="Arial" w:hAnsi="Arial"/>
          <w:sz w:val="16"/>
          <w:szCs w:val="16"/>
          <w:color w:val="auto"/>
        </w:rPr>
        <w:t>,” and each an “</w:t>
      </w:r>
      <w:r>
        <w:rPr>
          <w:rFonts w:ascii="Arial" w:cs="Arial" w:eastAsia="Arial" w:hAnsi="Arial"/>
          <w:sz w:val="16"/>
          <w:szCs w:val="16"/>
          <w:b w:val="1"/>
          <w:bCs w:val="1"/>
          <w:color w:val="auto"/>
        </w:rPr>
        <w:t>Agent</w:t>
      </w:r>
      <w:r>
        <w:rPr>
          <w:rFonts w:ascii="Arial" w:cs="Arial" w:eastAsia="Arial" w:hAnsi="Arial"/>
          <w:sz w:val="16"/>
          <w:szCs w:val="16"/>
          <w:color w:val="auto"/>
        </w:rPr>
        <w:t>”) for the Secured Parties and the Issuing Bank.</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A. The Borrowers, Holdings, Subsidiary Guarantors, UBS Securities LLC, as lead arranger, as documentation agent and as syndication agent, UBS Loan Finance LLC, as swingline lender, Korea Exchange Bank, as issuing bank and Agents are parties to that certain Credit Agreement dated as of December 23, 2004 (as amended hereby, and as the same has been and hereafter may be amended, restated, supplemented or otherwise modified from time to time, the “</w:t>
      </w:r>
      <w:r>
        <w:rPr>
          <w:rFonts w:ascii="Arial" w:cs="Arial" w:eastAsia="Arial" w:hAnsi="Arial"/>
          <w:sz w:val="15"/>
          <w:szCs w:val="15"/>
          <w:b w:val="1"/>
          <w:bCs w:val="1"/>
          <w:color w:val="auto"/>
        </w:rPr>
        <w:t>Credit</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Unless otherwise specified herein, all capitalized terms used in this Amendment shall have the meanings ascribed to them in the Credit Agreement.</w:t>
      </w:r>
    </w:p>
    <w:p>
      <w:pPr>
        <w:spacing w:after="0" w:line="9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B. The Borrowers have requested that the Agents and the Required Lenders agree to amend and restate Section 3.12 of the Credit Agreement upon the terms and subject to the conditions as herein set forth.</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NOW, THEREFORE, in consideration of the foregoing, the covenants and conditions contained herein and other good and valuable consideration, the receipt and sufficiency of which are hereby acknowledged, the parties hereto agree as follows:</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b w:val="1"/>
          <w:bCs w:val="1"/>
          <w:u w:val="single" w:color="auto"/>
          <w:color w:val="auto"/>
        </w:rPr>
        <w:t>Amendment to Credit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3.12 of the Credit Agreement is hereby amended and restated in its entirety as follows:</w:t>
      </w:r>
    </w:p>
    <w:p>
      <w:pPr>
        <w:spacing w:after="0" w:line="113" w:lineRule="exact"/>
        <w:rPr>
          <w:sz w:val="20"/>
          <w:szCs w:val="20"/>
          <w:color w:val="auto"/>
        </w:rPr>
      </w:pPr>
    </w:p>
    <w:p>
      <w:pPr>
        <w:ind w:left="920" w:right="120" w:firstLine="420"/>
        <w:spacing w:after="0" w:line="275" w:lineRule="auto"/>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u w:val="single" w:color="auto"/>
          <w:color w:val="auto"/>
        </w:rPr>
        <w:t>Use of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shall use the proceeds of the Revolving Loans and Swingline Loans after the Closing Date for</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corporate purposes.”</w:t>
      </w:r>
    </w:p>
    <w:p>
      <w:pPr>
        <w:sectPr>
          <w:pgSz w:w="11900" w:h="16838" w:orient="portrait"/>
          <w:cols w:equalWidth="0" w:num="1">
            <w:col w:w="11420"/>
          </w:cols>
          <w:pgMar w:left="240" w:top="125" w:right="239" w:bottom="1440" w:gutter="0" w:footer="0" w:header="0"/>
        </w:sectPr>
      </w:pPr>
    </w:p>
    <w:bookmarkStart w:id="5" w:name="page6"/>
    <w:bookmarkEnd w:id="5"/>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 </w:t>
      </w:r>
      <w:r>
        <w:rPr>
          <w:rFonts w:ascii="Arial" w:cs="Arial" w:eastAsia="Arial" w:hAnsi="Arial"/>
          <w:sz w:val="16"/>
          <w:szCs w:val="16"/>
          <w:b w:val="1"/>
          <w:bCs w:val="1"/>
          <w:u w:val="single" w:color="auto"/>
          <w:color w:val="auto"/>
        </w:rPr>
        <w:t>Representations, Warranties and Covenants of Loan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To induce the Agents and Lenders to execute and deliver this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Amendment, each of the Loan Parties represents, warrants and covenants that:</w:t>
      </w:r>
    </w:p>
    <w:p>
      <w:pPr>
        <w:spacing w:after="0" w:line="84" w:lineRule="exact"/>
        <w:rPr>
          <w:sz w:val="20"/>
          <w:szCs w:val="20"/>
          <w:color w:val="auto"/>
        </w:rPr>
      </w:pPr>
    </w:p>
    <w:p>
      <w:pPr>
        <w:ind w:right="120" w:firstLine="921"/>
        <w:spacing w:after="0" w:line="291" w:lineRule="auto"/>
        <w:tabs>
          <w:tab w:leader="none" w:pos="115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execution, delivery and performance by the Loan Parties of this Amendment and all documents and instruments delivered in connection herewith and the Credit Agreement and all other Loan Documents have been duly authorized, and this Amendment and all documents and instruments delivered in connection herewith and the Credit Agreement and all other Loan Documents are legal, valid and binding obligations of the Loan Parties enforceable against the Loan Parties in accordance with their respective terms, except as the enforcement thereof may be subject to (i) the effect of any applicable bankruptcy, insolvency, reorganization, moratorium or similar law affecting creditors’ rights generally and (ii) general principles of equity (regardless of whether such enforcement is sought in a proceeding in equity or at law);</w:t>
      </w:r>
    </w:p>
    <w:p>
      <w:pPr>
        <w:spacing w:after="0" w:line="120" w:lineRule="exact"/>
        <w:rPr>
          <w:rFonts w:ascii="Arial" w:cs="Arial" w:eastAsia="Arial" w:hAnsi="Arial"/>
          <w:sz w:val="16"/>
          <w:szCs w:val="16"/>
          <w:color w:val="auto"/>
        </w:rPr>
      </w:pPr>
    </w:p>
    <w:p>
      <w:pPr>
        <w:ind w:firstLine="921"/>
        <w:spacing w:after="0" w:line="255" w:lineRule="auto"/>
        <w:tabs>
          <w:tab w:leader="none" w:pos="1162" w:val="left"/>
        </w:tabs>
        <w:numPr>
          <w:ilvl w:val="0"/>
          <w:numId w:val="2"/>
        </w:numPr>
        <w:rPr>
          <w:rFonts w:ascii="Arial" w:cs="Arial" w:eastAsia="Arial" w:hAnsi="Arial"/>
          <w:sz w:val="18"/>
          <w:szCs w:val="18"/>
          <w:color w:val="auto"/>
        </w:rPr>
      </w:pPr>
      <w:r>
        <w:rPr>
          <w:rFonts w:ascii="Arial" w:cs="Arial" w:eastAsia="Arial" w:hAnsi="Arial"/>
          <w:sz w:val="18"/>
          <w:szCs w:val="18"/>
          <w:color w:val="auto"/>
        </w:rPr>
        <w:t>After giving effect to this Amendment, each of the representations and warranties made by or on behalf of such Loan Party to either Agent or any Lender in any of the Loan Documents was true and correct when made and in all material respects is true and correct on and as of the date of this Amendment with the same full force and effect as if each of such representations and warranties had been made by such Loan Party on the date hereof and in this Amendment, and each of the agreements and covenants in the Credit Agreement and the other Loan Documents is hereby reaffirmed with the same force and effect as if each were separately stated herein and made as of the date hereof;</w:t>
      </w:r>
    </w:p>
    <w:p>
      <w:pPr>
        <w:spacing w:after="0" w:line="142" w:lineRule="exact"/>
        <w:rPr>
          <w:rFonts w:ascii="Arial" w:cs="Arial" w:eastAsia="Arial" w:hAnsi="Arial"/>
          <w:sz w:val="18"/>
          <w:szCs w:val="18"/>
          <w:color w:val="auto"/>
        </w:rPr>
      </w:pPr>
    </w:p>
    <w:p>
      <w:pPr>
        <w:ind w:right="40" w:firstLine="921"/>
        <w:spacing w:after="0" w:line="254" w:lineRule="auto"/>
        <w:tabs>
          <w:tab w:leader="none" w:pos="1152" w:val="left"/>
        </w:tabs>
        <w:numPr>
          <w:ilvl w:val="0"/>
          <w:numId w:val="2"/>
        </w:numPr>
        <w:rPr>
          <w:rFonts w:ascii="Arial" w:cs="Arial" w:eastAsia="Arial" w:hAnsi="Arial"/>
          <w:sz w:val="18"/>
          <w:szCs w:val="18"/>
          <w:color w:val="auto"/>
        </w:rPr>
      </w:pPr>
      <w:r>
        <w:rPr>
          <w:rFonts w:ascii="Arial" w:cs="Arial" w:eastAsia="Arial" w:hAnsi="Arial"/>
          <w:sz w:val="18"/>
          <w:szCs w:val="18"/>
          <w:color w:val="auto"/>
        </w:rPr>
        <w:t>Neither the execution, delivery and performance of this Amendment or any documents and instruments delivered in connection herewith nor the consummation of the transactions contemplated hereby or thereby (i) does or shall contravene, result in a breach of, or violate (A) any provision of any Loan Party’s corporate charter, bylaws, operating agreement, purchase agreement, or other governing documents, (B) any law or regulation, or any order or decree of any court or government instrumentality, or (C) any indenture, mortgage, deed of trust, lease, agreement or other instrument to which any Loan Party is a party or by which any Loan Party or any of its property is bound or (ii) requires any notice to, registration or filing with, acceptance, consent or approval of, or any other action by, any Governmental Authority;</w:t>
      </w:r>
    </w:p>
    <w:p>
      <w:pPr>
        <w:spacing w:after="0" w:line="144" w:lineRule="exact"/>
        <w:rPr>
          <w:rFonts w:ascii="Arial" w:cs="Arial" w:eastAsia="Arial" w:hAnsi="Arial"/>
          <w:sz w:val="18"/>
          <w:szCs w:val="18"/>
          <w:color w:val="auto"/>
        </w:rPr>
      </w:pPr>
    </w:p>
    <w:p>
      <w:pPr>
        <w:ind w:right="280" w:firstLine="921"/>
        <w:spacing w:after="0" w:line="259" w:lineRule="auto"/>
        <w:tabs>
          <w:tab w:leader="none" w:pos="1152" w:val="left"/>
        </w:tabs>
        <w:numPr>
          <w:ilvl w:val="0"/>
          <w:numId w:val="2"/>
        </w:numPr>
        <w:rPr>
          <w:rFonts w:ascii="Arial" w:cs="Arial" w:eastAsia="Arial" w:hAnsi="Arial"/>
          <w:sz w:val="18"/>
          <w:szCs w:val="18"/>
          <w:color w:val="auto"/>
        </w:rPr>
      </w:pPr>
      <w:r>
        <w:rPr>
          <w:rFonts w:ascii="Arial" w:cs="Arial" w:eastAsia="Arial" w:hAnsi="Arial"/>
          <w:sz w:val="18"/>
          <w:szCs w:val="18"/>
          <w:color w:val="auto"/>
        </w:rPr>
        <w:t>Agents’ and Lenders’ security interests in the Collateral continue to be valid, binding, and enforceable first-priority security interests which secure the Obligations (subject only to any Liens permitted under the Loan Documents), and no tax or judgment liens are currently of record against any Loan Party or any Subsidiary thereof; and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recitals to this Amendment are true and correct.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Reference to and Effect Upon the Credit Agreement</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921"/>
        <w:spacing w:after="0" w:line="314" w:lineRule="auto"/>
        <w:tabs>
          <w:tab w:leader="none" w:pos="1152"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Except as specifically set forth herein, all terms, conditions, covenants, representations and warranties contained in the Credit Agreement or any other Loan Documents, and all rights of Agents and Lenders and all of the Obligations, shall remain in full force and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of a conflict between the terms and provisions of the Credit Agreement or any other Loan Documents (other than this Amendment), the terms and provisions of the Credit Agreement (as amended hereby, and as the same has been and hereafter may be amended, restated, supplemented or otherwise modified from time to time) shall control. Each Loan Party hereby confirms that the Credit Agreement and the other Loan Documents are in full force and effect and that neither such Loan Party nor any of its Subsidiaries has any defenses, setoffs, claims, or counterclaims to the Obligations under the Credit Agreement or any other Loan Documents.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ind w:right="40" w:firstLine="921"/>
        <w:spacing w:after="0" w:line="284" w:lineRule="auto"/>
        <w:tabs>
          <w:tab w:leader="none" w:pos="1162" w:val="left"/>
        </w:tabs>
        <w:numPr>
          <w:ilvl w:val="1"/>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expressly set forth herein, the execution, delivery and effectiveness of this Amendment shall not directly or indirectly (i) constitute a consent or waiver of any past, present or future violations of any provisions of the Credit Agreement or any other Loan Documents, (ii) amend, modify or operate as a waiver of any provision of the Credit Agreement or any other Loan Documents or any right, power or remedy of any Agent or any Lender thereunder, or</w:t>
      </w:r>
    </w:p>
    <w:p>
      <w:pPr>
        <w:spacing w:after="0" w:line="1" w:lineRule="exact"/>
        <w:rPr>
          <w:rFonts w:ascii="Arial" w:cs="Arial" w:eastAsia="Arial" w:hAnsi="Arial"/>
          <w:sz w:val="16"/>
          <w:szCs w:val="16"/>
          <w:color w:val="auto"/>
        </w:rPr>
      </w:pPr>
    </w:p>
    <w:p>
      <w:pPr>
        <w:ind w:right="120" w:firstLine="8"/>
        <w:spacing w:after="0" w:line="254" w:lineRule="auto"/>
        <w:tabs>
          <w:tab w:leader="none" w:pos="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constitute a course of dealing or other basis for altering any Obligations or any other contract or instrument. Except as expressly set forth herein, each of the Agents and Lenders reserves all of its rights, powers, and remedies under the Credit Agreement, the other Loan Documents, and/or applicable law. All of the provisions of the Credit Agreement and the other Loan Documents, including, without limitation, the time of the essence provisions, are hereby reiterated, and if ever waived, reinstated.</w:t>
      </w:r>
    </w:p>
    <w:p>
      <w:pPr>
        <w:spacing w:after="0" w:line="143" w:lineRule="exact"/>
        <w:rPr>
          <w:rFonts w:ascii="Arial" w:cs="Arial" w:eastAsia="Arial" w:hAnsi="Arial"/>
          <w:sz w:val="18"/>
          <w:szCs w:val="18"/>
          <w:color w:val="auto"/>
        </w:rPr>
      </w:pPr>
    </w:p>
    <w:p>
      <w:pPr>
        <w:ind w:right="260" w:firstLine="921"/>
        <w:spacing w:after="0" w:line="268" w:lineRule="auto"/>
        <w:tabs>
          <w:tab w:leader="none" w:pos="1152" w:val="left"/>
        </w:tabs>
        <w:numPr>
          <w:ilvl w:val="1"/>
          <w:numId w:val="5"/>
        </w:numPr>
        <w:rPr>
          <w:rFonts w:ascii="Arial" w:cs="Arial" w:eastAsia="Arial" w:hAnsi="Arial"/>
          <w:sz w:val="18"/>
          <w:szCs w:val="18"/>
          <w:color w:val="auto"/>
        </w:rPr>
      </w:pPr>
      <w:r>
        <w:rPr>
          <w:rFonts w:ascii="Arial" w:cs="Arial" w:eastAsia="Arial" w:hAnsi="Arial"/>
          <w:sz w:val="18"/>
          <w:szCs w:val="18"/>
          <w:color w:val="auto"/>
        </w:rPr>
        <w:t>Upon the effectiveness of this Amendment, all references to the Credit Agreement in any Loan Document shall mean and be a reference to the Credit Agreement, as amended hereby, and the term “Loan Documents” shall include, without limitation, this Amendment.</w:t>
      </w:r>
    </w:p>
    <w:p>
      <w:pPr>
        <w:spacing w:after="0" w:line="126" w:lineRule="exact"/>
        <w:rPr>
          <w:sz w:val="20"/>
          <w:szCs w:val="20"/>
          <w:color w:val="auto"/>
        </w:rPr>
      </w:pPr>
    </w:p>
    <w:p>
      <w:pPr>
        <w:ind w:right="120" w:firstLine="913"/>
        <w:spacing w:after="0" w:line="310"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u w:val="single" w:color="auto"/>
          <w:color w:val="auto"/>
        </w:rPr>
        <w:t>Costs and Expenses</w:t>
      </w:r>
      <w:r>
        <w:rPr>
          <w:rFonts w:ascii="Arial" w:cs="Arial" w:eastAsia="Arial" w:hAnsi="Arial"/>
          <w:sz w:val="16"/>
          <w:szCs w:val="16"/>
          <w:color w:val="auto"/>
        </w:rPr>
        <w:t>. Each of the Borrowers and the other Loan Parties agrees jointly and severally to reimburse Agents and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reasonable fees, costs and expenses, including the reasonable fees, costs and expenses of counsel or other advisors for advice, assistance, or other representation in connection with this Amendment and the other agreements and documents executed in connection herewith.</w:t>
      </w:r>
    </w:p>
    <w:p>
      <w:pPr>
        <w:spacing w:after="0" w:line="97" w:lineRule="exact"/>
        <w:rPr>
          <w:sz w:val="20"/>
          <w:szCs w:val="20"/>
          <w:color w:val="auto"/>
        </w:rPr>
      </w:pPr>
    </w:p>
    <w:p>
      <w:pPr>
        <w:ind w:right="640" w:firstLine="913"/>
        <w:spacing w:after="0" w:line="275"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LAWS (AS OPPOSED TO CONFLICTS OF LAWS PROVISIONS) OF THE STATE OF NEW YORK.</w:t>
      </w:r>
    </w:p>
    <w:p>
      <w:pPr>
        <w:spacing w:after="0" w:line="120" w:lineRule="exact"/>
        <w:rPr>
          <w:sz w:val="20"/>
          <w:szCs w:val="20"/>
          <w:color w:val="auto"/>
        </w:rPr>
      </w:pPr>
    </w:p>
    <w:p>
      <w:pPr>
        <w:ind w:right="20" w:firstLine="913"/>
        <w:spacing w:after="0" w:line="275"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headings in this Amendment are included herein for convenience of reference only and shall not constitute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for any other purposes.</w:t>
      </w:r>
    </w:p>
    <w:p>
      <w:pPr>
        <w:spacing w:after="0" w:line="120" w:lineRule="exact"/>
        <w:rPr>
          <w:sz w:val="20"/>
          <w:szCs w:val="20"/>
          <w:color w:val="auto"/>
        </w:rPr>
      </w:pPr>
    </w:p>
    <w:p>
      <w:pPr>
        <w:ind w:right="40" w:firstLine="913"/>
        <w:spacing w:after="0" w:line="296"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any number of counterparts, each of which when so executed shall be deemed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but all such counterparts shall constitute one and the same instrument, and all signatures need not appear on any one counterpart. Any party hereto may execute and deliver a counterpart of this Amendment by delivering by facsimile transmission a signature page of this Amendment signed by such party, and any such facsimile signature shall be treated in all respects as having the same effect as an original signature. Any party delivering by facsimile transmission a counterpart executed by it shall promptly thereafter also deliver a manually signed counterpart of this Amendment.</w:t>
      </w:r>
    </w:p>
    <w:p>
      <w:pPr>
        <w:spacing w:after="0" w:line="108"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Time of Essence</w:t>
      </w:r>
      <w:r>
        <w:rPr>
          <w:rFonts w:ascii="Arial" w:cs="Arial" w:eastAsia="Arial" w:hAnsi="Arial"/>
          <w:sz w:val="18"/>
          <w:szCs w:val="18"/>
          <w:b w:val="1"/>
          <w:bCs w:val="1"/>
          <w:color w:val="auto"/>
        </w:rPr>
        <w:t xml:space="preserve">. </w:t>
      </w:r>
      <w:r>
        <w:rPr>
          <w:rFonts w:ascii="Arial" w:cs="Arial" w:eastAsia="Arial" w:hAnsi="Arial"/>
          <w:sz w:val="18"/>
          <w:szCs w:val="18"/>
          <w:color w:val="auto"/>
        </w:rPr>
        <w:t>Time is of the essence in the payment and performance of each of the obligations of any of the parties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all conditions to be satisfied by such party.</w:t>
      </w:r>
    </w:p>
    <w:p>
      <w:pPr>
        <w:spacing w:after="0" w:line="120" w:lineRule="exact"/>
        <w:rPr>
          <w:sz w:val="20"/>
          <w:szCs w:val="20"/>
          <w:color w:val="auto"/>
        </w:rPr>
      </w:pPr>
    </w:p>
    <w:p>
      <w:pPr>
        <w:ind w:right="220" w:firstLine="913"/>
        <w:spacing w:after="0" w:line="26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become effective at the time (the “</w:t>
      </w:r>
      <w:r>
        <w:rPr>
          <w:rFonts w:ascii="Arial" w:cs="Arial" w:eastAsia="Arial" w:hAnsi="Arial"/>
          <w:sz w:val="18"/>
          <w:szCs w:val="18"/>
          <w:b w:val="1"/>
          <w:bCs w:val="1"/>
          <w:color w:val="auto"/>
        </w:rPr>
        <w:t>Effective Date</w:t>
      </w:r>
      <w:r>
        <w:rPr>
          <w:rFonts w:ascii="Arial" w:cs="Arial" w:eastAsia="Arial" w:hAnsi="Arial"/>
          <w:sz w:val="18"/>
          <w:szCs w:val="18"/>
          <w:color w:val="auto"/>
        </w:rPr>
        <w:t>”) that all of the following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have been satisfied (or waived) as determined by the Required Lenders in their sole discretion (as evidenced by the Required Lenders’ execution and delivery of this Amendment):</w:t>
      </w:r>
    </w:p>
    <w:p>
      <w:pPr>
        <w:spacing w:after="0" w:line="57" w:lineRule="exact"/>
        <w:rPr>
          <w:sz w:val="20"/>
          <w:szCs w:val="20"/>
          <w:color w:val="auto"/>
        </w:rPr>
      </w:pPr>
    </w:p>
    <w:p>
      <w:pPr>
        <w:ind w:right="280" w:firstLine="921"/>
        <w:spacing w:after="0" w:line="268" w:lineRule="auto"/>
        <w:tabs>
          <w:tab w:leader="none" w:pos="115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Duly executed signature pages for this Amendment signed by the Required Lenders and Loan Parties shall have been delivered to Administrative Agent.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ind w:left="-120" w:right="240" w:firstLine="921"/>
        <w:spacing w:after="0" w:line="268" w:lineRule="auto"/>
        <w:tabs>
          <w:tab w:leader="none" w:pos="104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Representations and Warranties</w:t>
      </w:r>
      <w:r>
        <w:rPr>
          <w:rFonts w:ascii="Arial" w:cs="Arial" w:eastAsia="Arial" w:hAnsi="Arial"/>
          <w:sz w:val="18"/>
          <w:szCs w:val="18"/>
          <w:color w:val="auto"/>
        </w:rPr>
        <w:t>. The representations and warranties contained herein shall be true and correct in all material respects, and no Event of Default or Default shall exist on the date thereof.</w:t>
      </w:r>
    </w:p>
    <w:p>
      <w:pPr>
        <w:spacing w:after="0" w:line="131" w:lineRule="exact"/>
        <w:rPr>
          <w:rFonts w:ascii="Arial" w:cs="Arial" w:eastAsia="Arial" w:hAnsi="Arial"/>
          <w:sz w:val="18"/>
          <w:szCs w:val="18"/>
          <w:color w:val="auto"/>
        </w:rPr>
      </w:pPr>
    </w:p>
    <w:p>
      <w:pPr>
        <w:ind w:left="-120" w:firstLine="921"/>
        <w:spacing w:after="0" w:line="268" w:lineRule="auto"/>
        <w:tabs>
          <w:tab w:leader="none" w:pos="103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Payment of Commitment Fees and Letter of Credit Fees</w:t>
      </w:r>
      <w:r>
        <w:rPr>
          <w:rFonts w:ascii="Arial" w:cs="Arial" w:eastAsia="Arial" w:hAnsi="Arial"/>
          <w:sz w:val="18"/>
          <w:szCs w:val="18"/>
          <w:color w:val="auto"/>
        </w:rPr>
        <w:t>. All outstanding Commitment Fees and Fees related to any of the Letters of Credit shall each have been paid in cash to the Administrative Agent.</w:t>
      </w:r>
    </w:p>
    <w:p>
      <w:pPr>
        <w:spacing w:after="0" w:line="131" w:lineRule="exact"/>
        <w:rPr>
          <w:rFonts w:ascii="Arial" w:cs="Arial" w:eastAsia="Arial" w:hAnsi="Arial"/>
          <w:sz w:val="18"/>
          <w:szCs w:val="18"/>
          <w:color w:val="auto"/>
        </w:rPr>
      </w:pPr>
    </w:p>
    <w:p>
      <w:pPr>
        <w:ind w:left="1040" w:hanging="23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All of the expenses owing the Agents under Section 10.03 of the Credit Agreement shall have been paid in full.</w:t>
      </w:r>
    </w:p>
    <w:p>
      <w:pPr>
        <w:spacing w:after="0" w:line="171" w:lineRule="exact"/>
        <w:rPr>
          <w:rFonts w:ascii="Arial" w:cs="Arial" w:eastAsia="Arial" w:hAnsi="Arial"/>
          <w:sz w:val="18"/>
          <w:szCs w:val="18"/>
          <w:color w:val="auto"/>
        </w:rPr>
      </w:pPr>
    </w:p>
    <w:p>
      <w:pPr>
        <w:ind w:left="4760" w:hanging="307"/>
        <w:spacing w:after="0"/>
        <w:tabs>
          <w:tab w:leader="none" w:pos="4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Signature Pages Follow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60" w:top="280" w:right="3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Seventh Amendment to Credit Agreement has been executed by the parties hereto as of the date first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MAGNACHIP SEMICONDUCTOR S.A.,</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Luxembourg company</w:t>
      </w:r>
    </w:p>
    <w:p>
      <w:pPr>
        <w:spacing w:after="0" w:line="232"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Paul C. Schorr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Paul C. Schorr IV</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FINANCE COMPANY,</w:t>
      </w:r>
    </w:p>
    <w:p>
      <w:pPr>
        <w:spacing w:after="0" w:line="3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32"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Paul C. Schorr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Paul C. Schorr IV</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MAGNACHIP SEMICONDUCTOR LLC,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limited liability company</w:t>
      </w:r>
    </w:p>
    <w:p>
      <w:pPr>
        <w:spacing w:after="0" w:line="232"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Paul C. Schorr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10795</wp:posOffset>
            </wp:positionV>
            <wp:extent cx="25730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Paul C. Schorr IV</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740"/>
          </w:cols>
          <w:pgMar w:left="700" w:top="280" w:right="459" w:bottom="1440" w:gutter="0" w:footer="0" w:header="0"/>
        </w:sectPr>
      </w:pPr>
    </w:p>
    <w:bookmarkStart w:id="9" w:name="page10"/>
    <w:bookmarkEnd w:id="9"/>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GUARANTORS</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MAGNACHIP SEMICONDUCTOR, INC.,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California corporation</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80" w:right="1440" w:bottom="1440" w:gutter="0" w:footer="0" w:header="0"/>
        </w:sectPr>
      </w:pPr>
    </w:p>
    <w:bookmarkStart w:id="10" w:name="page11"/>
    <w:bookmarkEnd w:id="1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 HOLDINGS LLC,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 Delaware limited liability company</w:t>
      </w:r>
    </w:p>
    <w:p>
      <w:pPr>
        <w:spacing w:after="0" w:line="255"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Paul C. Schorr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Paul C. Schorr IV</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280" w:right="1440" w:bottom="1440" w:gutter="0" w:footer="0" w:header="0"/>
        </w:sectPr>
      </w:pPr>
    </w:p>
    <w:bookmarkStart w:id="11" w:name="page12"/>
    <w:bookmarkEnd w:id="1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LIMITED,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 company incorporated in England and Wales</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registered number 05232381</w:t>
      </w:r>
    </w:p>
    <w:p>
      <w:pPr>
        <w:spacing w:after="0" w:line="232"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10795</wp:posOffset>
            </wp:positionV>
            <wp:extent cx="25730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80"/>
          </w:cols>
          <w:pgMar w:left="1440" w:top="280" w:right="1379" w:bottom="1440" w:gutter="0" w:footer="0" w:header="0"/>
        </w:sectPr>
      </w:pPr>
    </w:p>
    <w:bookmarkStart w:id="12" w:name="page13"/>
    <w:bookmarkEnd w:id="1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INC.,</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Japanese company</w:t>
      </w:r>
    </w:p>
    <w:p>
      <w:pPr>
        <w:spacing w:after="0" w:line="23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 Imamura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Yoshio Imamura</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President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8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For execution as a deed:</w:t>
            </w:r>
          </w:p>
        </w:tc>
        <w:tc>
          <w:tcPr>
            <w:tcW w:w="900" w:type="dxa"/>
            <w:vAlign w:val="bottom"/>
          </w:tcPr>
          <w:p>
            <w:pPr>
              <w:spacing w:after="0"/>
              <w:rPr>
                <w:sz w:val="19"/>
                <w:szCs w:val="19"/>
                <w:color w:val="auto"/>
              </w:rPr>
            </w:pPr>
          </w:p>
        </w:tc>
      </w:tr>
      <w:tr>
        <w:trPr>
          <w:trHeight w:val="426"/>
        </w:trPr>
        <w:tc>
          <w:tcPr>
            <w:tcW w:w="5700" w:type="dxa"/>
            <w:vAlign w:val="bottom"/>
            <w:gridSpan w:val="2"/>
          </w:tcPr>
          <w:p>
            <w:pPr>
              <w:spacing w:after="0"/>
              <w:rPr>
                <w:sz w:val="20"/>
                <w:szCs w:val="20"/>
                <w:color w:val="auto"/>
              </w:rPr>
            </w:pPr>
            <w:r>
              <w:rPr>
                <w:rFonts w:ascii="Arial" w:cs="Arial" w:eastAsia="Arial" w:hAnsi="Arial"/>
                <w:sz w:val="18"/>
                <w:szCs w:val="18"/>
                <w:color w:val="auto"/>
              </w:rPr>
              <w:t>EXECUTED AS A DEED by</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as duly appointed attorney</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pursuant to a power of attorney</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dated</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MAGNACHIP SEMICONDUCTOR</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LIMITED</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421"/>
        </w:trPr>
        <w:tc>
          <w:tcPr>
            <w:tcW w:w="1140" w:type="dxa"/>
            <w:vAlign w:val="bottom"/>
          </w:tcPr>
          <w:p>
            <w:pPr>
              <w:spacing w:after="0"/>
              <w:rPr>
                <w:sz w:val="20"/>
                <w:szCs w:val="20"/>
                <w:color w:val="auto"/>
              </w:rPr>
            </w:pPr>
            <w:r>
              <w:rPr>
                <w:rFonts w:ascii="Arial" w:cs="Arial" w:eastAsia="Arial" w:hAnsi="Arial"/>
                <w:sz w:val="18"/>
                <w:szCs w:val="18"/>
                <w:color w:val="auto"/>
              </w:rPr>
              <w:t>Witness:</w:t>
            </w:r>
          </w:p>
        </w:tc>
        <w:tc>
          <w:tcPr>
            <w:tcW w:w="4560" w:type="dxa"/>
            <w:vAlign w:val="bottom"/>
            <w:tcBorders>
              <w:bottom w:val="single" w:sz="8" w:color="auto"/>
            </w:tcBorders>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w w:val="86"/>
              </w:rPr>
              <w:t>Witness:</w:t>
            </w:r>
          </w:p>
        </w:tc>
      </w:tr>
      <w:tr>
        <w:trPr>
          <w:trHeight w:val="215"/>
        </w:trPr>
        <w:tc>
          <w:tcPr>
            <w:tcW w:w="5700" w:type="dxa"/>
            <w:vAlign w:val="bottom"/>
            <w:gridSpan w:val="2"/>
          </w:tcPr>
          <w:p>
            <w:pPr>
              <w:spacing w:after="0"/>
              <w:rPr>
                <w:sz w:val="20"/>
                <w:szCs w:val="20"/>
                <w:color w:val="auto"/>
              </w:rPr>
            </w:pPr>
            <w:r>
              <w:rPr>
                <w:rFonts w:ascii="Arial" w:cs="Arial" w:eastAsia="Arial" w:hAnsi="Arial"/>
                <w:sz w:val="18"/>
                <w:szCs w:val="18"/>
                <w:color w:val="auto"/>
              </w:rPr>
              <w:t>Name:</w:t>
            </w:r>
          </w:p>
        </w:tc>
        <w:tc>
          <w:tcPr>
            <w:tcW w:w="900" w:type="dxa"/>
            <w:vAlign w:val="bottom"/>
          </w:tcPr>
          <w:p>
            <w:pPr>
              <w:ind w:left="300"/>
              <w:spacing w:after="0"/>
              <w:rPr>
                <w:sz w:val="20"/>
                <w:szCs w:val="20"/>
                <w:color w:val="auto"/>
              </w:rPr>
            </w:pPr>
            <w:r>
              <w:rPr>
                <w:rFonts w:ascii="Arial" w:cs="Arial" w:eastAsia="Arial" w:hAnsi="Arial"/>
                <w:sz w:val="18"/>
                <w:szCs w:val="18"/>
                <w:color w:val="auto"/>
              </w:rPr>
              <w:t>Name:</w:t>
            </w: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900" w:type="dxa"/>
            <w:vAlign w:val="bottom"/>
          </w:tcPr>
          <w:p>
            <w:pPr>
              <w:ind w:left="280"/>
              <w:spacing w:after="0"/>
              <w:rPr>
                <w:sz w:val="20"/>
                <w:szCs w:val="20"/>
                <w:color w:val="auto"/>
              </w:rPr>
            </w:pPr>
            <w:r>
              <w:rPr>
                <w:rFonts w:ascii="Arial" w:cs="Arial" w:eastAsia="Arial" w:hAnsi="Arial"/>
                <w:sz w:val="18"/>
                <w:szCs w:val="18"/>
                <w:color w:val="auto"/>
                <w:w w:val="84"/>
              </w:rPr>
              <w:t>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execution otherwise than as a deed: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40" w:type="dxa"/>
            <w:vAlign w:val="bottom"/>
          </w:tcPr>
          <w:p>
            <w:pPr>
              <w:spacing w:after="0"/>
              <w:rPr>
                <w:sz w:val="20"/>
                <w:szCs w:val="20"/>
                <w:color w:val="auto"/>
              </w:rPr>
            </w:pPr>
            <w:r>
              <w:rPr>
                <w:rFonts w:ascii="Arial" w:cs="Arial" w:eastAsia="Arial" w:hAnsi="Arial"/>
                <w:sz w:val="18"/>
                <w:szCs w:val="18"/>
                <w:color w:val="auto"/>
              </w:rPr>
              <w:t>SIGNED 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Jongsoo Choi</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1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as duly appointed attorney</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pursuant to a power of attorney</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dated</w:t>
            </w:r>
          </w:p>
        </w:tc>
        <w:tc>
          <w:tcPr>
            <w:tcW w:w="4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for and on behalf of</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MAGNACHIP SEMICONDUCTOR</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LIMITED</w:t>
            </w:r>
          </w:p>
        </w:tc>
        <w:tc>
          <w:tcPr>
            <w:tcW w:w="45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Witness:</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McFarland</w:t>
            </w:r>
          </w:p>
        </w:tc>
        <w:tc>
          <w:tcPr>
            <w:tcW w:w="340" w:type="dxa"/>
            <w:vAlign w:val="bottom"/>
          </w:tcPr>
          <w:p>
            <w:pPr>
              <w:spacing w:after="0"/>
              <w:rPr>
                <w:sz w:val="24"/>
                <w:szCs w:val="24"/>
                <w:color w:val="auto"/>
              </w:rPr>
            </w:pPr>
          </w:p>
        </w:tc>
      </w:tr>
      <w:tr>
        <w:trPr>
          <w:trHeight w:val="217"/>
        </w:trPr>
        <w:tc>
          <w:tcPr>
            <w:tcW w:w="114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John McFarland</w:t>
            </w:r>
          </w:p>
        </w:tc>
        <w:tc>
          <w:tcPr>
            <w:tcW w:w="340" w:type="dxa"/>
            <w:vAlign w:val="bottom"/>
          </w:tcPr>
          <w:p>
            <w:pPr>
              <w:spacing w:after="0"/>
              <w:rPr>
                <w:sz w:val="18"/>
                <w:szCs w:val="18"/>
                <w:color w:val="auto"/>
              </w:rPr>
            </w:pPr>
          </w:p>
        </w:tc>
      </w:tr>
      <w:tr>
        <w:trPr>
          <w:trHeight w:val="222"/>
        </w:trPr>
        <w:tc>
          <w:tcPr>
            <w:tcW w:w="1140" w:type="dxa"/>
            <w:vAlign w:val="bottom"/>
          </w:tcPr>
          <w:p>
            <w:pPr>
              <w:spacing w:after="0"/>
              <w:rPr>
                <w:sz w:val="20"/>
                <w:szCs w:val="20"/>
                <w:color w:val="auto"/>
              </w:rPr>
            </w:pPr>
            <w:r>
              <w:rPr>
                <w:rFonts w:ascii="Arial" w:cs="Arial" w:eastAsia="Arial" w:hAnsi="Arial"/>
                <w:sz w:val="18"/>
                <w:szCs w:val="18"/>
                <w:color w:val="auto"/>
              </w:rPr>
              <w:t>Address:</w:t>
            </w:r>
          </w:p>
        </w:tc>
        <w:tc>
          <w:tcPr>
            <w:tcW w:w="4560" w:type="dxa"/>
            <w:vAlign w:val="bottom"/>
          </w:tcPr>
          <w:p>
            <w:pPr>
              <w:spacing w:after="0"/>
              <w:rPr>
                <w:sz w:val="20"/>
                <w:szCs w:val="20"/>
                <w:color w:val="auto"/>
              </w:rPr>
            </w:pPr>
            <w:r>
              <w:rPr>
                <w:rFonts w:ascii="Arial" w:cs="Arial" w:eastAsia="Arial" w:hAnsi="Arial"/>
                <w:sz w:val="18"/>
                <w:szCs w:val="18"/>
                <w:color w:val="auto"/>
              </w:rPr>
              <w:t>891 Daechi-dong, Gangnam-gu, Seoul, Korea</w:t>
            </w:r>
          </w:p>
        </w:tc>
        <w:tc>
          <w:tcPr>
            <w:tcW w:w="340" w:type="dxa"/>
            <w:vAlign w:val="bottom"/>
          </w:tcPr>
          <w:p>
            <w:pPr>
              <w:spacing w:after="0"/>
              <w:rPr>
                <w:sz w:val="19"/>
                <w:szCs w:val="19"/>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CERTIFICATION LANGUAGE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being a director of MagnaChip Semiconductor Limited, do hereby certify that this document is a true and complete copy of its original.</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Jongsoo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Name</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2007.June.28</w:t>
      </w:r>
    </w:p>
    <w:p>
      <w:pPr>
        <w:spacing w:after="0" w:line="15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240" w:top="274" w:right="799" w:bottom="1440" w:gutter="0" w:footer="0" w:header="0"/>
        </w:sectPr>
      </w:pPr>
    </w:p>
    <w:bookmarkStart w:id="14" w:name="page15"/>
    <w:bookmarkEnd w:id="1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LTD.,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Taiwan company</w:t>
      </w:r>
    </w:p>
    <w:p>
      <w:pPr>
        <w:spacing w:after="0" w:line="23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Jongsoo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Jongsoo Choi</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80" w:right="1440" w:bottom="1440" w:gutter="0" w:footer="0" w:header="0"/>
        </w:sectPr>
      </w:pPr>
    </w:p>
    <w:bookmarkStart w:id="15" w:name="page16"/>
    <w:bookmarkEnd w:id="1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B.V.</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Boermans</w:t>
            </w:r>
          </w:p>
        </w:tc>
        <w:tc>
          <w:tcPr>
            <w:tcW w:w="40" w:type="dxa"/>
            <w:vAlign w:val="bottom"/>
          </w:tcPr>
          <w:p>
            <w:pPr>
              <w:spacing w:after="0"/>
              <w:rPr>
                <w:sz w:val="19"/>
                <w:szCs w:val="19"/>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A.M.L. Kuijpers</w:t>
            </w:r>
          </w:p>
        </w:tc>
      </w:tr>
      <w:tr>
        <w:trPr>
          <w:trHeight w:val="217"/>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960" w:type="dxa"/>
            <w:vAlign w:val="bottom"/>
          </w:tcPr>
          <w:p>
            <w:pPr>
              <w:spacing w:after="0"/>
              <w:rPr>
                <w:sz w:val="20"/>
                <w:szCs w:val="20"/>
                <w:color w:val="auto"/>
              </w:rPr>
            </w:pPr>
            <w:r>
              <w:rPr>
                <w:rFonts w:ascii="Arial" w:cs="Arial" w:eastAsia="Arial" w:hAnsi="Arial"/>
                <w:sz w:val="18"/>
                <w:szCs w:val="18"/>
                <w:color w:val="auto"/>
              </w:rPr>
              <w:t>S. Boermans</w:t>
            </w:r>
          </w:p>
        </w:tc>
        <w:tc>
          <w:tcPr>
            <w:tcW w:w="2000" w:type="dxa"/>
            <w:vAlign w:val="bottom"/>
            <w:gridSpan w:val="2"/>
          </w:tcPr>
          <w:p>
            <w:pPr>
              <w:ind w:left="40"/>
              <w:spacing w:after="0"/>
              <w:rPr>
                <w:sz w:val="20"/>
                <w:szCs w:val="20"/>
                <w:color w:val="auto"/>
              </w:rPr>
            </w:pPr>
            <w:r>
              <w:rPr>
                <w:rFonts w:ascii="Arial" w:cs="Arial" w:eastAsia="Arial" w:hAnsi="Arial"/>
                <w:sz w:val="18"/>
                <w:szCs w:val="18"/>
                <w:color w:val="auto"/>
              </w:rPr>
              <w:t>A.M.L. Kuijpers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1960" w:type="dxa"/>
            <w:vAlign w:val="bottom"/>
          </w:tcPr>
          <w:p>
            <w:pPr>
              <w:spacing w:after="0"/>
              <w:rPr>
                <w:sz w:val="20"/>
                <w:szCs w:val="20"/>
                <w:color w:val="auto"/>
              </w:rPr>
            </w:pPr>
            <w:r>
              <w:rPr>
                <w:rFonts w:ascii="Arial" w:cs="Arial" w:eastAsia="Arial" w:hAnsi="Arial"/>
                <w:sz w:val="18"/>
                <w:szCs w:val="18"/>
                <w:color w:val="auto"/>
              </w:rPr>
              <w:t>Director</w:t>
            </w:r>
          </w:p>
        </w:tc>
        <w:tc>
          <w:tcPr>
            <w:tcW w:w="20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20"/>
          </w:cols>
          <w:pgMar w:left="1440" w:top="280" w:right="239" w:bottom="1440" w:gutter="0" w:footer="0" w:header="0"/>
        </w:sectPr>
      </w:pPr>
    </w:p>
    <w:bookmarkStart w:id="16" w:name="page17"/>
    <w:bookmarkEnd w:id="1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HOLDING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LIMITED, a British Virgin Islands company</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5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40" w:top="280" w:right="439" w:bottom="1440" w:gutter="0" w:footer="0" w:header="0"/>
        </w:sectPr>
      </w:pPr>
    </w:p>
    <w:bookmarkStart w:id="17" w:name="page18"/>
    <w:bookmarkEnd w:id="1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IC MEDIA INTERNATIONAL CORPORATION,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Cayman Islands company</w:t>
      </w:r>
    </w:p>
    <w:p>
      <w:pPr>
        <w:spacing w:after="0" w:line="23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John McFarland</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220"/>
          </w:cols>
          <w:pgMar w:left="1440" w:top="280" w:right="1239" w:bottom="1440" w:gutter="0" w:footer="0" w:header="0"/>
        </w:sectPr>
      </w:pPr>
    </w:p>
    <w:bookmarkStart w:id="18" w:name="page19"/>
    <w:bookmarkEnd w:id="1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UBS SECURITIES LLC, as Arranger, Syndication Agent and</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Documentation Agent</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E. Evans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Mary E. Evans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Irja R. Otsa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Irja R. Otsa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 Director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AG, STAMFORD BRANCH,</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 and Collateral Agent</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E. Evans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Mary E. Evans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Irja R. Otsa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Irja R. Otsa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 Director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UBS LOAN FINANCE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Swingline Lender</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E. Evans</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Mary E. Evans</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Irja R. Otsa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Irja R. Otsa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Associate Director</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1440" w:top="280" w:right="239" w:bottom="1440" w:gutter="0" w:footer="0" w:header="0"/>
        </w:sectPr>
      </w:pPr>
    </w:p>
    <w:bookmarkStart w:id="19" w:name="page20"/>
    <w:bookmarkEnd w:id="1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KOREA EXCHANGE BANK</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Il-Won Joo</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Il-Won Joo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Relationship Manager</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280" w:right="239" w:bottom="1440" w:gutter="0" w:footer="0" w:header="0"/>
        </w:sectPr>
      </w:pPr>
    </w:p>
    <w:bookmarkStart w:id="20" w:name="page21"/>
    <w:bookmarkEnd w:id="2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SACHS CREDIT PARTNERS L.P.</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Pedro Ramirez</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Pedro Ramirez</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1440" w:top="280" w:right="239" w:bottom="1440" w:gutter="0" w:footer="0" w:header="0"/>
        </w:sectPr>
      </w:pPr>
    </w:p>
    <w:bookmarkStart w:id="21" w:name="page22"/>
    <w:bookmarkEnd w:id="2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CITICORP NORTH AMERICA,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280" w:right="1440" w:bottom="1440" w:gutter="0" w:footer="0" w:header="0"/>
        </w:sectPr>
      </w:pPr>
    </w:p>
    <w:bookmarkStart w:id="22" w:name="page23"/>
    <w:bookmarkEnd w:id="2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JPMORGAN CHASE BANK N.A.</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A.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A. Austin</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Executive Director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019"/>
          </w:cols>
          <w:pgMar w:left="1440" w:top="280" w:right="1440" w:bottom="1440" w:gutter="0" w:footer="0" w:header="0"/>
        </w:sectPr>
      </w:pPr>
    </w:p>
    <w:bookmarkStart w:id="23" w:name="page24"/>
    <w:bookmarkEnd w:id="2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Paul O’Leary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DEUTSCHE BANK TRUST COMPANY AMERICAS</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Evelyn Thierry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Evelyn Thierry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sectPr>
      <w:pgSz w:w="11900" w:h="16838" w:orient="portrait"/>
      <w:cols w:equalWidth="0" w:num="1">
        <w:col w:w="9580"/>
      </w:cols>
      <w:pgMar w:left="1440" w:top="2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lvl w:ilvl="1">
      <w:lvlJc w:val="left"/>
      <w:lvlText w:val="(%2)"/>
      <w:numFmt w:val="lowerLetter"/>
      <w:start w:val="2"/>
    </w:lvl>
  </w:abstractNum>
  <w:abstractNum w:abstractNumId="4">
    <w:nsid w:val="507ED7AB"/>
    <w:multiLevelType w:val="hybridMultilevel"/>
    <w:lvl w:ilvl="0">
      <w:lvlJc w:val="left"/>
      <w:lvlText w:val="(%1)"/>
      <w:numFmt w:val="lowerLetter"/>
      <w:start w:val="61"/>
    </w:lvl>
    <w:lvl w:ilvl="1">
      <w:lvlJc w:val="left"/>
      <w:lvlText w:val="(%2)"/>
      <w:numFmt w:val="lowerLetter"/>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2019-12-15T11:09:50Z</dcterms:created>
  <dcterms:modified xsi:type="dcterms:W3CDTF">2019-12-15T11:09:50Z</dcterms:modified>
</cp:coreProperties>
</file>