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wp:posOffset>
            </wp:positionH>
            <wp:positionV relativeFrom="paragraph">
              <wp:posOffset>-10795</wp:posOffset>
            </wp:positionV>
            <wp:extent cx="139065" cy="187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065" cy="187960"/>
                    </a:xfrm>
                    <a:prstGeom prst="rect">
                      <a:avLst/>
                    </a:prstGeom>
                    <a:noFill/>
                  </pic:spPr>
                </pic:pic>
              </a:graphicData>
            </a:graphic>
          </wp:anchor>
        </w:drawing>
      </w:r>
    </w:p>
    <w:p>
      <w:pPr>
        <w:jc w:val="both"/>
        <w:ind w:left="340" w:right="340" w:hanging="261"/>
        <w:spacing w:after="0" w:line="183" w:lineRule="auto"/>
        <w:tabs>
          <w:tab w:leader="none" w:pos="34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20" w:type="dxa"/>
            <w:vAlign w:val="bottom"/>
          </w:tcPr>
          <w:p>
            <w:pPr>
              <w:jc w:val="center"/>
              <w:ind w:right="31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7"/>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vMerge w:val="restart"/>
          </w:tcPr>
          <w:p>
            <w:pPr>
              <w:jc w:val="center"/>
              <w:ind w:right="3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5412105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14605</wp:posOffset>
            </wp:positionV>
            <wp:extent cx="7279005" cy="9396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005" cy="9396730"/>
                    </a:xfrm>
                    <a:prstGeom prst="rect">
                      <a:avLst/>
                    </a:prstGeom>
                    <a:noFill/>
                  </pic:spPr>
                </pic:pic>
              </a:graphicData>
            </a:graphic>
          </wp:anchor>
        </w:drawing>
      </w:r>
    </w:p>
    <w:p>
      <w:pPr>
        <w:spacing w:after="0" w:line="33" w:lineRule="exact"/>
        <w:rPr>
          <w:sz w:val="24"/>
          <w:szCs w:val="24"/>
          <w:color w:val="auto"/>
        </w:rPr>
      </w:pPr>
    </w:p>
    <w:p>
      <w:pPr>
        <w:sectPr>
          <w:pgSz w:w="11900" w:h="16945" w:orient="portrait"/>
          <w:cols w:equalWidth="0" w:num="2">
            <w:col w:w="2220" w:space="560"/>
            <w:col w:w="8740"/>
          </w:cols>
          <w:pgMar w:left="240" w:top="221"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4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gridSpan w:val="4"/>
            <w:vMerge w:val="restart"/>
          </w:tcPr>
          <w:p>
            <w:pPr>
              <w:spacing w:after="0" w:line="236" w:lineRule="exact"/>
              <w:rPr>
                <w:rFonts w:ascii="Arial" w:cs="Arial" w:eastAsia="Arial" w:hAnsi="Arial"/>
                <w:sz w:val="21"/>
                <w:szCs w:val="21"/>
                <w:color w:val="0000EE"/>
                <w:w w:val="89"/>
              </w:rPr>
            </w:pPr>
            <w:hyperlink r:id="rId12">
              <w:r>
                <w:rPr>
                  <w:rFonts w:ascii="Arial" w:cs="Arial" w:eastAsia="Arial" w:hAnsi="Arial"/>
                  <w:sz w:val="21"/>
                  <w:szCs w:val="21"/>
                  <w:color w:val="0000EE"/>
                  <w:w w:val="89"/>
                </w:rPr>
                <w:t>Engaged Capital LLC</w:t>
              </w:r>
            </w:hyperlink>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MAGNACHIP SEMICONDUCTOR Corp </w:t>
              </w:r>
            </w:hyperlink>
            <w:r>
              <w:rPr>
                <w:rFonts w:ascii="Arial" w:cs="Arial" w:eastAsia="Arial" w:hAnsi="Arial"/>
                <w:sz w:val="11"/>
                <w:szCs w:val="11"/>
                <w:color w:val="000000"/>
              </w:rPr>
              <w:t>[</w:t>
            </w:r>
          </w:p>
        </w:tc>
        <w:tc>
          <w:tcPr>
            <w:tcW w:w="180" w:type="dxa"/>
            <w:vAlign w:val="bottom"/>
          </w:tcPr>
          <w:p>
            <w:pPr>
              <w:spacing w:after="0"/>
              <w:rPr>
                <w:sz w:val="8"/>
                <w:szCs w:val="8"/>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gridSpan w:val="4"/>
            <w:vMerge w:val="continue"/>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gridSpan w:val="5"/>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0" w:type="dxa"/>
            <w:vAlign w:val="bottom"/>
            <w:tcBorders>
              <w:bottom w:val="single" w:sz="8" w:color="0000EE"/>
            </w:tcBorders>
            <w:gridSpan w:val="4"/>
            <w:vMerge w:val="continue"/>
          </w:tcPr>
          <w:p>
            <w:pPr>
              <w:spacing w:after="0"/>
              <w:rPr>
                <w:sz w:val="4"/>
                <w:szCs w:val="4"/>
                <w:color w:val="auto"/>
              </w:rPr>
            </w:pPr>
          </w:p>
        </w:tc>
        <w:tc>
          <w:tcPr>
            <w:tcW w:w="7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MX </w:t>
            </w:r>
            <w:r>
              <w:rPr>
                <w:rFonts w:ascii="Arial" w:cs="Arial" w:eastAsia="Arial" w:hAnsi="Arial"/>
                <w:sz w:val="20"/>
                <w:szCs w:val="20"/>
                <w:color w:val="000000"/>
              </w:rPr>
              <w:t>]</w:t>
            </w: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0" w:type="dxa"/>
            <w:vAlign w:val="bottom"/>
            <w:gridSpan w:val="4"/>
          </w:tcPr>
          <w:p>
            <w:pPr>
              <w:spacing w:after="0"/>
              <w:rPr>
                <w:sz w:val="3"/>
                <w:szCs w:val="3"/>
                <w:color w:val="auto"/>
              </w:rPr>
            </w:pPr>
          </w:p>
        </w:tc>
        <w:tc>
          <w:tcPr>
            <w:tcW w:w="74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460" w:type="dxa"/>
            <w:vAlign w:val="bottom"/>
            <w:gridSpan w:val="5"/>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14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4"/>
                <w:szCs w:val="4"/>
                <w:color w:val="auto"/>
              </w:rPr>
            </w:pPr>
          </w:p>
        </w:tc>
        <w:tc>
          <w:tcPr>
            <w:tcW w:w="1740" w:type="dxa"/>
            <w:vAlign w:val="bottom"/>
            <w:gridSpan w:val="3"/>
            <w:vMerge w:val="restart"/>
          </w:tcPr>
          <w:p>
            <w:pPr>
              <w:ind w:left="460"/>
              <w:spacing w:after="0"/>
              <w:rPr>
                <w:sz w:val="20"/>
                <w:szCs w:val="20"/>
                <w:color w:val="auto"/>
              </w:rPr>
            </w:pPr>
            <w:r>
              <w:rPr>
                <w:rFonts w:ascii="Arial" w:cs="Arial" w:eastAsia="Arial" w:hAnsi="Arial"/>
                <w:sz w:val="13"/>
                <w:szCs w:val="13"/>
                <w:color w:val="auto"/>
              </w:rPr>
              <w:t>(First)</w:t>
            </w:r>
          </w:p>
        </w:tc>
        <w:tc>
          <w:tcPr>
            <w:tcW w:w="8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740" w:type="dxa"/>
            <w:vAlign w:val="bottom"/>
            <w:gridSpan w:val="3"/>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40" w:type="dxa"/>
            <w:vAlign w:val="bottom"/>
            <w:gridSpan w:val="3"/>
            <w:vMerge w:val="restart"/>
          </w:tcPr>
          <w:p>
            <w:pPr>
              <w:ind w:left="80"/>
              <w:spacing w:after="0" w:line="173" w:lineRule="exact"/>
              <w:rPr>
                <w:sz w:val="20"/>
                <w:szCs w:val="20"/>
                <w:color w:val="auto"/>
              </w:rPr>
            </w:pPr>
            <w:r>
              <w:rPr>
                <w:rFonts w:ascii="Arial" w:cs="Arial" w:eastAsia="Arial" w:hAnsi="Arial"/>
                <w:sz w:val="17"/>
                <w:szCs w:val="17"/>
                <w:color w:val="0000FF"/>
              </w:rPr>
              <w:t>See Footnote 1</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610 NEWPORT CENTER DRIVE</w:t>
            </w: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4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gridSpan w:val="5"/>
            <w:vMerge w:val="continue"/>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80" w:type="dxa"/>
            <w:vAlign w:val="bottom"/>
            <w:gridSpan w:val="6"/>
            <w:vMerge w:val="continue"/>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Arial" w:cs="Arial" w:eastAsia="Arial" w:hAnsi="Arial"/>
                <w:sz w:val="17"/>
                <w:szCs w:val="17"/>
                <w:color w:val="0000FF"/>
                <w:w w:val="93"/>
              </w:rPr>
              <w:t>SUITE 250</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6"/>
          </w:tcPr>
          <w:p>
            <w:pPr>
              <w:ind w:left="260"/>
              <w:spacing w:after="0"/>
              <w:rPr>
                <w:sz w:val="20"/>
                <w:szCs w:val="20"/>
                <w:color w:val="auto"/>
              </w:rPr>
            </w:pPr>
            <w:r>
              <w:rPr>
                <w:rFonts w:ascii="Arial" w:cs="Arial" w:eastAsia="Arial" w:hAnsi="Arial"/>
                <w:sz w:val="17"/>
                <w:szCs w:val="17"/>
                <w:color w:val="0000FF"/>
              </w:rPr>
              <w:t>01/11/2017</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5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Arial" w:cs="Arial" w:eastAsia="Arial" w:hAnsi="Arial"/>
                <w:sz w:val="17"/>
                <w:szCs w:val="17"/>
                <w:color w:val="0000FF"/>
                <w:w w:val="89"/>
              </w:rPr>
              <w:t>NEWPORT</w:t>
            </w: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40" w:type="dxa"/>
            <w:vAlign w:val="bottom"/>
            <w:gridSpan w:val="8"/>
            <w:vMerge w:val="continue"/>
          </w:tcPr>
          <w:p>
            <w:pPr>
              <w:spacing w:after="0"/>
              <w:rPr>
                <w:sz w:val="7"/>
                <w:szCs w:val="7"/>
                <w:color w:val="auto"/>
              </w:rPr>
            </w:pPr>
          </w:p>
        </w:tc>
        <w:tc>
          <w:tcPr>
            <w:tcW w:w="180" w:type="dxa"/>
            <w:vAlign w:val="bottom"/>
          </w:tcPr>
          <w:p>
            <w:pPr>
              <w:spacing w:after="0"/>
              <w:rPr>
                <w:sz w:val="7"/>
                <w:szCs w:val="7"/>
                <w:color w:val="auto"/>
              </w:rPr>
            </w:pPr>
          </w:p>
        </w:tc>
        <w:tc>
          <w:tcPr>
            <w:tcW w:w="35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740" w:type="dxa"/>
            <w:vAlign w:val="bottom"/>
            <w:gridSpan w:val="3"/>
            <w:vMerge w:val="restart"/>
          </w:tcPr>
          <w:p>
            <w:pPr>
              <w:ind w:left="460"/>
              <w:spacing w:after="0"/>
              <w:rPr>
                <w:sz w:val="20"/>
                <w:szCs w:val="20"/>
                <w:color w:val="auto"/>
              </w:rPr>
            </w:pPr>
            <w:r>
              <w:rPr>
                <w:rFonts w:ascii="Arial" w:cs="Arial" w:eastAsia="Arial" w:hAnsi="Arial"/>
                <w:sz w:val="17"/>
                <w:szCs w:val="17"/>
                <w:color w:val="0000FF"/>
              </w:rPr>
              <w:t>CA</w:t>
            </w:r>
          </w:p>
        </w:tc>
        <w:tc>
          <w:tcPr>
            <w:tcW w:w="800" w:type="dxa"/>
            <w:vAlign w:val="bottom"/>
            <w:vMerge w:val="restart"/>
          </w:tcPr>
          <w:p>
            <w:pPr>
              <w:spacing w:after="0"/>
              <w:rPr>
                <w:sz w:val="20"/>
                <w:szCs w:val="20"/>
                <w:color w:val="auto"/>
              </w:rPr>
            </w:pPr>
            <w:r>
              <w:rPr>
                <w:rFonts w:ascii="Arial" w:cs="Arial" w:eastAsia="Arial" w:hAnsi="Arial"/>
                <w:sz w:val="17"/>
                <w:szCs w:val="17"/>
                <w:color w:val="0000FF"/>
              </w:rPr>
              <w:t>92660</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gridSpan w:val="4"/>
            <w:vMerge w:val="restart"/>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7"/>
                <w:szCs w:val="17"/>
                <w:color w:val="0000FF"/>
              </w:rPr>
              <w:t>BEACH</w:t>
            </w:r>
          </w:p>
        </w:tc>
        <w:tc>
          <w:tcPr>
            <w:tcW w:w="1740" w:type="dxa"/>
            <w:vAlign w:val="bottom"/>
            <w:gridSpan w:val="3"/>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gridSpan w:val="2"/>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1740" w:type="dxa"/>
            <w:vAlign w:val="bottom"/>
            <w:gridSpan w:val="3"/>
          </w:tcPr>
          <w:p>
            <w:pPr>
              <w:ind w:left="460"/>
              <w:spacing w:after="0"/>
              <w:rPr>
                <w:sz w:val="20"/>
                <w:szCs w:val="20"/>
                <w:color w:val="auto"/>
              </w:rPr>
            </w:pPr>
            <w:r>
              <w:rPr>
                <w:rFonts w:ascii="Arial" w:cs="Arial" w:eastAsia="Arial" w:hAnsi="Arial"/>
                <w:sz w:val="13"/>
                <w:szCs w:val="13"/>
                <w:color w:val="auto"/>
              </w:rPr>
              <w:t>(State)</w:t>
            </w:r>
          </w:p>
        </w:tc>
        <w:tc>
          <w:tcPr>
            <w:tcW w:w="800" w:type="dxa"/>
            <w:vAlign w:val="bottom"/>
          </w:tcPr>
          <w:p>
            <w:pPr>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020" w:type="dxa"/>
            <w:vAlign w:val="bottom"/>
            <w:tcBorders>
              <w:bottom w:val="single" w:sz="8" w:color="2C2C2C"/>
            </w:tcBorders>
            <w:gridSpan w:val="5"/>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720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0" w:type="dxa"/>
            <w:vAlign w:val="bottom"/>
          </w:tcPr>
          <w:p>
            <w:pPr>
              <w:spacing w:after="0"/>
              <w:rPr>
                <w:sz w:val="14"/>
                <w:szCs w:val="14"/>
                <w:color w:val="auto"/>
              </w:rPr>
            </w:pPr>
          </w:p>
        </w:tc>
        <w:tc>
          <w:tcPr>
            <w:tcW w:w="1100" w:type="dxa"/>
            <w:vAlign w:val="bottom"/>
            <w:gridSpan w:val="6"/>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6"/>
          </w:tcPr>
          <w:p>
            <w:pPr>
              <w:jc w:val="center"/>
              <w:ind w:right="2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54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Arial" w:cs="Arial" w:eastAsia="Arial" w:hAnsi="Arial"/>
                <w:sz w:val="17"/>
                <w:szCs w:val="17"/>
                <w:color w:val="0000FF"/>
              </w:rPr>
              <w:t>Engaged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gridSpan w:val="8"/>
          </w:tcPr>
          <w:p>
            <w:pPr>
              <w:ind w:left="60"/>
              <w:spacing w:after="0" w:line="205" w:lineRule="exact"/>
              <w:rPr>
                <w:sz w:val="20"/>
                <w:szCs w:val="20"/>
                <w:color w:val="auto"/>
              </w:rPr>
            </w:pPr>
            <w:r>
              <w:rPr>
                <w:rFonts w:ascii="Arial" w:cs="Arial" w:eastAsia="Arial" w:hAnsi="Arial"/>
                <w:sz w:val="17"/>
                <w:szCs w:val="17"/>
                <w:color w:val="0000FF"/>
                <w:w w:val="99"/>
              </w:rPr>
              <w:t>Common Stock, par value $0.01 per share</w:t>
            </w:r>
            <w:r>
              <w:rPr>
                <w:rFonts w:ascii="Arial" w:cs="Arial" w:eastAsia="Arial" w:hAnsi="Arial"/>
                <w:sz w:val="21"/>
                <w:szCs w:val="21"/>
                <w:color w:val="008000"/>
                <w:w w:val="99"/>
                <w:vertAlign w:val="superscript"/>
              </w:rPr>
              <w:t>(1)</w:t>
            </w:r>
          </w:p>
        </w:tc>
        <w:tc>
          <w:tcPr>
            <w:tcW w:w="1000" w:type="dxa"/>
            <w:vAlign w:val="bottom"/>
            <w:gridSpan w:val="5"/>
          </w:tcPr>
          <w:p>
            <w:pPr>
              <w:jc w:val="center"/>
              <w:ind w:left="9"/>
              <w:spacing w:after="0"/>
              <w:rPr>
                <w:sz w:val="20"/>
                <w:szCs w:val="20"/>
                <w:color w:val="auto"/>
              </w:rPr>
            </w:pPr>
            <w:r>
              <w:rPr>
                <w:rFonts w:ascii="Arial" w:cs="Arial" w:eastAsia="Arial" w:hAnsi="Arial"/>
                <w:sz w:val="17"/>
                <w:szCs w:val="17"/>
                <w:color w:val="0000FF"/>
                <w:w w:val="89"/>
              </w:rPr>
              <w:t>01/11/2017</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Pr>
          <w:p>
            <w:pPr>
              <w:jc w:val="right"/>
              <w:spacing w:after="0"/>
              <w:rPr>
                <w:sz w:val="20"/>
                <w:szCs w:val="20"/>
                <w:color w:val="auto"/>
              </w:rPr>
            </w:pPr>
            <w:r>
              <w:rPr>
                <w:rFonts w:ascii="Arial" w:cs="Arial" w:eastAsia="Arial" w:hAnsi="Arial"/>
                <w:sz w:val="17"/>
                <w:szCs w:val="17"/>
                <w:color w:val="0000FF"/>
              </w:rPr>
              <w:t>347,850</w:t>
            </w: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right"/>
              <w:ind w:right="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6.35</w:t>
            </w:r>
          </w:p>
        </w:tc>
        <w:tc>
          <w:tcPr>
            <w:tcW w:w="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0000FF"/>
              </w:rPr>
              <w:t>3,105,124</w:t>
            </w:r>
          </w:p>
        </w:tc>
        <w:tc>
          <w:tcPr>
            <w:tcW w:w="40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7"/>
                <w:szCs w:val="17"/>
                <w:color w:val="0000FF"/>
              </w:rPr>
              <w:t>I</w:t>
            </w:r>
          </w:p>
        </w:tc>
        <w:tc>
          <w:tcPr>
            <w:tcW w:w="860" w:type="dxa"/>
            <w:vAlign w:val="bottom"/>
            <w:gridSpan w:val="4"/>
          </w:tcPr>
          <w:p>
            <w:pPr>
              <w:spacing w:after="0"/>
              <w:rPr>
                <w:sz w:val="20"/>
                <w:szCs w:val="20"/>
                <w:color w:val="auto"/>
              </w:rPr>
            </w:pPr>
            <w:r>
              <w:rPr>
                <w:rFonts w:ascii="Arial" w:cs="Arial" w:eastAsia="Arial" w:hAnsi="Arial"/>
                <w:sz w:val="17"/>
                <w:szCs w:val="17"/>
                <w:color w:val="0000FF"/>
              </w:rPr>
              <w:t>Flagship</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Arial" w:cs="Arial" w:eastAsia="Arial" w:hAnsi="Arial"/>
                <w:sz w:val="17"/>
                <w:szCs w:val="17"/>
                <w:color w:val="0000FF"/>
              </w:rPr>
              <w:t>Master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gridSpan w:val="2"/>
          </w:tcPr>
          <w:p>
            <w:pPr>
              <w:spacing w:after="0" w:line="265"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(2)(6)</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Arial" w:cs="Arial" w:eastAsia="Arial" w:hAnsi="Arial"/>
                <w:sz w:val="17"/>
                <w:szCs w:val="17"/>
                <w:color w:val="0000FF"/>
              </w:rPr>
              <w:t>Account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gridSpan w:val="8"/>
          </w:tcPr>
          <w:p>
            <w:pPr>
              <w:ind w:left="60"/>
              <w:spacing w:after="0" w:line="205" w:lineRule="exact"/>
              <w:rPr>
                <w:sz w:val="20"/>
                <w:szCs w:val="20"/>
                <w:color w:val="auto"/>
              </w:rPr>
            </w:pPr>
            <w:r>
              <w:rPr>
                <w:rFonts w:ascii="Arial" w:cs="Arial" w:eastAsia="Arial" w:hAnsi="Arial"/>
                <w:sz w:val="17"/>
                <w:szCs w:val="17"/>
                <w:color w:val="0000FF"/>
                <w:w w:val="99"/>
              </w:rPr>
              <w:t>Common Stock, par value $0.01 per share</w:t>
            </w:r>
            <w:r>
              <w:rPr>
                <w:rFonts w:ascii="Arial" w:cs="Arial" w:eastAsia="Arial" w:hAnsi="Arial"/>
                <w:sz w:val="21"/>
                <w:szCs w:val="21"/>
                <w:color w:val="008000"/>
                <w:w w:val="99"/>
                <w:vertAlign w:val="superscript"/>
              </w:rPr>
              <w:t>(1)</w:t>
            </w:r>
          </w:p>
        </w:tc>
        <w:tc>
          <w:tcPr>
            <w:tcW w:w="1000" w:type="dxa"/>
            <w:vAlign w:val="bottom"/>
            <w:gridSpan w:val="5"/>
          </w:tcPr>
          <w:p>
            <w:pPr>
              <w:jc w:val="center"/>
              <w:ind w:left="9"/>
              <w:spacing w:after="0"/>
              <w:rPr>
                <w:sz w:val="20"/>
                <w:szCs w:val="20"/>
                <w:color w:val="auto"/>
              </w:rPr>
            </w:pPr>
            <w:r>
              <w:rPr>
                <w:rFonts w:ascii="Arial" w:cs="Arial" w:eastAsia="Arial" w:hAnsi="Arial"/>
                <w:sz w:val="17"/>
                <w:szCs w:val="17"/>
                <w:color w:val="0000FF"/>
                <w:w w:val="89"/>
              </w:rPr>
              <w:t>01/11/2017</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Pr>
          <w:p>
            <w:pPr>
              <w:jc w:val="right"/>
              <w:ind w:right="15"/>
              <w:spacing w:after="0"/>
              <w:rPr>
                <w:sz w:val="20"/>
                <w:szCs w:val="20"/>
                <w:color w:val="auto"/>
              </w:rPr>
            </w:pPr>
            <w:r>
              <w:rPr>
                <w:rFonts w:ascii="Arial" w:cs="Arial" w:eastAsia="Arial" w:hAnsi="Arial"/>
                <w:sz w:val="17"/>
                <w:szCs w:val="17"/>
                <w:color w:val="0000FF"/>
              </w:rPr>
              <w:t>52,150</w:t>
            </w: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right"/>
              <w:ind w:right="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6.35</w:t>
            </w:r>
          </w:p>
        </w:tc>
        <w:tc>
          <w:tcPr>
            <w:tcW w:w="2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0000FF"/>
              </w:rPr>
              <w:t>347,850</w:t>
            </w:r>
          </w:p>
        </w:tc>
        <w:tc>
          <w:tcPr>
            <w:tcW w:w="40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7"/>
                <w:szCs w:val="17"/>
                <w:color w:val="0000FF"/>
              </w:rPr>
              <w:t>I</w:t>
            </w:r>
          </w:p>
        </w:tc>
        <w:tc>
          <w:tcPr>
            <w:tcW w:w="160" w:type="dxa"/>
            <w:vAlign w:val="bottom"/>
          </w:tcPr>
          <w:p>
            <w:pPr>
              <w:spacing w:after="0"/>
              <w:rPr>
                <w:sz w:val="20"/>
                <w:szCs w:val="20"/>
                <w:color w:val="auto"/>
              </w:rPr>
            </w:pPr>
            <w:r>
              <w:rPr>
                <w:rFonts w:ascii="Arial" w:cs="Arial" w:eastAsia="Arial" w:hAnsi="Arial"/>
                <w:sz w:val="17"/>
                <w:szCs w:val="17"/>
                <w:color w:val="0000FF"/>
                <w:w w:val="98"/>
              </w:rPr>
              <w:t>of</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Arial" w:cs="Arial" w:eastAsia="Arial" w:hAnsi="Arial"/>
                <w:sz w:val="17"/>
                <w:szCs w:val="17"/>
                <w:color w:val="0000FF"/>
              </w:rPr>
              <w:t>Engaged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311"/>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60" w:type="dxa"/>
            <w:vAlign w:val="bottom"/>
            <w:gridSpan w:val="17"/>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980" w:type="dxa"/>
            <w:vAlign w:val="bottom"/>
            <w:gridSpan w:val="15"/>
          </w:tcPr>
          <w:p>
            <w:pP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6"/>
              </w:rPr>
              <w:t>3A. Deemed</w:t>
            </w:r>
          </w:p>
        </w:tc>
        <w:tc>
          <w:tcPr>
            <w:tcW w:w="340" w:type="dxa"/>
            <w:vAlign w:val="bottom"/>
          </w:tcPr>
          <w:p>
            <w:pPr>
              <w:spacing w:after="0"/>
              <w:rPr>
                <w:sz w:val="14"/>
                <w:szCs w:val="14"/>
                <w:color w:val="auto"/>
              </w:rPr>
            </w:pP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w w:val="95"/>
              </w:rPr>
              <w:t>5. Number of</w:t>
            </w:r>
          </w:p>
        </w:tc>
        <w:tc>
          <w:tcPr>
            <w:tcW w:w="2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3"/>
              </w:rPr>
              <w:t>Conversion</w:t>
            </w:r>
          </w:p>
        </w:tc>
        <w:tc>
          <w:tcPr>
            <w:tcW w:w="10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7"/>
              </w:rPr>
              <w:t>Security</w:t>
            </w:r>
          </w:p>
        </w:tc>
        <w:tc>
          <w:tcPr>
            <w:tcW w:w="360" w:type="dxa"/>
            <w:vAlign w:val="bottom"/>
          </w:tcPr>
          <w:p>
            <w:pPr>
              <w:spacing w:after="0"/>
              <w:rPr>
                <w:sz w:val="11"/>
                <w:szCs w:val="11"/>
                <w:color w:val="auto"/>
              </w:rPr>
            </w:pP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or Exercise</w:t>
            </w:r>
          </w:p>
        </w:tc>
        <w:tc>
          <w:tcPr>
            <w:tcW w:w="10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6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5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7"/>
              </w:rPr>
              <w:t>(Instr. 3)</w:t>
            </w:r>
          </w:p>
        </w:tc>
        <w:tc>
          <w:tcPr>
            <w:tcW w:w="360" w:type="dxa"/>
            <w:vAlign w:val="bottom"/>
          </w:tcPr>
          <w:p>
            <w:pPr>
              <w:spacing w:after="0"/>
              <w:rPr>
                <w:sz w:val="11"/>
                <w:szCs w:val="11"/>
                <w:color w:val="auto"/>
              </w:rPr>
            </w:pP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(Instr. 3, 4 and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2"/>
            <w:vMerge w:val="restart"/>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1"/>
        </w:trPr>
        <w:tc>
          <w:tcPr>
            <w:tcW w:w="560" w:type="dxa"/>
            <w:vAlign w:val="bottom"/>
            <w:gridSpan w:val="4"/>
            <w:vMerge w:val="restart"/>
          </w:tcPr>
          <w:p>
            <w:pPr>
              <w:ind w:left="80"/>
              <w:spacing w:after="0"/>
              <w:rPr>
                <w:sz w:val="20"/>
                <w:szCs w:val="20"/>
                <w:color w:val="auto"/>
              </w:rPr>
            </w:pPr>
            <w:r>
              <w:rPr>
                <w:rFonts w:ascii="Arial" w:cs="Arial" w:eastAsia="Arial" w:hAnsi="Arial"/>
                <w:sz w:val="13"/>
                <w:szCs w:val="13"/>
                <w:color w:val="0000FF"/>
              </w:rPr>
              <w:t>5.00%</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ind w:left="40"/>
              <w:spacing w:after="0" w:line="141" w:lineRule="exact"/>
              <w:rPr>
                <w:sz w:val="20"/>
                <w:szCs w:val="20"/>
                <w:color w:val="auto"/>
              </w:rPr>
            </w:pPr>
            <w:r>
              <w:rPr>
                <w:rFonts w:ascii="Arial" w:cs="Arial" w:eastAsia="Arial" w:hAnsi="Arial"/>
                <w:sz w:val="13"/>
                <w:szCs w:val="13"/>
                <w:color w:val="0000FF"/>
              </w:rPr>
              <w:t>Common</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ind w:left="20"/>
              <w:spacing w:after="0" w:line="141" w:lineRule="exact"/>
              <w:rPr>
                <w:sz w:val="20"/>
                <w:szCs w:val="20"/>
                <w:color w:val="auto"/>
              </w:rPr>
            </w:pPr>
            <w:r>
              <w:rPr>
                <w:rFonts w:ascii="Arial" w:cs="Arial" w:eastAsia="Arial" w:hAnsi="Arial"/>
                <w:sz w:val="13"/>
                <w:szCs w:val="13"/>
                <w:color w:val="0000FF"/>
              </w:rPr>
              <w:t>Engaged</w:t>
            </w:r>
          </w:p>
        </w:tc>
        <w:tc>
          <w:tcPr>
            <w:tcW w:w="0" w:type="dxa"/>
            <w:vAlign w:val="bottom"/>
          </w:tcPr>
          <w:p>
            <w:pPr>
              <w:spacing w:after="0"/>
              <w:rPr>
                <w:sz w:val="1"/>
                <w:szCs w:val="1"/>
                <w:color w:val="auto"/>
              </w:rPr>
            </w:pPr>
          </w:p>
        </w:tc>
      </w:tr>
      <w:tr>
        <w:trPr>
          <w:trHeight w:val="64"/>
        </w:trPr>
        <w:tc>
          <w:tcPr>
            <w:tcW w:w="560" w:type="dxa"/>
            <w:vAlign w:val="bottom"/>
            <w:gridSpan w:val="4"/>
            <w:vMerge w:val="continue"/>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gridSpan w:val="2"/>
            <w:vMerge w:val="restart"/>
          </w:tcPr>
          <w:p>
            <w:pPr>
              <w:jc w:val="right"/>
              <w:ind w:right="220"/>
              <w:spacing w:after="0" w:line="141" w:lineRule="exact"/>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3"/>
            <w:vMerge w:val="restart"/>
          </w:tcPr>
          <w:p>
            <w:pPr>
              <w:ind w:left="20"/>
              <w:spacing w:after="0" w:line="141"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00" w:type="dxa"/>
            <w:vAlign w:val="bottom"/>
            <w:gridSpan w:val="4"/>
            <w:vMerge w:val="restart"/>
          </w:tcPr>
          <w:p>
            <w:pPr>
              <w:ind w:left="60"/>
              <w:spacing w:after="0" w:line="141" w:lineRule="exact"/>
              <w:rPr>
                <w:sz w:val="20"/>
                <w:szCs w:val="20"/>
                <w:color w:val="auto"/>
              </w:rPr>
            </w:pPr>
            <w:r>
              <w:rPr>
                <w:rFonts w:ascii="Arial" w:cs="Arial" w:eastAsia="Arial" w:hAnsi="Arial"/>
                <w:sz w:val="13"/>
                <w:szCs w:val="13"/>
                <w:color w:val="0000FF"/>
                <w:w w:val="99"/>
              </w:rPr>
              <w:t>Exchangeable</w:t>
            </w: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gridSpan w:val="2"/>
            <w:vMerge w:val="restart"/>
          </w:tcPr>
          <w:p>
            <w:pPr>
              <w:spacing w:after="0"/>
              <w:rPr>
                <w:sz w:val="20"/>
                <w:szCs w:val="20"/>
                <w:color w:val="auto"/>
              </w:rPr>
            </w:pPr>
            <w:r>
              <w:rPr>
                <w:rFonts w:ascii="Arial" w:cs="Arial" w:eastAsia="Arial" w:hAnsi="Arial"/>
                <w:sz w:val="17"/>
                <w:szCs w:val="17"/>
                <w:color w:val="0000FF"/>
                <w:w w:val="97"/>
              </w:rPr>
              <w:t>544,674</w:t>
            </w: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8.255</w:t>
            </w:r>
          </w:p>
        </w:tc>
        <w:tc>
          <w:tcPr>
            <w:tcW w:w="1080" w:type="dxa"/>
            <w:vAlign w:val="bottom"/>
            <w:gridSpan w:val="2"/>
            <w:vMerge w:val="restart"/>
          </w:tcPr>
          <w:p>
            <w:pPr>
              <w:ind w:left="320"/>
              <w:spacing w:after="0"/>
              <w:rPr>
                <w:sz w:val="20"/>
                <w:szCs w:val="20"/>
                <w:color w:val="auto"/>
              </w:rPr>
            </w:pPr>
            <w:r>
              <w:rPr>
                <w:rFonts w:ascii="Arial" w:cs="Arial" w:eastAsia="Arial" w:hAnsi="Arial"/>
                <w:sz w:val="13"/>
                <w:szCs w:val="13"/>
                <w:color w:val="0000FF"/>
              </w:rPr>
              <w:t>01/11/2017</w:t>
            </w: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4"/>
            <w:vMerge w:val="restart"/>
          </w:tcPr>
          <w:p>
            <w:pPr>
              <w:jc w:val="center"/>
              <w:ind w:right="460"/>
              <w:spacing w:after="0"/>
              <w:rPr>
                <w:sz w:val="20"/>
                <w:szCs w:val="20"/>
                <w:color w:val="auto"/>
              </w:rPr>
            </w:pPr>
            <w:r>
              <w:rPr>
                <w:rFonts w:ascii="Arial" w:cs="Arial" w:eastAsia="Arial" w:hAnsi="Arial"/>
                <w:sz w:val="12"/>
                <w:szCs w:val="12"/>
                <w:color w:val="0000FF"/>
                <w:w w:val="74"/>
              </w:rPr>
              <w:t>P</w:t>
            </w:r>
          </w:p>
        </w:tc>
        <w:tc>
          <w:tcPr>
            <w:tcW w:w="8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4,496,288</w:t>
            </w:r>
          </w:p>
        </w:tc>
        <w:tc>
          <w:tcPr>
            <w:tcW w:w="24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03/01/2021</w:t>
            </w: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par value</w:t>
            </w:r>
          </w:p>
        </w:tc>
        <w:tc>
          <w:tcPr>
            <w:tcW w:w="6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4,496,288</w:t>
            </w:r>
          </w:p>
        </w:tc>
        <w:tc>
          <w:tcPr>
            <w:tcW w:w="940" w:type="dxa"/>
            <w:vAlign w:val="bottom"/>
            <w:gridSpan w:val="2"/>
            <w:vMerge w:val="restart"/>
          </w:tcPr>
          <w:p>
            <w:pPr>
              <w:jc w:val="center"/>
              <w:ind w:right="9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4,496,288</w:t>
            </w:r>
          </w:p>
        </w:tc>
        <w:tc>
          <w:tcPr>
            <w:tcW w:w="60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160" w:type="dxa"/>
            <w:vAlign w:val="bottom"/>
          </w:tcPr>
          <w:p>
            <w:pPr>
              <w:spacing w:after="0"/>
              <w:rPr>
                <w:sz w:val="5"/>
                <w:szCs w:val="5"/>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color w:val="0000FF"/>
              </w:rPr>
              <w:t>Flagship</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00" w:type="dxa"/>
            <w:vAlign w:val="bottom"/>
            <w:gridSpan w:val="4"/>
          </w:tcPr>
          <w:p>
            <w:pPr>
              <w:ind w:left="60"/>
              <w:spacing w:after="0" w:line="87" w:lineRule="exact"/>
              <w:rPr>
                <w:sz w:val="20"/>
                <w:szCs w:val="20"/>
                <w:color w:val="auto"/>
              </w:rPr>
            </w:pPr>
            <w:r>
              <w:rPr>
                <w:rFonts w:ascii="Arial" w:cs="Arial" w:eastAsia="Arial" w:hAnsi="Arial"/>
                <w:sz w:val="10"/>
                <w:szCs w:val="10"/>
                <w:color w:val="0000FF"/>
              </w:rPr>
              <w:t>Senior Notes</w:t>
            </w:r>
          </w:p>
        </w:tc>
        <w:tc>
          <w:tcPr>
            <w:tcW w:w="66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4"/>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gridSpan w:val="4"/>
            <w:vMerge w:val="restart"/>
          </w:tcPr>
          <w:p>
            <w:pPr>
              <w:ind w:left="60"/>
              <w:spacing w:after="0" w:line="230" w:lineRule="exact"/>
              <w:rPr>
                <w:sz w:val="20"/>
                <w:szCs w:val="20"/>
                <w:color w:val="auto"/>
              </w:rPr>
            </w:pPr>
            <w:r>
              <w:rPr>
                <w:rFonts w:ascii="Arial" w:cs="Arial" w:eastAsia="Arial" w:hAnsi="Arial"/>
                <w:sz w:val="13"/>
                <w:szCs w:val="13"/>
                <w:color w:val="0000FF"/>
                <w:w w:val="92"/>
              </w:rPr>
              <w:t>due 2021</w:t>
            </w:r>
            <w:r>
              <w:rPr>
                <w:rFonts w:ascii="Arial" w:cs="Arial" w:eastAsia="Arial" w:hAnsi="Arial"/>
                <w:sz w:val="21"/>
                <w:szCs w:val="21"/>
                <w:color w:val="008000"/>
                <w:w w:val="92"/>
                <w:vertAlign w:val="superscript"/>
              </w:rPr>
              <w:t>(4)(5)</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gridSpan w:val="2"/>
          </w:tcPr>
          <w:p>
            <w:pPr>
              <w:ind w:left="40"/>
              <w:spacing w:after="0" w:line="127" w:lineRule="exact"/>
              <w:rPr>
                <w:sz w:val="20"/>
                <w:szCs w:val="20"/>
                <w:color w:val="auto"/>
              </w:rPr>
            </w:pPr>
            <w:r>
              <w:rPr>
                <w:rFonts w:ascii="Arial" w:cs="Arial" w:eastAsia="Arial" w:hAnsi="Arial"/>
                <w:sz w:val="13"/>
                <w:szCs w:val="13"/>
                <w:color w:val="0000FF"/>
              </w:rPr>
              <w:t>$0.01 per</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3"/>
          </w:tcPr>
          <w:p>
            <w:pPr>
              <w:ind w:left="20"/>
              <w:spacing w:after="0" w:line="127" w:lineRule="exact"/>
              <w:rPr>
                <w:sz w:val="20"/>
                <w:szCs w:val="20"/>
                <w:color w:val="auto"/>
              </w:rPr>
            </w:pPr>
            <w:r>
              <w:rPr>
                <w:rFonts w:ascii="Arial" w:cs="Arial" w:eastAsia="Arial" w:hAnsi="Arial"/>
                <w:sz w:val="13"/>
                <w:szCs w:val="13"/>
                <w:color w:val="0000FF"/>
              </w:rPr>
              <w:t>Master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00" w:type="dxa"/>
            <w:vAlign w:val="bottom"/>
            <w:gridSpan w:val="4"/>
            <w:vMerge w:val="continue"/>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gridSpan w:val="2"/>
          </w:tcPr>
          <w:p>
            <w:pPr>
              <w:ind w:left="360"/>
              <w:spacing w:after="0" w:line="103" w:lineRule="exact"/>
              <w:rPr>
                <w:sz w:val="20"/>
                <w:szCs w:val="20"/>
                <w:color w:val="auto"/>
              </w:rPr>
            </w:pPr>
            <w:r>
              <w:rPr>
                <w:rFonts w:ascii="Arial" w:cs="Arial" w:eastAsia="Arial" w:hAnsi="Arial"/>
                <w:sz w:val="11"/>
                <w:szCs w:val="11"/>
                <w:color w:val="008000"/>
              </w:rPr>
              <w:t>(1)</w:t>
            </w: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3"/>
          </w:tcPr>
          <w:p>
            <w:pPr>
              <w:ind w:left="500"/>
              <w:spacing w:after="0" w:line="103" w:lineRule="exact"/>
              <w:rPr>
                <w:sz w:val="20"/>
                <w:szCs w:val="20"/>
                <w:color w:val="auto"/>
              </w:rPr>
            </w:pP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gridSpan w:val="2"/>
          </w:tcPr>
          <w:p>
            <w:pPr>
              <w:ind w:left="80"/>
              <w:spacing w:after="0" w:line="64" w:lineRule="exact"/>
              <w:rPr>
                <w:sz w:val="20"/>
                <w:szCs w:val="20"/>
                <w:color w:val="auto"/>
              </w:rPr>
            </w:pPr>
            <w:r>
              <w:rPr>
                <w:rFonts w:ascii="Arial" w:cs="Arial" w:eastAsia="Arial" w:hAnsi="Arial"/>
                <w:sz w:val="7"/>
                <w:szCs w:val="7"/>
                <w:color w:val="0000FF"/>
              </w:rPr>
              <w:t>share</w:t>
            </w: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3"/>
          </w:tcPr>
          <w:p>
            <w:pPr>
              <w:ind w:left="20"/>
              <w:spacing w:after="0" w:line="64" w:lineRule="exact"/>
              <w:rPr>
                <w:sz w:val="20"/>
                <w:szCs w:val="20"/>
                <w:color w:val="auto"/>
              </w:rPr>
            </w:pPr>
            <w:r>
              <w:rPr>
                <w:rFonts w:ascii="Arial" w:cs="Arial" w:eastAsia="Arial" w:hAnsi="Arial"/>
                <w:sz w:val="7"/>
                <w:szCs w:val="7"/>
                <w:color w:val="0000FF"/>
              </w:rPr>
              <w:t>Fund, LP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color w:val="008000"/>
              </w:rPr>
              <w:t>(6)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64"/>
        </w:trPr>
        <w:tc>
          <w:tcPr>
            <w:tcW w:w="560" w:type="dxa"/>
            <w:vAlign w:val="bottom"/>
            <w:gridSpan w:val="4"/>
            <w:vMerge w:val="restart"/>
          </w:tcPr>
          <w:p>
            <w:pPr>
              <w:ind w:left="80"/>
              <w:spacing w:after="0" w:line="141" w:lineRule="exact"/>
              <w:rPr>
                <w:sz w:val="20"/>
                <w:szCs w:val="20"/>
                <w:color w:val="auto"/>
              </w:rPr>
            </w:pPr>
            <w:r>
              <w:rPr>
                <w:rFonts w:ascii="Arial" w:cs="Arial" w:eastAsia="Arial" w:hAnsi="Arial"/>
                <w:sz w:val="13"/>
                <w:szCs w:val="13"/>
                <w:color w:val="0000FF"/>
              </w:rPr>
              <w:t>5.00%</w:t>
            </w: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3"/>
            <w:vMerge w:val="restart"/>
          </w:tcPr>
          <w:p>
            <w:pPr>
              <w:ind w:left="20"/>
              <w:spacing w:after="0" w:line="141" w:lineRule="exact"/>
              <w:rPr>
                <w:sz w:val="20"/>
                <w:szCs w:val="20"/>
                <w:color w:val="auto"/>
              </w:rPr>
            </w:pPr>
            <w:r>
              <w:rPr>
                <w:rFonts w:ascii="Arial" w:cs="Arial" w:eastAsia="Arial" w:hAnsi="Arial"/>
                <w:sz w:val="13"/>
                <w:szCs w:val="13"/>
                <w:color w:val="0000FF"/>
              </w:rPr>
              <w:t>Managed</w:t>
            </w:r>
          </w:p>
        </w:tc>
        <w:tc>
          <w:tcPr>
            <w:tcW w:w="0" w:type="dxa"/>
            <w:vAlign w:val="bottom"/>
          </w:tcPr>
          <w:p>
            <w:pPr>
              <w:spacing w:after="0"/>
              <w:rPr>
                <w:sz w:val="1"/>
                <w:szCs w:val="1"/>
                <w:color w:val="auto"/>
              </w:rPr>
            </w:pPr>
          </w:p>
        </w:tc>
      </w:tr>
      <w:tr>
        <w:trPr>
          <w:trHeight w:val="77"/>
        </w:trPr>
        <w:tc>
          <w:tcPr>
            <w:tcW w:w="56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gridSpan w:val="2"/>
            <w:vMerge w:val="restart"/>
          </w:tcPr>
          <w:p>
            <w:pPr>
              <w:jc w:val="right"/>
              <w:ind w:right="220"/>
              <w:spacing w:after="0" w:line="141" w:lineRule="exact"/>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00" w:type="dxa"/>
            <w:vAlign w:val="bottom"/>
            <w:gridSpan w:val="4"/>
            <w:vMerge w:val="restart"/>
          </w:tcPr>
          <w:p>
            <w:pPr>
              <w:ind w:left="60"/>
              <w:spacing w:after="0" w:line="141" w:lineRule="exact"/>
              <w:rPr>
                <w:sz w:val="20"/>
                <w:szCs w:val="20"/>
                <w:color w:val="auto"/>
              </w:rPr>
            </w:pPr>
            <w:r>
              <w:rPr>
                <w:rFonts w:ascii="Arial" w:cs="Arial" w:eastAsia="Arial" w:hAnsi="Arial"/>
                <w:sz w:val="13"/>
                <w:szCs w:val="13"/>
                <w:color w:val="0000FF"/>
                <w:w w:val="99"/>
              </w:rPr>
              <w:t>Exchangeable</w:t>
            </w: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gridSpan w:val="2"/>
            <w:vMerge w:val="restart"/>
          </w:tcPr>
          <w:p>
            <w:pPr>
              <w:jc w:val="right"/>
              <w:ind w:right="51"/>
              <w:spacing w:after="0"/>
              <w:rPr>
                <w:sz w:val="20"/>
                <w:szCs w:val="20"/>
                <w:color w:val="auto"/>
              </w:rPr>
            </w:pPr>
            <w:r>
              <w:rPr>
                <w:rFonts w:ascii="Arial" w:cs="Arial" w:eastAsia="Arial" w:hAnsi="Arial"/>
                <w:sz w:val="17"/>
                <w:szCs w:val="17"/>
                <w:color w:val="0000FF"/>
                <w:w w:val="92"/>
              </w:rPr>
              <w:t>61,019</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3"/>
            <w:vMerge w:val="restart"/>
          </w:tcPr>
          <w:p>
            <w:pPr>
              <w:ind w:left="20"/>
              <w:spacing w:after="0" w:line="141" w:lineRule="exact"/>
              <w:rPr>
                <w:sz w:val="20"/>
                <w:szCs w:val="20"/>
                <w:color w:val="auto"/>
              </w:rPr>
            </w:pPr>
            <w:r>
              <w:rPr>
                <w:rFonts w:ascii="Arial" w:cs="Arial" w:eastAsia="Arial" w:hAnsi="Arial"/>
                <w:sz w:val="13"/>
                <w:szCs w:val="13"/>
                <w:color w:val="0000FF"/>
              </w:rPr>
              <w:t>Account of</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8.255</w:t>
            </w:r>
          </w:p>
        </w:tc>
        <w:tc>
          <w:tcPr>
            <w:tcW w:w="1080" w:type="dxa"/>
            <w:vAlign w:val="bottom"/>
            <w:gridSpan w:val="2"/>
            <w:vMerge w:val="restart"/>
          </w:tcPr>
          <w:p>
            <w:pPr>
              <w:ind w:left="320"/>
              <w:spacing w:after="0"/>
              <w:rPr>
                <w:sz w:val="20"/>
                <w:szCs w:val="20"/>
                <w:color w:val="auto"/>
              </w:rPr>
            </w:pPr>
            <w:r>
              <w:rPr>
                <w:rFonts w:ascii="Arial" w:cs="Arial" w:eastAsia="Arial" w:hAnsi="Arial"/>
                <w:sz w:val="13"/>
                <w:szCs w:val="13"/>
                <w:color w:val="0000FF"/>
              </w:rPr>
              <w:t>01/11/2017</w:t>
            </w: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4"/>
            <w:vMerge w:val="restart"/>
          </w:tcPr>
          <w:p>
            <w:pPr>
              <w:jc w:val="center"/>
              <w:ind w:right="460"/>
              <w:spacing w:after="0"/>
              <w:rPr>
                <w:sz w:val="20"/>
                <w:szCs w:val="20"/>
                <w:color w:val="auto"/>
              </w:rPr>
            </w:pPr>
            <w:r>
              <w:rPr>
                <w:rFonts w:ascii="Arial" w:cs="Arial" w:eastAsia="Arial" w:hAnsi="Arial"/>
                <w:sz w:val="12"/>
                <w:szCs w:val="12"/>
                <w:color w:val="0000FF"/>
                <w:w w:val="74"/>
              </w:rPr>
              <w:t>P</w:t>
            </w:r>
          </w:p>
        </w:tc>
        <w:tc>
          <w:tcPr>
            <w:tcW w:w="82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503,712</w:t>
            </w:r>
          </w:p>
        </w:tc>
        <w:tc>
          <w:tcPr>
            <w:tcW w:w="24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03/01/2021</w:t>
            </w: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par value</w:t>
            </w:r>
          </w:p>
        </w:tc>
        <w:tc>
          <w:tcPr>
            <w:tcW w:w="6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restart"/>
          </w:tcPr>
          <w:p>
            <w:pPr>
              <w:jc w:val="center"/>
              <w:ind w:right="1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503,712</w:t>
            </w:r>
          </w:p>
        </w:tc>
        <w:tc>
          <w:tcPr>
            <w:tcW w:w="940" w:type="dxa"/>
            <w:vAlign w:val="bottom"/>
            <w:gridSpan w:val="2"/>
            <w:vMerge w:val="restart"/>
          </w:tcPr>
          <w:p>
            <w:pPr>
              <w:jc w:val="center"/>
              <w:ind w:right="13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503,712</w:t>
            </w:r>
          </w:p>
        </w:tc>
        <w:tc>
          <w:tcPr>
            <w:tcW w:w="60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1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00" w:type="dxa"/>
            <w:vAlign w:val="bottom"/>
            <w:gridSpan w:val="4"/>
            <w:vMerge w:val="restart"/>
          </w:tcPr>
          <w:p>
            <w:pPr>
              <w:ind w:left="60"/>
              <w:spacing w:after="0" w:line="124" w:lineRule="exact"/>
              <w:rPr>
                <w:sz w:val="20"/>
                <w:szCs w:val="20"/>
                <w:color w:val="auto"/>
              </w:rPr>
            </w:pPr>
            <w:r>
              <w:rPr>
                <w:rFonts w:ascii="Arial" w:cs="Arial" w:eastAsia="Arial" w:hAnsi="Arial"/>
                <w:sz w:val="13"/>
                <w:szCs w:val="13"/>
                <w:color w:val="0000FF"/>
              </w:rPr>
              <w:t>Senior Notes</w:t>
            </w:r>
          </w:p>
        </w:tc>
        <w:tc>
          <w:tcPr>
            <w:tcW w:w="66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3"/>
            <w:vMerge w:val="restart"/>
          </w:tcPr>
          <w:p>
            <w:pPr>
              <w:ind w:left="20"/>
              <w:spacing w:after="0" w:line="124" w:lineRule="exact"/>
              <w:rPr>
                <w:sz w:val="20"/>
                <w:szCs w:val="20"/>
                <w:color w:val="auto"/>
              </w:rPr>
            </w:pPr>
            <w:r>
              <w:rPr>
                <w:rFonts w:ascii="Arial" w:cs="Arial" w:eastAsia="Arial" w:hAnsi="Arial"/>
                <w:sz w:val="13"/>
                <w:szCs w:val="13"/>
                <w:color w:val="0000FF"/>
              </w:rPr>
              <w:t>Engaged</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40" w:type="dxa"/>
            <w:vAlign w:val="bottom"/>
            <w:gridSpan w:val="3"/>
            <w:vMerge w:val="restart"/>
          </w:tcPr>
          <w:p>
            <w:pPr>
              <w:ind w:left="60"/>
              <w:spacing w:after="0"/>
              <w:rPr>
                <w:sz w:val="20"/>
                <w:szCs w:val="20"/>
                <w:color w:val="auto"/>
              </w:rPr>
            </w:pPr>
            <w:r>
              <w:rPr>
                <w:rFonts w:ascii="Arial" w:cs="Arial" w:eastAsia="Arial" w:hAnsi="Arial"/>
                <w:sz w:val="13"/>
                <w:szCs w:val="13"/>
                <w:color w:val="0000FF"/>
                <w:w w:val="84"/>
              </w:rPr>
              <w:t>due 2021</w:t>
            </w:r>
          </w:p>
        </w:tc>
        <w:tc>
          <w:tcPr>
            <w:tcW w:w="360" w:type="dxa"/>
            <w:vAlign w:val="bottom"/>
            <w:vMerge w:val="restart"/>
          </w:tcPr>
          <w:p>
            <w:pPr>
              <w:jc w:val="right"/>
              <w:ind w:right="67"/>
              <w:spacing w:after="0"/>
              <w:rPr>
                <w:sz w:val="20"/>
                <w:szCs w:val="20"/>
                <w:color w:val="auto"/>
              </w:rPr>
            </w:pPr>
            <w:r>
              <w:rPr>
                <w:rFonts w:ascii="Arial" w:cs="Arial" w:eastAsia="Arial" w:hAnsi="Arial"/>
                <w:sz w:val="11"/>
                <w:szCs w:val="11"/>
                <w:color w:val="008000"/>
                <w:w w:val="81"/>
              </w:rPr>
              <w:t>(4)(5)</w:t>
            </w: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gridSpan w:val="2"/>
          </w:tcPr>
          <w:p>
            <w:pPr>
              <w:ind w:left="40"/>
              <w:spacing w:after="0" w:line="77" w:lineRule="exact"/>
              <w:rPr>
                <w:sz w:val="20"/>
                <w:szCs w:val="20"/>
                <w:color w:val="auto"/>
              </w:rPr>
            </w:pPr>
            <w:r>
              <w:rPr>
                <w:rFonts w:ascii="Arial" w:cs="Arial" w:eastAsia="Arial" w:hAnsi="Arial"/>
                <w:sz w:val="7"/>
                <w:szCs w:val="7"/>
                <w:color w:val="0000FF"/>
              </w:rPr>
              <w:t>$0.01 per</w:t>
            </w: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40" w:type="dxa"/>
            <w:vAlign w:val="bottom"/>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share</w:t>
            </w:r>
            <w:r>
              <w:rPr>
                <w:rFonts w:ascii="Arial" w:cs="Arial" w:eastAsia="Arial" w:hAnsi="Arial"/>
                <w:sz w:val="21"/>
                <w:szCs w:val="21"/>
                <w:color w:val="008000"/>
                <w:vertAlign w:val="superscript"/>
              </w:rPr>
              <w:t>(1)</w:t>
            </w: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vMerge w:val="continue"/>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vMerge w:val="continue"/>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3"/>
          </w:tcPr>
          <w:p>
            <w:pPr>
              <w:ind w:left="20"/>
              <w:spacing w:after="0" w:line="231" w:lineRule="exact"/>
              <w:rPr>
                <w:sz w:val="20"/>
                <w:szCs w:val="20"/>
                <w:color w:val="auto"/>
              </w:rPr>
            </w:pPr>
            <w:r>
              <w:rPr>
                <w:rFonts w:ascii="Arial" w:cs="Arial" w:eastAsia="Arial" w:hAnsi="Arial"/>
                <w:sz w:val="13"/>
                <w:szCs w:val="13"/>
                <w:color w:val="0000FF"/>
              </w:rPr>
              <w:t>LLC</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7"/>
          </w:tcPr>
          <w:p>
            <w:pPr>
              <w:ind w:left="60"/>
              <w:spacing w:after="0" w:line="234"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5"/>
          </w:tcPr>
          <w:p>
            <w:pPr>
              <w:spacing w:after="0" w:line="214" w:lineRule="exact"/>
              <w:rPr>
                <w:rFonts w:ascii="Arial" w:cs="Arial" w:eastAsia="Arial" w:hAnsi="Arial"/>
                <w:sz w:val="21"/>
                <w:szCs w:val="21"/>
                <w:color w:val="0000EE"/>
              </w:rPr>
            </w:pPr>
            <w:hyperlink r:id="rId12">
              <w:r>
                <w:rPr>
                  <w:rFonts w:ascii="Arial" w:cs="Arial" w:eastAsia="Arial" w:hAnsi="Arial"/>
                  <w:sz w:val="21"/>
                  <w:szCs w:val="21"/>
                  <w:color w:val="0000EE"/>
                </w:rPr>
                <w:t>Engaged Capital LLC</w:t>
              </w:r>
            </w:hyperlink>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5"/>
          </w:tcPr>
          <w:p>
            <w:pPr>
              <w:spacing w:after="0"/>
              <w:rPr>
                <w:sz w:val="20"/>
                <w:szCs w:val="20"/>
                <w:color w:val="auto"/>
              </w:rPr>
            </w:pPr>
            <w:r>
              <w:rPr>
                <w:rFonts w:ascii="Arial" w:cs="Arial" w:eastAsia="Arial" w:hAnsi="Arial"/>
                <w:sz w:val="17"/>
                <w:szCs w:val="17"/>
                <w:color w:val="0000FF"/>
              </w:rPr>
              <w:t>610 NEWPORT CENTER DRIVE</w:t>
            </w: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gridSpan w:val="2"/>
          </w:tcPr>
          <w:p>
            <w:pPr>
              <w:spacing w:after="0"/>
              <w:rPr>
                <w:sz w:val="20"/>
                <w:szCs w:val="20"/>
                <w:color w:val="auto"/>
              </w:rPr>
            </w:pPr>
            <w:r>
              <w:rPr>
                <w:rFonts w:ascii="Arial" w:cs="Arial" w:eastAsia="Arial" w:hAnsi="Arial"/>
                <w:sz w:val="17"/>
                <w:szCs w:val="17"/>
                <w:color w:val="0000FF"/>
                <w:w w:val="93"/>
              </w:rPr>
              <w:t>SUITE 250</w:t>
            </w: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5"/>
          </w:tcPr>
          <w:p>
            <w:pPr>
              <w:spacing w:after="0"/>
              <w:rPr>
                <w:sz w:val="20"/>
                <w:szCs w:val="20"/>
                <w:color w:val="auto"/>
              </w:rPr>
            </w:pPr>
            <w:r>
              <w:rPr>
                <w:rFonts w:ascii="Arial" w:cs="Arial" w:eastAsia="Arial" w:hAnsi="Arial"/>
                <w:sz w:val="17"/>
                <w:szCs w:val="17"/>
                <w:color w:val="0000FF"/>
              </w:rPr>
              <w:t>NEWPORT BEACH CA</w:t>
            </w:r>
          </w:p>
        </w:tc>
        <w:tc>
          <w:tcPr>
            <w:tcW w:w="800" w:type="dxa"/>
            <w:vAlign w:val="bottom"/>
          </w:tcPr>
          <w:p>
            <w:pPr>
              <w:ind w:left="380"/>
              <w:spacing w:after="0"/>
              <w:rPr>
                <w:sz w:val="20"/>
                <w:szCs w:val="20"/>
                <w:color w:val="auto"/>
              </w:rPr>
            </w:pPr>
            <w:r>
              <w:rPr>
                <w:rFonts w:ascii="Arial" w:cs="Arial" w:eastAsia="Arial" w:hAnsi="Arial"/>
                <w:sz w:val="17"/>
                <w:szCs w:val="17"/>
                <w:color w:val="0000FF"/>
                <w:w w:val="84"/>
              </w:rPr>
              <w:t>92660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(State)</w:t>
            </w:r>
          </w:p>
        </w:tc>
        <w:tc>
          <w:tcPr>
            <w:tcW w:w="800" w:type="dxa"/>
            <w:vAlign w:val="bottom"/>
          </w:tcPr>
          <w:p>
            <w:pPr>
              <w:ind w:left="38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-4440555</wp:posOffset>
            </wp:positionV>
            <wp:extent cx="24130" cy="2785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78511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sz w:val="1"/>
          <w:szCs w:val="1"/>
          <w:color w:val="auto"/>
        </w:rPr>
        <w:drawing>
          <wp:inline distT="0" distB="0" distL="0" distR="0">
            <wp:extent cx="33655" cy="1892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18923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1"/>
          <w:szCs w:val="21"/>
          <w:color w:val="auto"/>
          <w:vertAlign w:val="superscript"/>
        </w:rPr>
        <w:t>*</w:t>
      </w:r>
    </w:p>
    <w:p>
      <w:pPr>
        <w:sectPr>
          <w:pgSz w:w="11900" w:h="16945" w:orient="portrait"/>
          <w:cols w:equalWidth="0" w:num="1">
            <w:col w:w="11520"/>
          </w:cols>
          <w:pgMar w:left="240" w:top="221" w:right="139" w:bottom="0" w:gutter="0" w:footer="0" w:header="0"/>
          <w:type w:val="continuous"/>
        </w:sectPr>
      </w:pPr>
    </w:p>
    <w:bookmarkStart w:id="1" w:name="page2"/>
    <w:bookmarkEnd w:id="1"/>
    <w:p>
      <w:pPr>
        <w:spacing w:after="0" w:line="81" w:lineRule="exact"/>
        <w:rPr>
          <w:sz w:val="20"/>
          <w:szCs w:val="20"/>
          <w:color w:val="auto"/>
        </w:rPr>
      </w:pP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Welling Glenn W.</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-139700</wp:posOffset>
            </wp:positionV>
            <wp:extent cx="2923540" cy="843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23540" cy="8430260"/>
                    </a:xfrm>
                    <a:prstGeom prst="rect">
                      <a:avLst/>
                    </a:prstGeom>
                    <a:noFill/>
                  </pic:spPr>
                </pic:pic>
              </a:graphicData>
            </a:graphic>
          </wp:anchor>
        </w:drawing>
      </w:r>
    </w:p>
    <w:p>
      <w:pPr>
        <w:spacing w:after="0" w:line="296"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ENGAGED CAPITAL, LLC</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610 NEWPORT CENTER DR. SUITE 250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2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Arial" w:cs="Arial" w:eastAsia="Arial" w:hAnsi="Arial"/>
                <w:sz w:val="17"/>
                <w:szCs w:val="17"/>
                <w:color w:val="0000FF"/>
              </w:rPr>
              <w:t>NEWPORT BEACH CA</w:t>
            </w:r>
          </w:p>
        </w:tc>
        <w:tc>
          <w:tcPr>
            <w:tcW w:w="1560" w:type="dxa"/>
            <w:vAlign w:val="bottom"/>
          </w:tcPr>
          <w:p>
            <w:pPr>
              <w:ind w:left="140"/>
              <w:spacing w:after="0"/>
              <w:rPr>
                <w:sz w:val="20"/>
                <w:szCs w:val="20"/>
                <w:color w:val="auto"/>
              </w:rPr>
            </w:pPr>
            <w:r>
              <w:rPr>
                <w:rFonts w:ascii="Arial" w:cs="Arial" w:eastAsia="Arial" w:hAnsi="Arial"/>
                <w:sz w:val="17"/>
                <w:szCs w:val="17"/>
                <w:color w:val="0000FF"/>
              </w:rPr>
              <w:t>92660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3"/>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8"/>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3"/>
          </w:tcPr>
          <w:p>
            <w:pPr>
              <w:spacing w:after="0" w:line="214" w:lineRule="exact"/>
              <w:rPr>
                <w:rFonts w:ascii="Arial" w:cs="Arial" w:eastAsia="Arial" w:hAnsi="Arial"/>
                <w:sz w:val="21"/>
                <w:szCs w:val="21"/>
                <w:color w:val="0000EE"/>
                <w:w w:val="94"/>
              </w:rPr>
            </w:pPr>
            <w:hyperlink r:id="rId18">
              <w:r>
                <w:rPr>
                  <w:rFonts w:ascii="Arial" w:cs="Arial" w:eastAsia="Arial" w:hAnsi="Arial"/>
                  <w:sz w:val="21"/>
                  <w:szCs w:val="21"/>
                  <w:color w:val="0000EE"/>
                  <w:w w:val="94"/>
                </w:rPr>
                <w:t>Engaged Capital Holdings, LLC</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154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3"/>
          </w:tcPr>
          <w:p>
            <w:pPr>
              <w:spacing w:after="0"/>
              <w:rPr>
                <w:sz w:val="20"/>
                <w:szCs w:val="20"/>
                <w:color w:val="auto"/>
              </w:rPr>
            </w:pPr>
            <w:r>
              <w:rPr>
                <w:rFonts w:ascii="Arial" w:cs="Arial" w:eastAsia="Arial" w:hAnsi="Arial"/>
                <w:sz w:val="17"/>
                <w:szCs w:val="17"/>
                <w:color w:val="0000FF"/>
              </w:rPr>
              <w:t>610 NEWPORT CENTER DRIVE</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SUITE 250</w:t>
            </w: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2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Arial" w:cs="Arial" w:eastAsia="Arial" w:hAnsi="Arial"/>
                <w:sz w:val="17"/>
                <w:szCs w:val="17"/>
                <w:color w:val="0000FF"/>
              </w:rPr>
              <w:t>NEWPORT BEACH CA</w:t>
            </w:r>
          </w:p>
        </w:tc>
        <w:tc>
          <w:tcPr>
            <w:tcW w:w="1560" w:type="dxa"/>
            <w:vAlign w:val="bottom"/>
          </w:tcPr>
          <w:p>
            <w:pPr>
              <w:ind w:left="140"/>
              <w:spacing w:after="0"/>
              <w:rPr>
                <w:sz w:val="20"/>
                <w:szCs w:val="20"/>
                <w:color w:val="auto"/>
              </w:rPr>
            </w:pPr>
            <w:r>
              <w:rPr>
                <w:rFonts w:ascii="Arial" w:cs="Arial" w:eastAsia="Arial" w:hAnsi="Arial"/>
                <w:sz w:val="17"/>
                <w:szCs w:val="17"/>
                <w:color w:val="0000FF"/>
              </w:rPr>
              <w:t>92660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Engaged Capital Flagship Master Fund, LP</w:t>
        </w:r>
      </w:hyperlink>
    </w:p>
    <w:p>
      <w:pPr>
        <w:spacing w:after="0" w:line="300"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CRICKET SQUARE, HUTCHINS DRIVE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P.O. BOX 2681</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54"/>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Arial" w:cs="Arial" w:eastAsia="Arial" w:hAnsi="Arial"/>
                <w:sz w:val="17"/>
                <w:szCs w:val="17"/>
                <w:color w:val="0000FF"/>
              </w:rPr>
              <w:t>GRAND CAYMAN E9</w:t>
            </w:r>
          </w:p>
        </w:tc>
        <w:tc>
          <w:tcPr>
            <w:tcW w:w="1960" w:type="dxa"/>
            <w:vAlign w:val="bottom"/>
          </w:tcPr>
          <w:p>
            <w:pPr>
              <w:ind w:left="540"/>
              <w:spacing w:after="0"/>
              <w:rPr>
                <w:sz w:val="20"/>
                <w:szCs w:val="20"/>
                <w:color w:val="auto"/>
              </w:rPr>
            </w:pPr>
            <w:r>
              <w:rPr>
                <w:rFonts w:ascii="Arial" w:cs="Arial" w:eastAsia="Arial" w:hAnsi="Arial"/>
                <w:sz w:val="17"/>
                <w:szCs w:val="17"/>
                <w:color w:val="0000FF"/>
              </w:rPr>
              <w:t>KY1-1111</w:t>
            </w:r>
          </w:p>
        </w:tc>
      </w:tr>
      <w:tr>
        <w:trPr>
          <w:trHeight w:val="148"/>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460" w:type="dxa"/>
            <w:vAlign w:val="bottom"/>
          </w:tcPr>
          <w:p>
            <w:pPr>
              <w:ind w:left="54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Engaged Capital Flagship Fund, L.P.</w:t>
        </w:r>
      </w:hyperlink>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50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640" w:type="dxa"/>
            <w:vAlign w:val="bottom"/>
            <w:gridSpan w:val="2"/>
          </w:tcPr>
          <w:p>
            <w:pPr>
              <w:ind w:left="20"/>
              <w:spacing w:after="0"/>
              <w:rPr>
                <w:sz w:val="20"/>
                <w:szCs w:val="20"/>
                <w:color w:val="auto"/>
              </w:rPr>
            </w:pPr>
            <w:r>
              <w:rPr>
                <w:rFonts w:ascii="Arial" w:cs="Arial" w:eastAsia="Arial" w:hAnsi="Arial"/>
                <w:sz w:val="17"/>
                <w:szCs w:val="17"/>
                <w:color w:val="0000FF"/>
              </w:rPr>
              <w:t>610 NEWPORT CENTER DRIVE</w:t>
            </w:r>
          </w:p>
        </w:tc>
        <w:tc>
          <w:tcPr>
            <w:tcW w:w="1720" w:type="dxa"/>
            <w:vAlign w:val="bottom"/>
          </w:tcPr>
          <w:p>
            <w:pPr>
              <w:spacing w:after="0"/>
              <w:rPr>
                <w:sz w:val="23"/>
                <w:szCs w:val="23"/>
                <w:color w:val="auto"/>
              </w:rPr>
            </w:pPr>
          </w:p>
        </w:tc>
      </w:tr>
      <w:tr>
        <w:trPr>
          <w:trHeight w:val="256"/>
        </w:trPr>
        <w:tc>
          <w:tcPr>
            <w:tcW w:w="20" w:type="dxa"/>
            <w:vAlign w:val="bottom"/>
          </w:tcPr>
          <w:p>
            <w:pPr>
              <w:spacing w:after="0"/>
              <w:rPr>
                <w:sz w:val="22"/>
                <w:szCs w:val="22"/>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SUITE 250</w:t>
            </w:r>
          </w:p>
        </w:tc>
        <w:tc>
          <w:tcPr>
            <w:tcW w:w="15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720" w:type="dxa"/>
            <w:vAlign w:val="bottom"/>
            <w:tcBorders>
              <w:bottom w:val="single" w:sz="8" w:color="9A9A9A"/>
            </w:tcBorders>
          </w:tcPr>
          <w:p>
            <w:pPr>
              <w:spacing w:after="0"/>
              <w:rPr>
                <w:sz w:val="12"/>
                <w:szCs w:val="12"/>
                <w:color w:val="auto"/>
              </w:rPr>
            </w:pPr>
          </w:p>
        </w:tc>
      </w:tr>
      <w:tr>
        <w:trPr>
          <w:trHeight w:val="25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Arial" w:cs="Arial" w:eastAsia="Arial" w:hAnsi="Arial"/>
                <w:sz w:val="17"/>
                <w:szCs w:val="17"/>
                <w:color w:val="0000FF"/>
              </w:rPr>
              <w:t>NEWPORT BEACH CA</w:t>
            </w:r>
          </w:p>
        </w:tc>
        <w:tc>
          <w:tcPr>
            <w:tcW w:w="1720" w:type="dxa"/>
            <w:vAlign w:val="bottom"/>
          </w:tcPr>
          <w:p>
            <w:pPr>
              <w:ind w:left="300"/>
              <w:spacing w:after="0"/>
              <w:rPr>
                <w:sz w:val="20"/>
                <w:szCs w:val="20"/>
                <w:color w:val="auto"/>
              </w:rPr>
            </w:pPr>
            <w:r>
              <w:rPr>
                <w:rFonts w:ascii="Arial" w:cs="Arial" w:eastAsia="Arial" w:hAnsi="Arial"/>
                <w:sz w:val="17"/>
                <w:szCs w:val="17"/>
                <w:color w:val="0000FF"/>
              </w:rPr>
              <w:t>92660</w:t>
            </w: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7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50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Engaged Capital Flagship Fund, Ltd.</w:t>
        </w:r>
      </w:hyperlink>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50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640" w:type="dxa"/>
            <w:vAlign w:val="bottom"/>
            <w:gridSpan w:val="2"/>
          </w:tcPr>
          <w:p>
            <w:pPr>
              <w:ind w:left="20"/>
              <w:spacing w:after="0"/>
              <w:rPr>
                <w:sz w:val="20"/>
                <w:szCs w:val="20"/>
                <w:color w:val="auto"/>
              </w:rPr>
            </w:pPr>
            <w:r>
              <w:rPr>
                <w:rFonts w:ascii="Arial" w:cs="Arial" w:eastAsia="Arial" w:hAnsi="Arial"/>
                <w:sz w:val="17"/>
                <w:szCs w:val="17"/>
                <w:color w:val="0000FF"/>
              </w:rPr>
              <w:t>610 NEWPORT CENTER DRIVE</w:t>
            </w:r>
          </w:p>
        </w:tc>
        <w:tc>
          <w:tcPr>
            <w:tcW w:w="1720" w:type="dxa"/>
            <w:vAlign w:val="bottom"/>
          </w:tcPr>
          <w:p>
            <w:pPr>
              <w:spacing w:after="0"/>
              <w:rPr>
                <w:sz w:val="23"/>
                <w:szCs w:val="23"/>
                <w:color w:val="auto"/>
              </w:rPr>
            </w:pPr>
          </w:p>
        </w:tc>
      </w:tr>
      <w:tr>
        <w:trPr>
          <w:trHeight w:val="256"/>
        </w:trPr>
        <w:tc>
          <w:tcPr>
            <w:tcW w:w="20" w:type="dxa"/>
            <w:vAlign w:val="bottom"/>
          </w:tcPr>
          <w:p>
            <w:pPr>
              <w:spacing w:after="0"/>
              <w:rPr>
                <w:sz w:val="22"/>
                <w:szCs w:val="22"/>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SUITE 250</w:t>
            </w:r>
          </w:p>
        </w:tc>
        <w:tc>
          <w:tcPr>
            <w:tcW w:w="15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720" w:type="dxa"/>
            <w:vAlign w:val="bottom"/>
            <w:tcBorders>
              <w:bottom w:val="single" w:sz="8" w:color="9A9A9A"/>
            </w:tcBorders>
          </w:tcPr>
          <w:p>
            <w:pPr>
              <w:spacing w:after="0"/>
              <w:rPr>
                <w:sz w:val="12"/>
                <w:szCs w:val="12"/>
                <w:color w:val="auto"/>
              </w:rPr>
            </w:pPr>
          </w:p>
        </w:tc>
      </w:tr>
      <w:tr>
        <w:trPr>
          <w:trHeight w:val="25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Arial" w:cs="Arial" w:eastAsia="Arial" w:hAnsi="Arial"/>
                <w:sz w:val="17"/>
                <w:szCs w:val="17"/>
                <w:color w:val="0000FF"/>
              </w:rPr>
              <w:t>NEWPORT BEACH CA</w:t>
            </w:r>
          </w:p>
        </w:tc>
        <w:tc>
          <w:tcPr>
            <w:tcW w:w="1720" w:type="dxa"/>
            <w:vAlign w:val="bottom"/>
          </w:tcPr>
          <w:p>
            <w:pPr>
              <w:ind w:left="300"/>
              <w:spacing w:after="0"/>
              <w:rPr>
                <w:sz w:val="20"/>
                <w:szCs w:val="20"/>
                <w:color w:val="auto"/>
              </w:rPr>
            </w:pPr>
            <w:r>
              <w:rPr>
                <w:rFonts w:ascii="Arial" w:cs="Arial" w:eastAsia="Arial" w:hAnsi="Arial"/>
                <w:sz w:val="17"/>
                <w:szCs w:val="17"/>
                <w:color w:val="0000FF"/>
              </w:rPr>
              <w:t>92660</w:t>
            </w: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7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50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jc w:val="both"/>
        <w:ind w:left="20" w:right="20" w:firstLine="1"/>
        <w:spacing w:after="0" w:line="234" w:lineRule="auto"/>
        <w:tabs>
          <w:tab w:leader="none" w:pos="14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Form 4 is filed jointly by Engaged Capital Flagship Master Fund, LP ("Engaged Capital Flagship Master"), Engaged Capital Flagship Fund, LP ("Engaged Capital Fund"), Engaged Capital Flagship Fund, Ltd. ("Engaged Capital Offshore"), Engaged Capital, LLC ("Engaged Capital"), Engaged Capital Holdings, LLC ("Engaged Holdings") and Glenn W. Welling (collectively, the "Reporting Persons"). Each of the Reporting Persons may be deemed to be a member of a Section 13(d) group that no longer collectively beneficially owns more than 10% of the Issuer's outstanding shares of Common Stock. Each of the Reporting Persons disclaims beneficial ownership of the securities reported herein except to the extent of his or its pecuniary interest therein.</w:t>
      </w:r>
    </w:p>
    <w:p>
      <w:pPr>
        <w:spacing w:after="0" w:line="32" w:lineRule="exact"/>
        <w:rPr>
          <w:rFonts w:ascii="Arial" w:cs="Arial" w:eastAsia="Arial" w:hAnsi="Arial"/>
          <w:sz w:val="13"/>
          <w:szCs w:val="13"/>
          <w:color w:val="008000"/>
        </w:rPr>
      </w:pPr>
    </w:p>
    <w:p>
      <w:pPr>
        <w:jc w:val="both"/>
        <w:ind w:left="20" w:firstLine="1"/>
        <w:spacing w:after="0" w:line="273" w:lineRule="auto"/>
        <w:tabs>
          <w:tab w:leader="none" w:pos="14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Securities owned directly by Engaged Capital Flagship Master. As feeder funds of Engaged Capital Flagship Master, each of Engaged Capital Fund and Engaged Capital Offshore may be deemed to beneficially own the securities owned directly by Engaged Capital Flagship Master. As the general partner and investment adviser of Engaged Capital Flagship Master, Engaged Capital may be deemed to beneficially own the securities owned directly by Engaged Capital Flagship Master. Engaged Holdings, as the managing member of Engaged Capital, may be deemed to beneficially own the securities owned directly by Engaged Capital Flagship Master. Mr.</w:t>
      </w:r>
    </w:p>
    <w:p>
      <w:pPr>
        <w:spacing w:after="0" w:line="1" w:lineRule="exact"/>
        <w:rPr>
          <w:rFonts w:ascii="Arial" w:cs="Arial" w:eastAsia="Arial" w:hAnsi="Arial"/>
          <w:sz w:val="11"/>
          <w:szCs w:val="11"/>
          <w:color w:val="008000"/>
        </w:rPr>
      </w:pPr>
    </w:p>
    <w:p>
      <w:pPr>
        <w:ind w:left="20"/>
        <w:spacing w:after="0"/>
        <w:rPr>
          <w:rFonts w:ascii="Arial" w:cs="Arial" w:eastAsia="Arial" w:hAnsi="Arial"/>
          <w:sz w:val="11"/>
          <w:szCs w:val="11"/>
          <w:color w:val="008000"/>
        </w:rPr>
      </w:pPr>
      <w:r>
        <w:rPr>
          <w:rFonts w:ascii="Arial" w:cs="Arial" w:eastAsia="Arial" w:hAnsi="Arial"/>
          <w:sz w:val="11"/>
          <w:szCs w:val="11"/>
          <w:color w:val="008000"/>
        </w:rPr>
        <w:t>Welling, as the Founder and Chief Investment Officer of Engaged Capital and sole member of Engaged Holdings, may be deemed to beneficially own the securities owned directly by Engaged Capital Flagship Master.</w:t>
      </w:r>
    </w:p>
    <w:p>
      <w:pPr>
        <w:spacing w:after="0" w:line="55" w:lineRule="exact"/>
        <w:rPr>
          <w:rFonts w:ascii="Arial" w:cs="Arial" w:eastAsia="Arial" w:hAnsi="Arial"/>
          <w:sz w:val="11"/>
          <w:szCs w:val="11"/>
          <w:color w:val="008000"/>
        </w:rPr>
      </w:pPr>
    </w:p>
    <w:p>
      <w:pPr>
        <w:ind w:left="20" w:right="80" w:firstLine="1"/>
        <w:spacing w:after="0" w:line="300" w:lineRule="auto"/>
        <w:tabs>
          <w:tab w:leader="none" w:pos="14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Securities held in an account separately managed by Engaged Capital (the "Engaged Capital Account"). Engaged Capital, as the investment adviser of the Engaged Capital Account, may be deemed to beneficially own the securities held in the Engaged Capital Account. Engaged Holdings, as the managing member of Engaged Capital, may be deemed to beneficially own the securities held in the Engaged Capital Account. Mr. Welling, as the Founder and Chief Investment Officer of Engaged Capital and sole member of Engaged Holdings, may be deemed to beneficially own the securities held in the Engaged Capital Account.</w:t>
      </w:r>
    </w:p>
    <w:p>
      <w:pPr>
        <w:ind w:left="20" w:firstLine="1"/>
        <w:spacing w:after="0" w:line="290" w:lineRule="auto"/>
        <w:tabs>
          <w:tab w:leader="none" w:pos="14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5.00% Exchangeable Senior Notes due 2021 (the "Convertible Notes") bear interest at a rate of 5.00% per annum, with interest payable semiannually. The principal of the Convertible Notes is convertible into shares of the Issuer's Common Stock at any time after their issuance at a conversion price of approximately $8.2550 per share, subject to adjustment in certain circumstances in accordance with the terms of the Convertible Notes; however, the Convertible Notes are subject to a blocker provision that precludes holders from converting the Convertible Notes to the extent that the holder and its affiliates would beneficially own (as determined in accordance with Section 13(d) of the Securities Exchange Act of 1934, as amended (the "Exchange Act")) in excess of 9.99% of the Issuer's shares outstanding immediately after giving effect to such conversion.</w:t>
      </w:r>
    </w:p>
    <w:p>
      <w:pPr>
        <w:spacing w:after="0" w:line="4" w:lineRule="exact"/>
        <w:rPr>
          <w:rFonts w:ascii="Arial" w:cs="Arial" w:eastAsia="Arial" w:hAnsi="Arial"/>
          <w:sz w:val="11"/>
          <w:szCs w:val="11"/>
          <w:color w:val="008000"/>
        </w:rPr>
      </w:pPr>
    </w:p>
    <w:p>
      <w:pPr>
        <w:ind w:left="20" w:firstLine="1"/>
        <w:spacing w:after="0" w:line="237" w:lineRule="auto"/>
        <w:tabs>
          <w:tab w:leader="none" w:pos="14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At the time the Convertible Notes were purchased (pre-market January 11, 2017), the market value of the Issuer's Common Stock was $6.35, based off of the closing price of the Common Stock on January 10, 2017. On January 11, 2017, the Common Stock opened at $6.55 and closed at $6.70, with a low of $6.40 and a high of $6.85 during the day. As such, in accordance with Rule 16b-6(c)(2) under the Exchange Act, there are no recoverable profits in connection with the transactions reported herein.</w:t>
      </w:r>
    </w:p>
    <w:p>
      <w:pPr>
        <w:spacing w:after="0" w:line="31" w:lineRule="exact"/>
        <w:rPr>
          <w:rFonts w:ascii="Arial" w:cs="Arial" w:eastAsia="Arial" w:hAnsi="Arial"/>
          <w:sz w:val="13"/>
          <w:szCs w:val="13"/>
          <w:color w:val="008000"/>
        </w:rPr>
      </w:pPr>
    </w:p>
    <w:p>
      <w:pPr>
        <w:ind w:left="20" w:right="380" w:firstLine="1"/>
        <w:spacing w:after="0" w:line="246" w:lineRule="auto"/>
        <w:tabs>
          <w:tab w:leader="none" w:pos="14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Effective July 1, 2016, Engaged Capital Master Feeder II, LP changed its name to Engaged Capital Flagship Master Fund, LP, Engaged Capital II, LP changed its name to Engaged Capital Flagship Fund, LP and Engaged Capital II Offshore Ltd. changed its name to Engaged Capital Flagship Fund, Ltd.</w:t>
      </w:r>
    </w:p>
    <w:p>
      <w:pPr>
        <w:sectPr>
          <w:pgSz w:w="11900" w:h="16919" w:orient="portrait"/>
          <w:cols w:equalWidth="0" w:num="1">
            <w:col w:w="11360"/>
          </w:cols>
          <w:pgMar w:left="260" w:top="120" w:right="279" w:bottom="0" w:gutter="0" w:footer="0" w:header="0"/>
        </w:sectPr>
      </w:pPr>
    </w:p>
    <w:bookmarkStart w:id="2" w:name="page3"/>
    <w:bookmarkEnd w:id="2"/>
    <w:p>
      <w:pPr>
        <w:ind w:left="6820"/>
        <w:spacing w:after="0"/>
        <w:rPr>
          <w:sz w:val="20"/>
          <w:szCs w:val="20"/>
          <w:color w:val="auto"/>
        </w:rPr>
      </w:pPr>
      <w:r>
        <w:rPr>
          <w:rFonts w:ascii="Arial" w:cs="Arial" w:eastAsia="Arial" w:hAnsi="Arial"/>
          <w:sz w:val="17"/>
          <w:szCs w:val="17"/>
          <w:color w:val="0000FF"/>
        </w:rPr>
        <w:t>Engaged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-12065</wp:posOffset>
            </wp:positionV>
            <wp:extent cx="1290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7"/>
          <w:szCs w:val="17"/>
          <w:color w:val="0000FF"/>
        </w:rPr>
        <w:t>Glenn W. Welling, Authorized</w:t>
      </w:r>
      <w:r>
        <w:rPr>
          <w:sz w:val="20"/>
          <w:szCs w:val="20"/>
          <w:color w:val="auto"/>
        </w:rPr>
        <w:tab/>
      </w:r>
      <w:r>
        <w:rPr>
          <w:rFonts w:ascii="Arial" w:cs="Arial" w:eastAsia="Arial" w:hAnsi="Arial"/>
          <w:sz w:val="15"/>
          <w:szCs w:val="15"/>
          <w:color w:val="0000FF"/>
        </w:rPr>
        <w:t>01/13/2017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-17145</wp:posOffset>
            </wp:positionV>
            <wp:extent cx="1939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9392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-17145</wp:posOffset>
            </wp:positionV>
            <wp:extent cx="4114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ectPr>
          <w:pgSz w:w="11900" w:h="16838" w:orient="portrait"/>
          <w:cols w:equalWidth="0" w:num="1">
            <w:col w:w="10179"/>
          </w:cols>
          <w:pgMar w:left="280" w:top="195" w:right="1440" w:bottom="1440" w:gutter="0" w:footer="0" w:header="0"/>
        </w:sectPr>
      </w:pPr>
    </w:p>
    <w:p>
      <w:pPr>
        <w:spacing w:after="0" w:line="5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Glenn W. 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-12065</wp:posOffset>
            </wp:positionV>
            <wp:extent cx="8870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887095" cy="8255"/>
                    </a:xfrm>
                    <a:prstGeom prst="rect">
                      <a:avLst/>
                    </a:prstGeom>
                    <a:noFill/>
                  </pic:spPr>
                </pic:pic>
              </a:graphicData>
            </a:graphic>
          </wp:anchor>
        </w:drawing>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Engaged Capital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1905</wp:posOffset>
            </wp:positionV>
            <wp:extent cx="13989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98905" cy="8255"/>
                    </a:xfrm>
                    <a:prstGeom prst="rect">
                      <a:avLst/>
                    </a:prstGeom>
                    <a:noFill/>
                  </pic:spPr>
                </pic:pic>
              </a:graphicData>
            </a:graphic>
          </wp:anchor>
        </w:drawing>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/s/ Glenn W. 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-17145</wp:posOffset>
            </wp:positionV>
            <wp:extent cx="1092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0928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-17145</wp:posOffset>
            </wp:positionV>
            <wp:extent cx="913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34"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Engaged Capital Flagship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1905</wp:posOffset>
            </wp:positionV>
            <wp:extent cx="14135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Fund, LP; By: Engaged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-2540</wp:posOffset>
            </wp:positionV>
            <wp:extent cx="13582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By: /s/ Glenn W. 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-9525</wp:posOffset>
            </wp:positionV>
            <wp:extent cx="13487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-17145</wp:posOffset>
            </wp:positionV>
            <wp:extent cx="9137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34"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Engaged Capital Flagship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1905</wp:posOffset>
            </wp:positionV>
            <wp:extent cx="1363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By: Engaged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-9525</wp:posOffset>
            </wp:positionV>
            <wp:extent cx="13430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/s/ Glenn W. 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-17145</wp:posOffset>
            </wp:positionV>
            <wp:extent cx="1092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0928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-17145</wp:posOffset>
            </wp:positionV>
            <wp:extent cx="913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34"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Engaged Capital Flagship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1905</wp:posOffset>
            </wp:positionV>
            <wp:extent cx="136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Ltd.; By: /s/ Glenn W. 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-9525</wp:posOffset>
            </wp:positionV>
            <wp:extent cx="13220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-17145</wp:posOffset>
            </wp:positionV>
            <wp:extent cx="3524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52425" cy="8255"/>
                    </a:xfrm>
                    <a:prstGeom prst="rect">
                      <a:avLst/>
                    </a:prstGeom>
                    <a:noFill/>
                  </pic:spPr>
                </pic:pic>
              </a:graphicData>
            </a:graphic>
          </wp:anchor>
        </w:drawing>
      </w:r>
    </w:p>
    <w:p>
      <w:pPr>
        <w:spacing w:after="0" w:line="42"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0000FF"/>
        </w:rPr>
        <w:t>01/13/2017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4819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0000FF"/>
        </w:rPr>
        <w:t>01/13/2017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4819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0000FF"/>
        </w:rPr>
        <w:t>01/13/2017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4819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0000FF"/>
        </w:rPr>
        <w:t>01/13/2017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4819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0000FF"/>
        </w:rPr>
        <w:t>01/13/2017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4819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0"/>
          <w:szCs w:val="20"/>
          <w:color w:val="auto"/>
        </w:rPr>
      </w:pPr>
    </w:p>
    <w:p>
      <w:pPr>
        <w:sectPr>
          <w:pgSz w:w="11900" w:h="16838" w:orient="portrait"/>
          <w:cols w:equalWidth="0" w:num="2">
            <w:col w:w="9040" w:space="80"/>
            <w:col w:w="1059"/>
          </w:cols>
          <w:pgMar w:left="280" w:top="195" w:right="1440"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779" w:firstLine="1"/>
        <w:spacing w:after="0" w:line="330"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9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12" Type="http://schemas.openxmlformats.org/officeDocument/2006/relationships/hyperlink" Target="http://www.sec.govhttp//www.sec.gov/cgi-bin/browse-edgar?action=getcompany&amp;CIK=0001559771" TargetMode="External"/><Relationship Id="rId13" Type="http://schemas.openxmlformats.org/officeDocument/2006/relationships/hyperlink" Target="http://www.sec.gov/cgi-bin/browse-edgar?action=getcompany&amp;CIK=0001325702" TargetMode="External"/><Relationship Id="rId16" Type="http://schemas.openxmlformats.org/officeDocument/2006/relationships/hyperlink" Target="http://www.sec.gov/cgi-bin/browse-edgar?action=getcompany&amp;CIK=0001580771" TargetMode="External"/><Relationship Id="rId18" Type="http://schemas.openxmlformats.org/officeDocument/2006/relationships/hyperlink" Target="http://www.sec.gov/cgi-bin/browse-edgar?action=getcompany&amp;CIK=0001580769" TargetMode="External"/><Relationship Id="rId19" Type="http://schemas.openxmlformats.org/officeDocument/2006/relationships/hyperlink" Target="http://www.sec.gov/cgi-bin/browse-edgar?action=getcompany&amp;CIK=0001580761" TargetMode="External"/><Relationship Id="rId20" Type="http://schemas.openxmlformats.org/officeDocument/2006/relationships/hyperlink" Target="http://www.sec.gov/cgi-bin/browse-edgar?action=getcompany&amp;CIK=0001559850" TargetMode="External"/><Relationship Id="rId21" Type="http://schemas.openxmlformats.org/officeDocument/2006/relationships/hyperlink" Target="http://www.sec.gov/cgi-bin/browse-edgar?action=getcompany&amp;CIK=00016198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2019-12-04T01:05:05Z</dcterms:created>
  <dcterms:modified xsi:type="dcterms:W3CDTF">2019-12-04T01:05:05Z</dcterms:modified>
</cp:coreProperties>
</file>