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September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w:t>
      </w:r>
    </w:p>
    <w:p>
      <w:pPr>
        <w:spacing w:after="0" w:line="16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In accordance with Section 7.2(a)(ii) of the Merger Agreement and pursuant to a written notice delivered by Parent to the Company, the Termination Date under the Merger Agreement has been extended from 11:59 p.m. (New York time) on September 25, 2021 to 11:59 p.m. (New York time) on December 25,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U.S. Securities and Exchange Commission (the “SEC”), including the definitive proxy statement on Schedule 14A filed on May 7, 2021 (as amended and supplemented,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2021-09-27T05:40:01Z</dcterms:created>
  <dcterms:modified xsi:type="dcterms:W3CDTF">2021-09-27T05:40:01Z</dcterms:modified>
</cp:coreProperties>
</file>