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161925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1120" w:right="899" w:hanging="288"/>
        <w:spacing w:after="0" w:line="285" w:lineRule="auto"/>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quarterly period ended March 31, 2024</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63" w:lineRule="exact"/>
        <w:rPr>
          <w:sz w:val="24"/>
          <w:szCs w:val="24"/>
          <w:color w:val="auto"/>
        </w:rPr>
      </w:pPr>
    </w:p>
    <w:p>
      <w:pPr>
        <w:ind w:left="1120" w:right="899" w:hanging="288"/>
        <w:spacing w:after="0" w:line="285" w:lineRule="auto"/>
        <w:tabs>
          <w:tab w:leader="none" w:pos="11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1" w:lineRule="exact"/>
        <w:rPr>
          <w:sz w:val="24"/>
          <w:szCs w:val="24"/>
          <w:color w:val="auto"/>
        </w:rPr>
      </w:pPr>
    </w:p>
    <w:p>
      <w:pPr>
        <w:jc w:val="center"/>
        <w:ind w:right="19"/>
        <w:spacing w:after="0"/>
        <w:tabs>
          <w:tab w:leader="none" w:pos="100" w:val="left"/>
        </w:tabs>
        <w:rPr>
          <w:sz w:val="20"/>
          <w:szCs w:val="20"/>
          <w:color w:val="auto"/>
        </w:rPr>
      </w:pPr>
      <w:r>
        <w:rPr>
          <w:rFonts w:ascii="Times New Roman" w:cs="Times New Roman" w:eastAsia="Times New Roman" w:hAnsi="Times New Roman"/>
          <w:sz w:val="12"/>
          <w:szCs w:val="12"/>
          <w:b w:val="1"/>
          <w:bCs w:val="1"/>
          <w:color w:val="auto"/>
        </w:rPr>
        <w:t xml:space="preserve">For the transition period from        </w:t>
      </w:r>
      <w:r>
        <w:rPr>
          <w:sz w:val="20"/>
          <w:szCs w:val="20"/>
          <w:color w:val="auto"/>
        </w:rPr>
        <w:tab/>
      </w:r>
      <w:r>
        <w:rPr>
          <w:rFonts w:ascii="Times New Roman" w:cs="Times New Roman" w:eastAsia="Times New Roman" w:hAnsi="Times New Roman"/>
          <w:sz w:val="11"/>
          <w:szCs w:val="11"/>
          <w:b w:val="1"/>
          <w:bCs w:val="1"/>
          <w:color w:val="auto"/>
        </w:rPr>
        <w:t>to          .</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161925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287655</wp:posOffset>
            </wp:positionV>
            <wp:extent cx="1914525" cy="371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14525" cy="371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Magnachip Semiconductor Corporation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151765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2060" w:type="dxa"/>
        <w:tblCellMar>
          <w:top w:w="0" w:type="dxa"/>
          <w:left w:w="0" w:type="dxa"/>
          <w:bottom w:w="0" w:type="dxa"/>
          <w:right w:w="0" w:type="dxa"/>
        </w:tblCellMar>
      </w:tblPr>
      <w:tr>
        <w:trPr>
          <w:trHeight w:val="142"/>
        </w:trPr>
        <w:tc>
          <w:tcPr>
            <w:tcW w:w="2600" w:type="dxa"/>
            <w:vAlign w:val="bottom"/>
          </w:tcPr>
          <w:p>
            <w:pPr>
              <w:jc w:val="center"/>
              <w:ind w:right="130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100" w:type="dxa"/>
            <w:vAlign w:val="bottom"/>
          </w:tcPr>
          <w:p>
            <w:pPr>
              <w:jc w:val="center"/>
              <w:ind w:left="1308"/>
              <w:spacing w:after="0"/>
              <w:rPr>
                <w:sz w:val="20"/>
                <w:szCs w:val="20"/>
                <w:color w:val="auto"/>
              </w:rPr>
            </w:pPr>
            <w:r>
              <w:rPr>
                <w:rFonts w:ascii="Times New Roman" w:cs="Times New Roman" w:eastAsia="Times New Roman" w:hAnsi="Times New Roman"/>
                <w:sz w:val="12"/>
                <w:szCs w:val="12"/>
                <w:b w:val="1"/>
                <w:bCs w:val="1"/>
                <w:color w:val="auto"/>
                <w:w w:val="99"/>
              </w:rPr>
              <w:t>83-0406195</w:t>
            </w:r>
          </w:p>
        </w:tc>
      </w:tr>
      <w:tr>
        <w:trPr>
          <w:trHeight w:val="99"/>
        </w:trPr>
        <w:tc>
          <w:tcPr>
            <w:tcW w:w="2600" w:type="dxa"/>
            <w:vAlign w:val="bottom"/>
          </w:tcPr>
          <w:p>
            <w:pPr>
              <w:jc w:val="center"/>
              <w:ind w:right="1308"/>
              <w:spacing w:after="0" w:line="99"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2100" w:type="dxa"/>
            <w:vAlign w:val="bottom"/>
          </w:tcPr>
          <w:p>
            <w:pPr>
              <w:jc w:val="center"/>
              <w:ind w:left="1308"/>
              <w:spacing w:after="0" w:line="99" w:lineRule="exact"/>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25"/>
        </w:trPr>
        <w:tc>
          <w:tcPr>
            <w:tcW w:w="2600" w:type="dxa"/>
            <w:vAlign w:val="bottom"/>
          </w:tcPr>
          <w:p>
            <w:pPr>
              <w:jc w:val="center"/>
              <w:ind w:right="1288"/>
              <w:spacing w:after="0"/>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2100" w:type="dxa"/>
            <w:vAlign w:val="bottom"/>
          </w:tcPr>
          <w:p>
            <w:pPr>
              <w:jc w:val="center"/>
              <w:ind w:left="1308"/>
              <w:spacing w:after="0"/>
              <w:rPr>
                <w:sz w:val="20"/>
                <w:szCs w:val="20"/>
                <w:color w:val="auto"/>
              </w:rPr>
            </w:pPr>
            <w:r>
              <w:rPr>
                <w:rFonts w:ascii="Times New Roman" w:cs="Times New Roman" w:eastAsia="Times New Roman" w:hAnsi="Times New Roman"/>
                <w:sz w:val="10"/>
                <w:szCs w:val="10"/>
                <w:b w:val="1"/>
                <w:bCs w:val="1"/>
                <w:color w:val="auto"/>
                <w:w w:val="94"/>
              </w:rPr>
              <w:t>Identification No.)</w:t>
            </w:r>
          </w:p>
        </w:tc>
      </w:tr>
    </w:tbl>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 Magnachip Semiconductor, Ltd.</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15F, 76 Jikji-daero 436beon-gil, Heungdeok-gu</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Cheongju-si, Chungcheongbuk-do, Republic of Korea 28581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(Zip Code)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152400</wp:posOffset>
            </wp:positionV>
            <wp:extent cx="98298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150" w:lineRule="exact"/>
        <w:rPr>
          <w:sz w:val="24"/>
          <w:szCs w:val="24"/>
          <w:color w:val="auto"/>
        </w:rPr>
      </w:pPr>
    </w:p>
    <w:tbl>
      <w:tblPr>
        <w:tblLayout w:type="fixed"/>
        <w:tblInd w:w="1000" w:type="dxa"/>
        <w:tblCellMar>
          <w:top w:w="0" w:type="dxa"/>
          <w:left w:w="0" w:type="dxa"/>
          <w:bottom w:w="0" w:type="dxa"/>
          <w:right w:w="0" w:type="dxa"/>
        </w:tblCellMar>
      </w:tblPr>
      <w:tr>
        <w:trPr>
          <w:trHeight w:val="115"/>
        </w:trPr>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80" w:type="dxa"/>
            <w:vAlign w:val="bottom"/>
            <w:gridSpan w:val="2"/>
          </w:tcPr>
          <w:p>
            <w:pPr>
              <w:jc w:val="center"/>
              <w:ind w:right="78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120" w:type="dxa"/>
            <w:vAlign w:val="bottom"/>
            <w:gridSpan w:val="3"/>
          </w:tcPr>
          <w:p>
            <w:pPr>
              <w:jc w:val="center"/>
              <w:ind w:left="706"/>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r>
      <w:tr>
        <w:trPr>
          <w:trHeight w:val="124"/>
        </w:trPr>
        <w:tc>
          <w:tcPr>
            <w:tcW w:w="720" w:type="dxa"/>
            <w:vAlign w:val="bottom"/>
          </w:tcPr>
          <w:p>
            <w:pPr>
              <w:spacing w:after="0"/>
              <w:rPr>
                <w:sz w:val="10"/>
                <w:szCs w:val="1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180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1040" w:type="dxa"/>
            <w:vAlign w:val="bottom"/>
          </w:tcPr>
          <w:p>
            <w:pPr>
              <w:spacing w:after="0"/>
              <w:rPr>
                <w:sz w:val="10"/>
                <w:szCs w:val="1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r>
      <w:tr>
        <w:trPr>
          <w:trHeight w:val="20"/>
        </w:trPr>
        <w:tc>
          <w:tcPr>
            <w:tcW w:w="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46"/>
        </w:trPr>
        <w:tc>
          <w:tcPr>
            <w:tcW w:w="1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9"/>
              </w:rPr>
              <w:t>Common Stock, par value $</w:t>
            </w:r>
          </w:p>
        </w:tc>
        <w:tc>
          <w:tcPr>
            <w:tcW w:w="1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0.01 per share</w:t>
            </w:r>
          </w:p>
        </w:tc>
        <w:tc>
          <w:tcPr>
            <w:tcW w:w="62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MX</w:t>
            </w:r>
          </w:p>
        </w:tc>
        <w:tc>
          <w:tcPr>
            <w:tcW w:w="780" w:type="dxa"/>
            <w:vAlign w:val="bottom"/>
          </w:tcPr>
          <w:p>
            <w:pPr>
              <w:spacing w:after="0"/>
              <w:rPr>
                <w:sz w:val="12"/>
                <w:szCs w:val="12"/>
                <w:color w:val="auto"/>
              </w:rPr>
            </w:pPr>
          </w:p>
        </w:tc>
        <w:tc>
          <w:tcPr>
            <w:tcW w:w="2120" w:type="dxa"/>
            <w:vAlign w:val="bottom"/>
            <w:gridSpan w:val="3"/>
          </w:tcPr>
          <w:p>
            <w:pPr>
              <w:jc w:val="center"/>
              <w:ind w:left="706"/>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139065</wp:posOffset>
            </wp:positionV>
            <wp:extent cx="98298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w:t>
      </w:r>
    </w:p>
    <w:p>
      <w:pPr>
        <w:spacing w:after="0" w:line="17" w:lineRule="exact"/>
        <w:rPr>
          <w:sz w:val="24"/>
          <w:szCs w:val="24"/>
          <w:color w:val="auto"/>
        </w:rPr>
      </w:pPr>
    </w:p>
    <w:p>
      <w:pPr>
        <w:ind w:left="840" w:right="1019"/>
        <w:spacing w:after="0" w:line="153" w:lineRule="exact"/>
        <w:rPr>
          <w:sz w:val="20"/>
          <w:szCs w:val="20"/>
          <w:color w:val="auto"/>
        </w:rPr>
      </w:pPr>
      <w:r>
        <w:rPr>
          <w:rFonts w:ascii="Times New Roman" w:cs="Times New Roman" w:eastAsia="Times New Roman" w:hAnsi="Times New Roman"/>
          <w:sz w:val="12"/>
          <w:szCs w:val="12"/>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spacing w:after="0" w:line="115" w:lineRule="exact"/>
        <w:rPr>
          <w:sz w:val="24"/>
          <w:szCs w:val="24"/>
          <w:color w:val="auto"/>
        </w:rPr>
      </w:pPr>
    </w:p>
    <w:p>
      <w:pPr>
        <w:jc w:val="both"/>
        <w:ind w:left="840" w:right="979" w:firstLine="294"/>
        <w:spacing w:after="0" w:line="15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spacing w:after="0" w:line="115" w:lineRule="exact"/>
        <w:rPr>
          <w:sz w:val="24"/>
          <w:szCs w:val="24"/>
          <w:color w:val="auto"/>
        </w:rPr>
      </w:pPr>
    </w:p>
    <w:p>
      <w:pPr>
        <w:jc w:val="both"/>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840" w:type="dxa"/>
        <w:tblCellMar>
          <w:top w:w="0" w:type="dxa"/>
          <w:left w:w="0" w:type="dxa"/>
          <w:bottom w:w="0" w:type="dxa"/>
          <w:right w:w="0" w:type="dxa"/>
        </w:tblCellMar>
      </w:tblPr>
      <w:tr>
        <w:trPr>
          <w:trHeight w:val="201"/>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30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3540" w:type="dxa"/>
            <w:vAlign w:val="bottom"/>
          </w:tcPr>
          <w:p>
            <w:pPr>
              <w:ind w:left="2080"/>
              <w:spacing w:after="0"/>
              <w:rPr>
                <w:sz w:val="20"/>
                <w:szCs w:val="20"/>
                <w:color w:val="auto"/>
              </w:rPr>
            </w:pPr>
            <w:r>
              <w:rPr>
                <w:rFonts w:ascii="Times New Roman" w:cs="Times New Roman" w:eastAsia="Times New Roman" w:hAnsi="Times New Roman"/>
                <w:sz w:val="12"/>
                <w:szCs w:val="12"/>
                <w:color w:val="auto"/>
              </w:rPr>
              <w:t>Accelerated filer</w:t>
            </w:r>
          </w:p>
        </w:tc>
        <w:tc>
          <w:tcPr>
            <w:tcW w:w="260" w:type="dxa"/>
            <w:vAlign w:val="bottom"/>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30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3540" w:type="dxa"/>
            <w:vAlign w:val="bottom"/>
          </w:tcPr>
          <w:p>
            <w:pPr>
              <w:ind w:left="208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60" w:type="dxa"/>
            <w:vAlign w:val="bottom"/>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6"/>
        </w:trPr>
        <w:tc>
          <w:tcPr>
            <w:tcW w:w="1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540" w:type="dxa"/>
            <w:vAlign w:val="bottom"/>
          </w:tcPr>
          <w:p>
            <w:pPr>
              <w:ind w:left="2080"/>
              <w:spacing w:after="0"/>
              <w:rPr>
                <w:sz w:val="20"/>
                <w:szCs w:val="20"/>
                <w:color w:val="auto"/>
              </w:rPr>
            </w:pPr>
            <w:r>
              <w:rPr>
                <w:rFonts w:ascii="Times New Roman" w:cs="Times New Roman" w:eastAsia="Times New Roman" w:hAnsi="Times New Roman"/>
                <w:sz w:val="12"/>
                <w:szCs w:val="12"/>
                <w:color w:val="auto"/>
              </w:rPr>
              <w:t>Emerging growth company</w:t>
            </w:r>
          </w:p>
        </w:tc>
        <w:tc>
          <w:tcPr>
            <w:tcW w:w="260" w:type="dxa"/>
            <w:vAlign w:val="bottom"/>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15" w:lineRule="exact"/>
        <w:rPr>
          <w:sz w:val="24"/>
          <w:szCs w:val="24"/>
          <w:color w:val="auto"/>
        </w:rPr>
      </w:pPr>
    </w:p>
    <w:p>
      <w:pPr>
        <w:ind w:left="840" w:right="939" w:firstLine="294"/>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87" w:lineRule="exact"/>
        <w:rPr>
          <w:sz w:val="24"/>
          <w:szCs w:val="24"/>
          <w:color w:val="auto"/>
        </w:rPr>
      </w:pPr>
    </w:p>
    <w:p>
      <w:pPr>
        <w:ind w:left="112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spacing w:after="0" w:line="178"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2"/>
          <w:szCs w:val="12"/>
          <w:color w:val="auto"/>
        </w:rPr>
        <w:t>As of April 30, 2024, the registrant had 38,267,810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107950</wp:posOffset>
            </wp:positionV>
            <wp:extent cx="46634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136525</wp:posOffset>
            </wp:positionV>
            <wp:extent cx="46634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MAGNACHIP SEMICONDUCTOR CORPORATION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6760" w:type="dxa"/>
            <w:vAlign w:val="bottom"/>
            <w:gridSpan w:val="25"/>
            <w:vMerge w:val="restart"/>
          </w:tcPr>
          <w:p>
            <w:pPr>
              <w:spacing w:after="0"/>
              <w:rPr>
                <w:sz w:val="20"/>
                <w:szCs w:val="20"/>
                <w:color w:val="auto"/>
              </w:rPr>
            </w:pPr>
            <w:r>
              <w:rPr>
                <w:rFonts w:ascii="Times New Roman" w:cs="Times New Roman" w:eastAsia="Times New Roman" w:hAnsi="Times New Roman"/>
                <w:sz w:val="12"/>
                <w:szCs w:val="12"/>
                <w:color w:val="0000EE"/>
              </w:rPr>
              <w:t>PART I FINANCIAL INFORMATION</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w w:val="89"/>
              </w:rPr>
              <w:t>Page No.</w:t>
            </w:r>
          </w:p>
        </w:tc>
        <w:tc>
          <w:tcPr>
            <w:tcW w:w="0" w:type="dxa"/>
            <w:vAlign w:val="bottom"/>
          </w:tcPr>
          <w:p>
            <w:pPr>
              <w:spacing w:after="0"/>
              <w:rPr>
                <w:sz w:val="1"/>
                <w:szCs w:val="1"/>
                <w:color w:val="auto"/>
              </w:rPr>
            </w:pPr>
          </w:p>
        </w:tc>
      </w:tr>
      <w:tr>
        <w:trPr>
          <w:trHeight w:val="97"/>
        </w:trPr>
        <w:tc>
          <w:tcPr>
            <w:tcW w:w="6760" w:type="dxa"/>
            <w:vAlign w:val="bottom"/>
            <w:gridSpan w:val="25"/>
            <w:vMerge w:val="continue"/>
          </w:tcPr>
          <w:p>
            <w:pPr>
              <w:spacing w:after="0"/>
              <w:rPr>
                <w:sz w:val="8"/>
                <w:szCs w:val="8"/>
                <w:color w:val="auto"/>
              </w:rPr>
            </w:pPr>
          </w:p>
        </w:tc>
        <w:tc>
          <w:tcPr>
            <w:tcW w:w="36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920" w:type="dxa"/>
            <w:vAlign w:val="bottom"/>
            <w:gridSpan w:val="2"/>
          </w:tcPr>
          <w:p>
            <w:pPr>
              <w:ind w:left="240"/>
              <w:spacing w:after="0" w:line="133" w:lineRule="exact"/>
              <w:rPr>
                <w:sz w:val="20"/>
                <w:szCs w:val="20"/>
                <w:color w:val="auto"/>
              </w:rPr>
            </w:pPr>
            <w:r>
              <w:rPr>
                <w:rFonts w:ascii="Times New Roman" w:cs="Times New Roman" w:eastAsia="Times New Roman" w:hAnsi="Times New Roman"/>
                <w:sz w:val="12"/>
                <w:szCs w:val="12"/>
                <w:color w:val="auto"/>
              </w:rPr>
              <w:t>Item 1.</w:t>
            </w:r>
          </w:p>
        </w:tc>
        <w:tc>
          <w:tcPr>
            <w:tcW w:w="5840" w:type="dxa"/>
            <w:vAlign w:val="bottom"/>
            <w:gridSpan w:val="23"/>
          </w:tcPr>
          <w:p>
            <w:pPr>
              <w:spacing w:after="0" w:line="133" w:lineRule="exact"/>
              <w:rPr>
                <w:sz w:val="20"/>
                <w:szCs w:val="20"/>
                <w:color w:val="auto"/>
              </w:rPr>
            </w:pPr>
            <w:r>
              <w:rPr>
                <w:rFonts w:ascii="Times New Roman" w:cs="Times New Roman" w:eastAsia="Times New Roman" w:hAnsi="Times New Roman"/>
                <w:sz w:val="12"/>
                <w:szCs w:val="12"/>
                <w:color w:val="0000EE"/>
              </w:rPr>
              <w:t>Interim Consolidated Financial Statements (Unaudited)</w:t>
            </w:r>
          </w:p>
        </w:tc>
        <w:tc>
          <w:tcPr>
            <w:tcW w:w="38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20" w:type="dxa"/>
            <w:vAlign w:val="bottom"/>
            <w:tcBorders>
              <w:bottom w:val="single" w:sz="8" w:color="0000EE"/>
            </w:tcBorders>
            <w:gridSpan w:val="21"/>
          </w:tcPr>
          <w:p>
            <w:pPr>
              <w:spacing w:after="0" w:line="124" w:lineRule="exact"/>
              <w:rPr>
                <w:sz w:val="20"/>
                <w:szCs w:val="20"/>
                <w:color w:val="auto"/>
              </w:rPr>
            </w:pPr>
            <w:r>
              <w:rPr>
                <w:rFonts w:ascii="Times New Roman" w:cs="Times New Roman" w:eastAsia="Times New Roman" w:hAnsi="Times New Roman"/>
                <w:sz w:val="12"/>
                <w:szCs w:val="12"/>
                <w:color w:val="0000EE"/>
                <w:w w:val="99"/>
              </w:rPr>
              <w:t>Magnachip Semiconductor Corporation and Subsidiaries Consolidated Balance Sheets as of March 31, 2024 and</w:t>
            </w:r>
          </w:p>
        </w:tc>
        <w:tc>
          <w:tcPr>
            <w:tcW w:w="420" w:type="dxa"/>
            <w:vAlign w:val="bottom"/>
            <w:gridSpan w:val="2"/>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bottom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w w:val="99"/>
              </w:rPr>
              <w:t>December 31, 2023</w:t>
            </w:r>
          </w:p>
        </w:tc>
        <w:tc>
          <w:tcPr>
            <w:tcW w:w="4760" w:type="dxa"/>
            <w:vAlign w:val="bottom"/>
            <w:gridSpan w:val="16"/>
          </w:tcPr>
          <w:p>
            <w:pPr>
              <w:spacing w:after="0"/>
              <w:rPr>
                <w:sz w:val="10"/>
                <w:szCs w:val="10"/>
                <w:color w:val="auto"/>
              </w:rPr>
            </w:pP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24"/>
        </w:trPr>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300" w:type="dxa"/>
            <w:vAlign w:val="bottom"/>
            <w:tcBorders>
              <w:bottom w:val="single" w:sz="8" w:color="0000EE"/>
            </w:tcBorders>
            <w:gridSpan w:val="18"/>
          </w:tcPr>
          <w:p>
            <w:pPr>
              <w:spacing w:after="0" w:line="124" w:lineRule="exact"/>
              <w:rPr>
                <w:sz w:val="20"/>
                <w:szCs w:val="20"/>
                <w:color w:val="auto"/>
              </w:rPr>
            </w:pPr>
            <w:r>
              <w:rPr>
                <w:rFonts w:ascii="Times New Roman" w:cs="Times New Roman" w:eastAsia="Times New Roman" w:hAnsi="Times New Roman"/>
                <w:sz w:val="12"/>
                <w:szCs w:val="12"/>
                <w:color w:val="0000EE"/>
                <w:w w:val="99"/>
              </w:rPr>
              <w:t>Magnachip Semiconductor Corporation and Subsidiaries Consolidated Statements of Operations for the Three</w:t>
            </w:r>
          </w:p>
        </w:tc>
        <w:tc>
          <w:tcPr>
            <w:tcW w:w="540" w:type="dxa"/>
            <w:vAlign w:val="bottom"/>
            <w:gridSpan w:val="5"/>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tcBorders>
              <w:bottom w:val="single" w:sz="8" w:color="0000EE"/>
            </w:tcBorders>
            <w:gridSpan w:val="9"/>
          </w:tcPr>
          <w:p>
            <w:pPr>
              <w:spacing w:after="0" w:line="124" w:lineRule="exact"/>
              <w:rPr>
                <w:sz w:val="20"/>
                <w:szCs w:val="20"/>
                <w:color w:val="auto"/>
              </w:rPr>
            </w:pPr>
            <w:r>
              <w:rPr>
                <w:rFonts w:ascii="Times New Roman" w:cs="Times New Roman" w:eastAsia="Times New Roman" w:hAnsi="Times New Roman"/>
                <w:sz w:val="12"/>
                <w:szCs w:val="12"/>
                <w:color w:val="0000EE"/>
                <w:w w:val="99"/>
              </w:rPr>
              <w:t>Months Ended March 31, 2024 and 2023</w:t>
            </w:r>
          </w:p>
        </w:tc>
        <w:tc>
          <w:tcPr>
            <w:tcW w:w="3740" w:type="dxa"/>
            <w:vAlign w:val="bottom"/>
            <w:gridSpan w:val="13"/>
          </w:tcPr>
          <w:p>
            <w:pPr>
              <w:spacing w:after="0"/>
              <w:rPr>
                <w:sz w:val="10"/>
                <w:szCs w:val="10"/>
                <w:color w:val="auto"/>
              </w:rPr>
            </w:pP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24"/>
        </w:trPr>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40" w:type="dxa"/>
            <w:vAlign w:val="bottom"/>
            <w:gridSpan w:val="23"/>
          </w:tcPr>
          <w:p>
            <w:pPr>
              <w:spacing w:after="0" w:line="124" w:lineRule="exact"/>
              <w:rPr>
                <w:sz w:val="20"/>
                <w:szCs w:val="20"/>
                <w:color w:val="auto"/>
              </w:rPr>
            </w:pPr>
            <w:r>
              <w:rPr>
                <w:rFonts w:ascii="Times New Roman" w:cs="Times New Roman" w:eastAsia="Times New Roman" w:hAnsi="Times New Roman"/>
                <w:sz w:val="12"/>
                <w:szCs w:val="12"/>
                <w:color w:val="0000EE"/>
              </w:rPr>
              <w:t>Magnachip Semiconductor Corporation and Subsidiaries Consolidated Statements of Comprehensive Loss for the</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5340" w:type="dxa"/>
            <w:vAlign w:val="bottom"/>
            <w:tcBorders>
              <w:top w:val="single" w:sz="8" w:color="0000EE"/>
            </w:tcBorders>
            <w:gridSpan w:val="21"/>
          </w:tcPr>
          <w:p>
            <w:pPr>
              <w:spacing w:after="0" w:line="124" w:lineRule="exact"/>
              <w:rPr>
                <w:sz w:val="20"/>
                <w:szCs w:val="20"/>
                <w:color w:val="auto"/>
              </w:rPr>
            </w:pPr>
            <w:r>
              <w:rPr>
                <w:rFonts w:ascii="Times New Roman" w:cs="Times New Roman" w:eastAsia="Times New Roman" w:hAnsi="Times New Roman"/>
                <w:sz w:val="12"/>
                <w:szCs w:val="12"/>
                <w:color w:val="0000EE"/>
              </w:rPr>
              <w:t>Three Months Ended March 31, 2024 and 2023</w:t>
            </w:r>
          </w:p>
        </w:tc>
        <w:tc>
          <w:tcPr>
            <w:tcW w:w="380" w:type="dxa"/>
            <w:vAlign w:val="bottom"/>
          </w:tcPr>
          <w:p>
            <w:pPr>
              <w:spacing w:after="0"/>
              <w:rPr>
                <w:sz w:val="10"/>
                <w:szCs w:val="10"/>
                <w:color w:val="auto"/>
              </w:rPr>
            </w:pP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360" w:type="dxa"/>
            <w:vAlign w:val="bottom"/>
            <w:tcBorders>
              <w:bottom w:val="single" w:sz="8" w:color="0000EE"/>
            </w:tcBorders>
            <w:gridSpan w:val="20"/>
          </w:tcPr>
          <w:p>
            <w:pPr>
              <w:spacing w:after="0" w:line="124" w:lineRule="exact"/>
              <w:rPr>
                <w:sz w:val="20"/>
                <w:szCs w:val="20"/>
                <w:color w:val="auto"/>
              </w:rPr>
            </w:pPr>
            <w:r>
              <w:rPr>
                <w:rFonts w:ascii="Times New Roman" w:cs="Times New Roman" w:eastAsia="Times New Roman" w:hAnsi="Times New Roman"/>
                <w:sz w:val="12"/>
                <w:szCs w:val="12"/>
                <w:color w:val="0000EE"/>
                <w:w w:val="99"/>
              </w:rPr>
              <w:t>Magnachip Semiconductor Corporation and Subsidiaries Consolidated Statements of Changes in Stockholders’</w:t>
            </w:r>
          </w:p>
        </w:tc>
        <w:tc>
          <w:tcPr>
            <w:tcW w:w="480" w:type="dxa"/>
            <w:vAlign w:val="bottom"/>
            <w:gridSpan w:val="3"/>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720" w:type="dxa"/>
            <w:vAlign w:val="bottom"/>
            <w:gridSpan w:val="22"/>
          </w:tcPr>
          <w:p>
            <w:pPr>
              <w:spacing w:after="0" w:line="124" w:lineRule="exact"/>
              <w:rPr>
                <w:sz w:val="20"/>
                <w:szCs w:val="20"/>
                <w:color w:val="auto"/>
              </w:rPr>
            </w:pPr>
            <w:r>
              <w:rPr>
                <w:rFonts w:ascii="Times New Roman" w:cs="Times New Roman" w:eastAsia="Times New Roman" w:hAnsi="Times New Roman"/>
                <w:sz w:val="12"/>
                <w:szCs w:val="12"/>
                <w:color w:val="0000EE"/>
              </w:rPr>
              <w:t>Equity for the Three Months Ended March 31, 2024 and 2023</w:t>
            </w: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340" w:type="dxa"/>
            <w:vAlign w:val="bottom"/>
            <w:tcBorders>
              <w:bottom w:val="single" w:sz="8" w:color="0000EE"/>
            </w:tcBorders>
            <w:gridSpan w:val="19"/>
          </w:tcPr>
          <w:p>
            <w:pPr>
              <w:spacing w:after="0" w:line="124" w:lineRule="exact"/>
              <w:rPr>
                <w:sz w:val="20"/>
                <w:szCs w:val="20"/>
                <w:color w:val="auto"/>
              </w:rPr>
            </w:pPr>
            <w:r>
              <w:rPr>
                <w:rFonts w:ascii="Times New Roman" w:cs="Times New Roman" w:eastAsia="Times New Roman" w:hAnsi="Times New Roman"/>
                <w:sz w:val="12"/>
                <w:szCs w:val="12"/>
                <w:color w:val="0000EE"/>
                <w:w w:val="99"/>
              </w:rPr>
              <w:t>Magnachip Semiconductor Corporation and Subsidiaries Consolidated Statements of Cash Flows for the Three</w:t>
            </w:r>
          </w:p>
        </w:tc>
        <w:tc>
          <w:tcPr>
            <w:tcW w:w="500" w:type="dxa"/>
            <w:vAlign w:val="bottom"/>
            <w:gridSpan w:val="4"/>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tcBorders>
              <w:bottom w:val="single" w:sz="8" w:color="0000EE"/>
            </w:tcBorders>
            <w:gridSpan w:val="9"/>
          </w:tcPr>
          <w:p>
            <w:pPr>
              <w:spacing w:after="0" w:line="124" w:lineRule="exact"/>
              <w:rPr>
                <w:sz w:val="20"/>
                <w:szCs w:val="20"/>
                <w:color w:val="auto"/>
              </w:rPr>
            </w:pPr>
            <w:r>
              <w:rPr>
                <w:rFonts w:ascii="Times New Roman" w:cs="Times New Roman" w:eastAsia="Times New Roman" w:hAnsi="Times New Roman"/>
                <w:sz w:val="12"/>
                <w:szCs w:val="12"/>
                <w:color w:val="0000EE"/>
                <w:w w:val="99"/>
              </w:rPr>
              <w:t>Months Ended March 31, 2024 and 2023</w:t>
            </w:r>
          </w:p>
        </w:tc>
        <w:tc>
          <w:tcPr>
            <w:tcW w:w="3740" w:type="dxa"/>
            <w:vAlign w:val="bottom"/>
            <w:gridSpan w:val="13"/>
          </w:tcPr>
          <w:p>
            <w:pPr>
              <w:spacing w:after="0"/>
              <w:rPr>
                <w:sz w:val="10"/>
                <w:szCs w:val="10"/>
                <w:color w:val="auto"/>
              </w:rPr>
            </w:pP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24"/>
        </w:trPr>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40" w:type="dxa"/>
            <w:vAlign w:val="bottom"/>
            <w:gridSpan w:val="23"/>
          </w:tcPr>
          <w:p>
            <w:pPr>
              <w:spacing w:after="0" w:line="124" w:lineRule="exact"/>
              <w:rPr>
                <w:sz w:val="20"/>
                <w:szCs w:val="20"/>
                <w:color w:val="auto"/>
              </w:rPr>
            </w:pPr>
            <w:r>
              <w:rPr>
                <w:rFonts w:ascii="Times New Roman" w:cs="Times New Roman" w:eastAsia="Times New Roman" w:hAnsi="Times New Roman"/>
                <w:sz w:val="12"/>
                <w:szCs w:val="12"/>
                <w:color w:val="0000EE"/>
              </w:rPr>
              <w:t>Magnachip Semiconductor Corporation and Subsidiaries Notes to Consolidated Financial Statements</w:t>
            </w: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24"/>
        </w:trPr>
        <w:tc>
          <w:tcPr>
            <w:tcW w:w="92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2.</w:t>
            </w:r>
          </w:p>
        </w:tc>
        <w:tc>
          <w:tcPr>
            <w:tcW w:w="4320" w:type="dxa"/>
            <w:vAlign w:val="bottom"/>
            <w:tcBorders>
              <w:top w:val="single" w:sz="8" w:color="0000EE"/>
              <w:bottom w:val="single" w:sz="8" w:color="0000EE"/>
            </w:tcBorders>
            <w:gridSpan w:val="16"/>
          </w:tcPr>
          <w:p>
            <w:pPr>
              <w:spacing w:after="0" w:line="124" w:lineRule="exact"/>
              <w:rPr>
                <w:sz w:val="20"/>
                <w:szCs w:val="20"/>
                <w:color w:val="auto"/>
              </w:rPr>
            </w:pPr>
            <w:r>
              <w:rPr>
                <w:rFonts w:ascii="Times New Roman" w:cs="Times New Roman" w:eastAsia="Times New Roman" w:hAnsi="Times New Roman"/>
                <w:sz w:val="12"/>
                <w:szCs w:val="12"/>
                <w:color w:val="0000EE"/>
                <w:w w:val="99"/>
              </w:rPr>
              <w:t>Management’s Discussion and Analysis of Financial Condition and Results of Operations</w:t>
            </w:r>
          </w:p>
        </w:tc>
        <w:tc>
          <w:tcPr>
            <w:tcW w:w="540" w:type="dxa"/>
            <w:vAlign w:val="bottom"/>
            <w:tcBorders>
              <w:top w:val="single" w:sz="8" w:color="0000EE"/>
            </w:tcBorders>
          </w:tcPr>
          <w:p>
            <w:pPr>
              <w:spacing w:after="0"/>
              <w:rPr>
                <w:sz w:val="10"/>
                <w:szCs w:val="10"/>
                <w:color w:val="auto"/>
              </w:rPr>
            </w:pPr>
          </w:p>
        </w:tc>
        <w:tc>
          <w:tcPr>
            <w:tcW w:w="980" w:type="dxa"/>
            <w:vAlign w:val="bottom"/>
            <w:gridSpan w:val="6"/>
          </w:tcPr>
          <w:p>
            <w:pPr>
              <w:spacing w:after="0"/>
              <w:rPr>
                <w:sz w:val="10"/>
                <w:szCs w:val="10"/>
                <w:color w:val="auto"/>
              </w:rPr>
            </w:pP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24"/>
        </w:trPr>
        <w:tc>
          <w:tcPr>
            <w:tcW w:w="92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3.</w:t>
            </w:r>
          </w:p>
        </w:tc>
        <w:tc>
          <w:tcPr>
            <w:tcW w:w="2920" w:type="dxa"/>
            <w:vAlign w:val="bottom"/>
            <w:tcBorders>
              <w:bottom w:val="single" w:sz="8" w:color="0000EE"/>
            </w:tcBorders>
            <w:gridSpan w:val="14"/>
          </w:tcPr>
          <w:p>
            <w:pPr>
              <w:spacing w:after="0" w:line="124" w:lineRule="exact"/>
              <w:rPr>
                <w:sz w:val="20"/>
                <w:szCs w:val="20"/>
                <w:color w:val="auto"/>
              </w:rPr>
            </w:pPr>
            <w:r>
              <w:rPr>
                <w:rFonts w:ascii="Times New Roman" w:cs="Times New Roman" w:eastAsia="Times New Roman" w:hAnsi="Times New Roman"/>
                <w:sz w:val="12"/>
                <w:szCs w:val="12"/>
                <w:color w:val="0000EE"/>
                <w:w w:val="99"/>
              </w:rPr>
              <w:t>Quantitative and Qualitative Disclosures About Market Risk</w:t>
            </w:r>
          </w:p>
        </w:tc>
        <w:tc>
          <w:tcPr>
            <w:tcW w:w="2920" w:type="dxa"/>
            <w:vAlign w:val="bottom"/>
            <w:gridSpan w:val="9"/>
          </w:tcPr>
          <w:p>
            <w:pPr>
              <w:spacing w:after="0"/>
              <w:rPr>
                <w:sz w:val="10"/>
                <w:szCs w:val="10"/>
                <w:color w:val="auto"/>
              </w:rPr>
            </w:pP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44</w:t>
            </w:r>
          </w:p>
        </w:tc>
        <w:tc>
          <w:tcPr>
            <w:tcW w:w="0" w:type="dxa"/>
            <w:vAlign w:val="bottom"/>
          </w:tcPr>
          <w:p>
            <w:pPr>
              <w:spacing w:after="0"/>
              <w:rPr>
                <w:sz w:val="1"/>
                <w:szCs w:val="1"/>
                <w:color w:val="auto"/>
              </w:rPr>
            </w:pPr>
          </w:p>
        </w:tc>
      </w:tr>
      <w:tr>
        <w:trPr>
          <w:trHeight w:val="124"/>
        </w:trPr>
        <w:tc>
          <w:tcPr>
            <w:tcW w:w="92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4.</w:t>
            </w:r>
          </w:p>
        </w:tc>
        <w:tc>
          <w:tcPr>
            <w:tcW w:w="5840" w:type="dxa"/>
            <w:vAlign w:val="bottom"/>
            <w:gridSpan w:val="23"/>
          </w:tcPr>
          <w:p>
            <w:pPr>
              <w:spacing w:after="0" w:line="124" w:lineRule="exact"/>
              <w:rPr>
                <w:sz w:val="20"/>
                <w:szCs w:val="20"/>
                <w:color w:val="auto"/>
              </w:rPr>
            </w:pPr>
            <w:r>
              <w:rPr>
                <w:rFonts w:ascii="Times New Roman" w:cs="Times New Roman" w:eastAsia="Times New Roman" w:hAnsi="Times New Roman"/>
                <w:sz w:val="12"/>
                <w:szCs w:val="12"/>
                <w:color w:val="0000EE"/>
              </w:rPr>
              <w:t>Controls and Procedures</w:t>
            </w: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940" w:type="dxa"/>
            <w:vAlign w:val="bottom"/>
            <w:gridSpan w:val="1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680" w:type="dxa"/>
            <w:vAlign w:val="bottom"/>
            <w:tcBorders>
              <w:bottom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w w:val="96"/>
              </w:rPr>
              <w:t>PART II OTHER INFORMATION</w:t>
            </w:r>
          </w:p>
        </w:tc>
        <w:tc>
          <w:tcPr>
            <w:tcW w:w="5080" w:type="dxa"/>
            <w:vAlign w:val="bottom"/>
            <w:gridSpan w:val="19"/>
          </w:tcPr>
          <w:p>
            <w:pPr>
              <w:spacing w:after="0"/>
              <w:rPr>
                <w:sz w:val="10"/>
                <w:szCs w:val="10"/>
                <w:color w:val="auto"/>
              </w:rPr>
            </w:pP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46</w:t>
            </w:r>
          </w:p>
        </w:tc>
        <w:tc>
          <w:tcPr>
            <w:tcW w:w="0" w:type="dxa"/>
            <w:vAlign w:val="bottom"/>
          </w:tcPr>
          <w:p>
            <w:pPr>
              <w:spacing w:after="0"/>
              <w:rPr>
                <w:sz w:val="1"/>
                <w:szCs w:val="1"/>
                <w:color w:val="auto"/>
              </w:rPr>
            </w:pPr>
          </w:p>
        </w:tc>
      </w:tr>
      <w:tr>
        <w:trPr>
          <w:trHeight w:val="124"/>
        </w:trPr>
        <w:tc>
          <w:tcPr>
            <w:tcW w:w="92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1.</w:t>
            </w:r>
          </w:p>
        </w:tc>
        <w:tc>
          <w:tcPr>
            <w:tcW w:w="960" w:type="dxa"/>
            <w:vAlign w:val="bottom"/>
            <w:tcBorders>
              <w:bottom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Legal Proceedings</w:t>
            </w:r>
          </w:p>
        </w:tc>
        <w:tc>
          <w:tcPr>
            <w:tcW w:w="4880" w:type="dxa"/>
            <w:vAlign w:val="bottom"/>
            <w:gridSpan w:val="17"/>
          </w:tcPr>
          <w:p>
            <w:pPr>
              <w:spacing w:after="0"/>
              <w:rPr>
                <w:sz w:val="10"/>
                <w:szCs w:val="10"/>
                <w:color w:val="auto"/>
              </w:rPr>
            </w:pP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46</w:t>
            </w:r>
          </w:p>
        </w:tc>
        <w:tc>
          <w:tcPr>
            <w:tcW w:w="0" w:type="dxa"/>
            <w:vAlign w:val="bottom"/>
          </w:tcPr>
          <w:p>
            <w:pPr>
              <w:spacing w:after="0"/>
              <w:rPr>
                <w:sz w:val="1"/>
                <w:szCs w:val="1"/>
                <w:color w:val="auto"/>
              </w:rPr>
            </w:pPr>
          </w:p>
        </w:tc>
      </w:tr>
      <w:tr>
        <w:trPr>
          <w:trHeight w:val="124"/>
        </w:trPr>
        <w:tc>
          <w:tcPr>
            <w:tcW w:w="92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1A.</w:t>
            </w:r>
          </w:p>
        </w:tc>
        <w:tc>
          <w:tcPr>
            <w:tcW w:w="620" w:type="dxa"/>
            <w:vAlign w:val="bottom"/>
            <w:tcBorders>
              <w:bottom w:val="single" w:sz="8" w:color="0000EE"/>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EE"/>
                <w:w w:val="99"/>
              </w:rPr>
              <w:t>Risk Factors</w:t>
            </w:r>
          </w:p>
        </w:tc>
        <w:tc>
          <w:tcPr>
            <w:tcW w:w="5220" w:type="dxa"/>
            <w:vAlign w:val="bottom"/>
            <w:gridSpan w:val="20"/>
          </w:tcPr>
          <w:p>
            <w:pPr>
              <w:spacing w:after="0"/>
              <w:rPr>
                <w:sz w:val="10"/>
                <w:szCs w:val="10"/>
                <w:color w:val="auto"/>
              </w:rPr>
            </w:pP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46</w:t>
            </w:r>
          </w:p>
        </w:tc>
        <w:tc>
          <w:tcPr>
            <w:tcW w:w="0" w:type="dxa"/>
            <w:vAlign w:val="bottom"/>
          </w:tcPr>
          <w:p>
            <w:pPr>
              <w:spacing w:after="0"/>
              <w:rPr>
                <w:sz w:val="1"/>
                <w:szCs w:val="1"/>
                <w:color w:val="auto"/>
              </w:rPr>
            </w:pPr>
          </w:p>
        </w:tc>
      </w:tr>
      <w:tr>
        <w:trPr>
          <w:trHeight w:val="124"/>
        </w:trPr>
        <w:tc>
          <w:tcPr>
            <w:tcW w:w="92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2.</w:t>
            </w:r>
          </w:p>
        </w:tc>
        <w:tc>
          <w:tcPr>
            <w:tcW w:w="5840" w:type="dxa"/>
            <w:vAlign w:val="bottom"/>
            <w:gridSpan w:val="23"/>
          </w:tcPr>
          <w:p>
            <w:pPr>
              <w:spacing w:after="0" w:line="124" w:lineRule="exact"/>
              <w:rPr>
                <w:sz w:val="20"/>
                <w:szCs w:val="20"/>
                <w:color w:val="auto"/>
              </w:rPr>
            </w:pPr>
            <w:r>
              <w:rPr>
                <w:rFonts w:ascii="Times New Roman" w:cs="Times New Roman" w:eastAsia="Times New Roman" w:hAnsi="Times New Roman"/>
                <w:sz w:val="12"/>
                <w:szCs w:val="12"/>
                <w:color w:val="0000EE"/>
              </w:rPr>
              <w:t>Unregistered Sales of Equity Securities and Use of Proceeds</w:t>
            </w: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r>
        <w:trPr>
          <w:trHeight w:val="124"/>
        </w:trPr>
        <w:tc>
          <w:tcPr>
            <w:tcW w:w="92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3.</w:t>
            </w:r>
          </w:p>
        </w:tc>
        <w:tc>
          <w:tcPr>
            <w:tcW w:w="1560" w:type="dxa"/>
            <w:vAlign w:val="bottom"/>
            <w:tcBorders>
              <w:top w:val="single" w:sz="8" w:color="0000EE"/>
              <w:bottom w:val="single" w:sz="8" w:color="0000EE"/>
            </w:tcBorders>
            <w:gridSpan w:val="9"/>
          </w:tcPr>
          <w:p>
            <w:pPr>
              <w:spacing w:after="0" w:line="124" w:lineRule="exact"/>
              <w:rPr>
                <w:sz w:val="20"/>
                <w:szCs w:val="20"/>
                <w:color w:val="auto"/>
              </w:rPr>
            </w:pPr>
            <w:r>
              <w:rPr>
                <w:rFonts w:ascii="Times New Roman" w:cs="Times New Roman" w:eastAsia="Times New Roman" w:hAnsi="Times New Roman"/>
                <w:sz w:val="12"/>
                <w:szCs w:val="12"/>
                <w:color w:val="0000EE"/>
                <w:w w:val="99"/>
              </w:rPr>
              <w:t>Defaults Upon Senior Securities</w:t>
            </w:r>
          </w:p>
        </w:tc>
        <w:tc>
          <w:tcPr>
            <w:tcW w:w="1340" w:type="dxa"/>
            <w:vAlign w:val="bottom"/>
            <w:tcBorders>
              <w:top w:val="single" w:sz="8" w:color="0000EE"/>
            </w:tcBorders>
            <w:gridSpan w:val="4"/>
          </w:tcPr>
          <w:p>
            <w:pPr>
              <w:spacing w:after="0"/>
              <w:rPr>
                <w:sz w:val="10"/>
                <w:szCs w:val="10"/>
                <w:color w:val="auto"/>
              </w:rPr>
            </w:pPr>
          </w:p>
        </w:tc>
        <w:tc>
          <w:tcPr>
            <w:tcW w:w="2940" w:type="dxa"/>
            <w:vAlign w:val="bottom"/>
            <w:gridSpan w:val="10"/>
          </w:tcPr>
          <w:p>
            <w:pPr>
              <w:spacing w:after="0"/>
              <w:rPr>
                <w:sz w:val="10"/>
                <w:szCs w:val="10"/>
                <w:color w:val="auto"/>
              </w:rPr>
            </w:pP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r>
        <w:trPr>
          <w:trHeight w:val="124"/>
        </w:trPr>
        <w:tc>
          <w:tcPr>
            <w:tcW w:w="92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4.</w:t>
            </w:r>
          </w:p>
        </w:tc>
        <w:tc>
          <w:tcPr>
            <w:tcW w:w="5840" w:type="dxa"/>
            <w:vAlign w:val="bottom"/>
            <w:gridSpan w:val="23"/>
          </w:tcPr>
          <w:p>
            <w:pPr>
              <w:spacing w:after="0" w:line="124" w:lineRule="exact"/>
              <w:rPr>
                <w:sz w:val="20"/>
                <w:szCs w:val="20"/>
                <w:color w:val="auto"/>
              </w:rPr>
            </w:pPr>
            <w:r>
              <w:rPr>
                <w:rFonts w:ascii="Times New Roman" w:cs="Times New Roman" w:eastAsia="Times New Roman" w:hAnsi="Times New Roman"/>
                <w:sz w:val="12"/>
                <w:szCs w:val="12"/>
                <w:color w:val="0000EE"/>
              </w:rPr>
              <w:t>Mine Safety Disclosures</w:t>
            </w: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r>
        <w:trPr>
          <w:trHeight w:val="124"/>
        </w:trPr>
        <w:tc>
          <w:tcPr>
            <w:tcW w:w="92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5.</w:t>
            </w:r>
          </w:p>
        </w:tc>
        <w:tc>
          <w:tcPr>
            <w:tcW w:w="1180" w:type="dxa"/>
            <w:vAlign w:val="bottom"/>
            <w:tcBorders>
              <w:top w:val="single" w:sz="8" w:color="0000EE"/>
            </w:tcBorders>
            <w:gridSpan w:val="8"/>
          </w:tcPr>
          <w:p>
            <w:pPr>
              <w:spacing w:after="0" w:line="124" w:lineRule="exact"/>
              <w:rPr>
                <w:sz w:val="20"/>
                <w:szCs w:val="20"/>
                <w:color w:val="auto"/>
              </w:rPr>
            </w:pPr>
            <w:r>
              <w:rPr>
                <w:rFonts w:ascii="Times New Roman" w:cs="Times New Roman" w:eastAsia="Times New Roman" w:hAnsi="Times New Roman"/>
                <w:sz w:val="12"/>
                <w:szCs w:val="12"/>
                <w:color w:val="0000EE"/>
              </w:rPr>
              <w:t>Other Information</w:t>
            </w:r>
          </w:p>
        </w:tc>
        <w:tc>
          <w:tcPr>
            <w:tcW w:w="4660" w:type="dxa"/>
            <w:vAlign w:val="bottom"/>
            <w:gridSpan w:val="15"/>
          </w:tcPr>
          <w:p>
            <w:pPr>
              <w:spacing w:after="0"/>
              <w:rPr>
                <w:sz w:val="10"/>
                <w:szCs w:val="10"/>
                <w:color w:val="auto"/>
              </w:rPr>
            </w:pP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r>
        <w:trPr>
          <w:trHeight w:val="124"/>
        </w:trPr>
        <w:tc>
          <w:tcPr>
            <w:tcW w:w="92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6.</w:t>
            </w:r>
          </w:p>
        </w:tc>
        <w:tc>
          <w:tcPr>
            <w:tcW w:w="880" w:type="dxa"/>
            <w:vAlign w:val="bottom"/>
            <w:tcBorders>
              <w:top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rPr>
              <w:t>Exhibits</w:t>
            </w:r>
          </w:p>
        </w:tc>
        <w:tc>
          <w:tcPr>
            <w:tcW w:w="4960" w:type="dxa"/>
            <w:vAlign w:val="bottom"/>
            <w:gridSpan w:val="18"/>
          </w:tcPr>
          <w:p>
            <w:pPr>
              <w:spacing w:after="0"/>
              <w:rPr>
                <w:sz w:val="10"/>
                <w:szCs w:val="10"/>
                <w:color w:val="auto"/>
              </w:rPr>
            </w:pP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48</w:t>
            </w:r>
          </w:p>
        </w:tc>
        <w:tc>
          <w:tcPr>
            <w:tcW w:w="0" w:type="dxa"/>
            <w:vAlign w:val="bottom"/>
          </w:tcPr>
          <w:p>
            <w:pPr>
              <w:spacing w:after="0"/>
              <w:rPr>
                <w:sz w:val="1"/>
                <w:szCs w:val="1"/>
                <w:color w:val="auto"/>
              </w:rPr>
            </w:pPr>
          </w:p>
        </w:tc>
      </w:tr>
      <w:tr>
        <w:trPr>
          <w:trHeight w:val="124"/>
        </w:trPr>
        <w:tc>
          <w:tcPr>
            <w:tcW w:w="92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000EE"/>
              </w:rPr>
              <w:t>SIGNATURES</w:t>
            </w:r>
          </w:p>
        </w:tc>
        <w:tc>
          <w:tcPr>
            <w:tcW w:w="12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493"/>
        </w:trPr>
        <w:tc>
          <w:tcPr>
            <w:tcW w:w="7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13"/>
          </w:tcPr>
          <w:p>
            <w:pPr>
              <w:ind w:left="2720"/>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2" w:right="1440"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4940" w:type="dxa"/>
            <w:vAlign w:val="bottom"/>
          </w:tcPr>
          <w:p>
            <w:pPr>
              <w:jc w:val="center"/>
              <w:ind w:left="1660"/>
              <w:spacing w:after="0"/>
              <w:rPr>
                <w:sz w:val="20"/>
                <w:szCs w:val="20"/>
                <w:color w:val="auto"/>
              </w:rPr>
            </w:pPr>
            <w:r>
              <w:rPr>
                <w:rFonts w:ascii="Times New Roman" w:cs="Times New Roman" w:eastAsia="Times New Roman" w:hAnsi="Times New Roman"/>
                <w:sz w:val="12"/>
                <w:szCs w:val="12"/>
                <w:b w:val="1"/>
                <w:bCs w:val="1"/>
                <w:color w:val="auto"/>
                <w:w w:val="98"/>
              </w:rPr>
              <w:t>PART I—FINANCIAL INFORMATION</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0"/>
              </w:rPr>
              <w:t>Item 1.</w:t>
            </w:r>
          </w:p>
        </w:tc>
        <w:tc>
          <w:tcPr>
            <w:tcW w:w="494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Interim Consolidated Financial Statements (Unaudited)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3"/>
        </w:trPr>
        <w:tc>
          <w:tcPr>
            <w:tcW w:w="340" w:type="dxa"/>
            <w:vAlign w:val="bottom"/>
          </w:tcPr>
          <w:p>
            <w:pPr>
              <w:spacing w:after="0"/>
              <w:rPr>
                <w:sz w:val="23"/>
                <w:szCs w:val="23"/>
                <w:color w:val="auto"/>
              </w:rPr>
            </w:pPr>
          </w:p>
        </w:tc>
        <w:tc>
          <w:tcPr>
            <w:tcW w:w="5960" w:type="dxa"/>
            <w:vAlign w:val="bottom"/>
            <w:gridSpan w:val="5"/>
          </w:tcPr>
          <w:p>
            <w:pPr>
              <w:jc w:val="center"/>
              <w:ind w:left="640"/>
              <w:spacing w:after="0"/>
              <w:rPr>
                <w:sz w:val="20"/>
                <w:szCs w:val="20"/>
                <w:color w:val="auto"/>
              </w:rPr>
            </w:pPr>
            <w:r>
              <w:rPr>
                <w:rFonts w:ascii="Times New Roman" w:cs="Times New Roman" w:eastAsia="Times New Roman" w:hAnsi="Times New Roman"/>
                <w:sz w:val="12"/>
                <w:szCs w:val="12"/>
                <w:b w:val="1"/>
                <w:bCs w:val="1"/>
                <w:color w:val="auto"/>
                <w:w w:val="99"/>
              </w:rPr>
              <w:t>MAGNACHIP SEMICONDUCTOR CORPORATION AND SUBSIDIARIES</w:t>
            </w: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59"/>
        </w:trPr>
        <w:tc>
          <w:tcPr>
            <w:tcW w:w="340" w:type="dxa"/>
            <w:vAlign w:val="bottom"/>
          </w:tcPr>
          <w:p>
            <w:pPr>
              <w:spacing w:after="0"/>
              <w:rPr>
                <w:sz w:val="13"/>
                <w:szCs w:val="13"/>
                <w:color w:val="auto"/>
              </w:rPr>
            </w:pPr>
          </w:p>
        </w:tc>
        <w:tc>
          <w:tcPr>
            <w:tcW w:w="4940" w:type="dxa"/>
            <w:vAlign w:val="bottom"/>
          </w:tcPr>
          <w:p>
            <w:pPr>
              <w:jc w:val="center"/>
              <w:ind w:left="1640"/>
              <w:spacing w:after="0"/>
              <w:rPr>
                <w:sz w:val="20"/>
                <w:szCs w:val="20"/>
                <w:color w:val="auto"/>
              </w:rPr>
            </w:pPr>
            <w:r>
              <w:rPr>
                <w:rFonts w:ascii="Times New Roman" w:cs="Times New Roman" w:eastAsia="Times New Roman" w:hAnsi="Times New Roman"/>
                <w:sz w:val="12"/>
                <w:szCs w:val="12"/>
                <w:b w:val="1"/>
                <w:bCs w:val="1"/>
                <w:color w:val="auto"/>
                <w:w w:val="99"/>
              </w:rPr>
              <w:t>CONSOLIDATED BALANCE SHEETS (Unaudited)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45"/>
        </w:trPr>
        <w:tc>
          <w:tcPr>
            <w:tcW w:w="34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40" w:type="dxa"/>
            <w:vAlign w:val="bottom"/>
          </w:tcPr>
          <w:p>
            <w:pPr>
              <w:spacing w:after="0"/>
              <w:rPr>
                <w:sz w:val="21"/>
                <w:szCs w:val="21"/>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34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0"/>
                <w:szCs w:val="10"/>
                <w:color w:val="auto"/>
              </w:rPr>
            </w:pPr>
          </w:p>
        </w:tc>
      </w:tr>
      <w:tr>
        <w:trPr>
          <w:trHeight w:val="88"/>
        </w:trPr>
        <w:tc>
          <w:tcPr>
            <w:tcW w:w="340" w:type="dxa"/>
            <w:vAlign w:val="bottom"/>
          </w:tcPr>
          <w:p>
            <w:pPr>
              <w:spacing w:after="0"/>
              <w:rPr>
                <w:sz w:val="7"/>
                <w:szCs w:val="7"/>
                <w:color w:val="auto"/>
              </w:rPr>
            </w:pPr>
          </w:p>
        </w:tc>
        <w:tc>
          <w:tcPr>
            <w:tcW w:w="4940" w:type="dxa"/>
            <w:vAlign w:val="bottom"/>
          </w:tcPr>
          <w:p>
            <w:pPr>
              <w:spacing w:after="0"/>
              <w:rPr>
                <w:sz w:val="7"/>
                <w:szCs w:val="7"/>
                <w:color w:val="auto"/>
              </w:rPr>
            </w:pPr>
          </w:p>
        </w:tc>
        <w:tc>
          <w:tcPr>
            <w:tcW w:w="1980" w:type="dxa"/>
            <w:vAlign w:val="bottom"/>
            <w:gridSpan w:val="6"/>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w w:val="94"/>
              </w:rPr>
              <w:t>(In thousands of U.S. dollars, except share data)</w:t>
            </w:r>
          </w:p>
        </w:tc>
        <w:tc>
          <w:tcPr>
            <w:tcW w:w="80" w:type="dxa"/>
            <w:vAlign w:val="bottom"/>
          </w:tcPr>
          <w:p>
            <w:pPr>
              <w:spacing w:after="0"/>
              <w:rPr>
                <w:sz w:val="7"/>
                <w:szCs w:val="7"/>
                <w:color w:val="auto"/>
              </w:rPr>
            </w:pPr>
          </w:p>
        </w:tc>
      </w:tr>
      <w:tr>
        <w:trPr>
          <w:trHeight w:val="144"/>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4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171,602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158,092</w:t>
            </w:r>
          </w:p>
        </w:tc>
      </w:tr>
      <w:tr>
        <w:trPr>
          <w:trHeight w:val="144"/>
        </w:trPr>
        <w:tc>
          <w:tcPr>
            <w:tcW w:w="52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Accounts receivable, net</w:t>
            </w:r>
          </w:p>
        </w:tc>
        <w:tc>
          <w:tcPr>
            <w:tcW w:w="140" w:type="dxa"/>
            <w:vAlign w:val="bottom"/>
          </w:tcPr>
          <w:p>
            <w:pPr>
              <w:spacing w:after="0"/>
              <w:rPr>
                <w:sz w:val="12"/>
                <w:szCs w:val="12"/>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30,288</w:t>
            </w:r>
          </w:p>
        </w:tc>
        <w:tc>
          <w:tcPr>
            <w:tcW w:w="1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32,641</w:t>
            </w:r>
          </w:p>
        </w:tc>
      </w:tr>
      <w:tr>
        <w:trPr>
          <w:trHeight w:val="144"/>
        </w:trPr>
        <w:tc>
          <w:tcPr>
            <w:tcW w:w="5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Inventories, net</w:t>
            </w: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31,479</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32,733</w:t>
            </w:r>
          </w:p>
        </w:tc>
      </w:tr>
      <w:tr>
        <w:trPr>
          <w:trHeight w:val="144"/>
        </w:trPr>
        <w:tc>
          <w:tcPr>
            <w:tcW w:w="52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Other receivables</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5,041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4,295</w:t>
            </w:r>
          </w:p>
        </w:tc>
      </w:tr>
      <w:tr>
        <w:trPr>
          <w:trHeight w:val="144"/>
        </w:trPr>
        <w:tc>
          <w:tcPr>
            <w:tcW w:w="5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Prepaid expenses</w:t>
            </w: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10,255</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7,390</w:t>
            </w:r>
          </w:p>
        </w:tc>
      </w:tr>
      <w:tr>
        <w:trPr>
          <w:trHeight w:val="144"/>
        </w:trPr>
        <w:tc>
          <w:tcPr>
            <w:tcW w:w="52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Hedge collateral (Note 6)</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1,000</w:t>
            </w:r>
          </w:p>
        </w:tc>
      </w:tr>
      <w:tr>
        <w:trPr>
          <w:trHeight w:val="144"/>
        </w:trPr>
        <w:tc>
          <w:tcPr>
            <w:tcW w:w="5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current assets (Note 16)</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8,550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9,283</w:t>
            </w:r>
          </w:p>
        </w:tc>
      </w:tr>
      <w:tr>
        <w:trPr>
          <w:trHeight w:val="142"/>
        </w:trPr>
        <w:tc>
          <w:tcPr>
            <w:tcW w:w="340" w:type="dxa"/>
            <w:vAlign w:val="bottom"/>
          </w:tcPr>
          <w:p>
            <w:pPr>
              <w:spacing w:after="0"/>
              <w:rPr>
                <w:sz w:val="12"/>
                <w:szCs w:val="12"/>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current assets</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258,215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245,434</w:t>
            </w:r>
          </w:p>
        </w:tc>
        <w:tc>
          <w:tcPr>
            <w:tcW w:w="80" w:type="dxa"/>
            <w:vAlign w:val="bottom"/>
          </w:tcPr>
          <w:p>
            <w:pPr>
              <w:spacing w:after="0"/>
              <w:rPr>
                <w:sz w:val="12"/>
                <w:szCs w:val="12"/>
                <w:color w:val="auto"/>
              </w:rPr>
            </w:pPr>
          </w:p>
        </w:tc>
      </w:tr>
      <w:tr>
        <w:trPr>
          <w:trHeight w:val="144"/>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92,868</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100,122</w:t>
            </w:r>
          </w:p>
        </w:tc>
      </w:tr>
      <w:tr>
        <w:trPr>
          <w:trHeight w:val="144"/>
        </w:trPr>
        <w:tc>
          <w:tcPr>
            <w:tcW w:w="5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4,538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4,639</w:t>
            </w:r>
          </w:p>
        </w:tc>
      </w:tr>
      <w:tr>
        <w:trPr>
          <w:trHeight w:val="144"/>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1,391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1,537</w:t>
            </w:r>
          </w:p>
        </w:tc>
      </w:tr>
      <w:tr>
        <w:trPr>
          <w:trHeight w:val="144"/>
        </w:trPr>
        <w:tc>
          <w:tcPr>
            <w:tcW w:w="5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Long-term prepaid expenses</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9,297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5,736</w:t>
            </w:r>
          </w:p>
        </w:tc>
      </w:tr>
      <w:tr>
        <w:trPr>
          <w:trHeight w:val="144"/>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47,669</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50,836</w:t>
            </w:r>
          </w:p>
        </w:tc>
      </w:tr>
      <w:tr>
        <w:trPr>
          <w:trHeight w:val="144"/>
        </w:trPr>
        <w:tc>
          <w:tcPr>
            <w:tcW w:w="5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12,186</w:t>
            </w:r>
          </w:p>
        </w:tc>
        <w:tc>
          <w:tcPr>
            <w:tcW w:w="1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12,187</w:t>
            </w:r>
          </w:p>
        </w:tc>
      </w:tr>
      <w:tr>
        <w:trPr>
          <w:trHeight w:val="20"/>
        </w:trPr>
        <w:tc>
          <w:tcPr>
            <w:tcW w:w="3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assets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426,164</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420,491</w:t>
            </w:r>
          </w:p>
        </w:tc>
      </w:tr>
      <w:tr>
        <w:trPr>
          <w:trHeight w:val="153"/>
        </w:trPr>
        <w:tc>
          <w:tcPr>
            <w:tcW w:w="5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2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Accounts payable</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24,619</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24,443</w:t>
            </w:r>
          </w:p>
        </w:tc>
      </w:tr>
      <w:tr>
        <w:trPr>
          <w:trHeight w:val="144"/>
        </w:trPr>
        <w:tc>
          <w:tcPr>
            <w:tcW w:w="5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accounts payable</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5,650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5,292</w:t>
            </w:r>
          </w:p>
        </w:tc>
      </w:tr>
      <w:tr>
        <w:trPr>
          <w:trHeight w:val="144"/>
        </w:trPr>
        <w:tc>
          <w:tcPr>
            <w:tcW w:w="52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Accrued expenses (Note 5)</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7,951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10,457</w:t>
            </w:r>
          </w:p>
        </w:tc>
      </w:tr>
      <w:tr>
        <w:trPr>
          <w:trHeight w:val="144"/>
        </w:trPr>
        <w:tc>
          <w:tcPr>
            <w:tcW w:w="5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Accrued income taxes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1,496</w:t>
            </w:r>
          </w:p>
        </w:tc>
      </w:tr>
      <w:tr>
        <w:trPr>
          <w:trHeight w:val="144"/>
        </w:trPr>
        <w:tc>
          <w:tcPr>
            <w:tcW w:w="52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1,884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1,914</w:t>
            </w:r>
          </w:p>
        </w:tc>
      </w:tr>
      <w:tr>
        <w:trPr>
          <w:trHeight w:val="144"/>
        </w:trPr>
        <w:tc>
          <w:tcPr>
            <w:tcW w:w="5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3,158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3,286</w:t>
            </w:r>
          </w:p>
        </w:tc>
      </w:tr>
      <w:tr>
        <w:trPr>
          <w:trHeight w:val="142"/>
        </w:trPr>
        <w:tc>
          <w:tcPr>
            <w:tcW w:w="340" w:type="dxa"/>
            <w:vAlign w:val="bottom"/>
          </w:tcPr>
          <w:p>
            <w:pPr>
              <w:spacing w:after="0"/>
              <w:rPr>
                <w:sz w:val="12"/>
                <w:szCs w:val="12"/>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44,884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46,888</w:t>
            </w:r>
          </w:p>
        </w:tc>
        <w:tc>
          <w:tcPr>
            <w:tcW w:w="80" w:type="dxa"/>
            <w:vAlign w:val="bottom"/>
          </w:tcPr>
          <w:p>
            <w:pPr>
              <w:spacing w:after="0"/>
              <w:rPr>
                <w:sz w:val="12"/>
                <w:szCs w:val="12"/>
                <w:color w:val="auto"/>
              </w:rPr>
            </w:pPr>
          </w:p>
        </w:tc>
      </w:tr>
      <w:tr>
        <w:trPr>
          <w:trHeight w:val="144"/>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borrowing</w:t>
            </w: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29,700</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5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Accrued severance benefits, net</w:t>
            </w:r>
          </w:p>
        </w:tc>
        <w:tc>
          <w:tcPr>
            <w:tcW w:w="140" w:type="dxa"/>
            <w:vAlign w:val="bottom"/>
          </w:tcPr>
          <w:p>
            <w:pPr>
              <w:spacing w:after="0"/>
              <w:rPr>
                <w:sz w:val="12"/>
                <w:szCs w:val="12"/>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15,503</w:t>
            </w:r>
          </w:p>
        </w:tc>
        <w:tc>
          <w:tcPr>
            <w:tcW w:w="1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16,020</w:t>
            </w:r>
          </w:p>
        </w:tc>
      </w:tr>
      <w:tr>
        <w:trPr>
          <w:trHeight w:val="144"/>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Non-current operating lease liabilities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2,808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2,897</w:t>
            </w:r>
          </w:p>
        </w:tc>
      </w:tr>
      <w:tr>
        <w:trPr>
          <w:trHeight w:val="144"/>
        </w:trPr>
        <w:tc>
          <w:tcPr>
            <w:tcW w:w="5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11,384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10,088</w:t>
            </w:r>
          </w:p>
        </w:tc>
      </w:tr>
      <w:tr>
        <w:trPr>
          <w:trHeight w:val="20"/>
        </w:trPr>
        <w:tc>
          <w:tcPr>
            <w:tcW w:w="3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40" w:type="dxa"/>
            <w:vAlign w:val="bottom"/>
            <w:shd w:val="clear" w:color="auto" w:fill="CCEEFF"/>
          </w:tcPr>
          <w:p>
            <w:pPr>
              <w:spacing w:after="0"/>
              <w:rPr>
                <w:sz w:val="12"/>
                <w:szCs w:val="12"/>
                <w:color w:val="auto"/>
              </w:rPr>
            </w:pPr>
          </w:p>
        </w:tc>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liabilities</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104,279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75,893</w:t>
            </w:r>
          </w:p>
        </w:tc>
      </w:tr>
      <w:tr>
        <w:trPr>
          <w:trHeight w:val="142"/>
        </w:trPr>
        <w:tc>
          <w:tcPr>
            <w:tcW w:w="5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Commitments and contingencies (Note 16)</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3"/>
        </w:trPr>
        <w:tc>
          <w:tcPr>
            <w:tcW w:w="5280" w:type="dxa"/>
            <w:vAlign w:val="bottom"/>
            <w:gridSpan w:val="2"/>
          </w:tcPr>
          <w:p>
            <w:pPr>
              <w:ind w:left="240"/>
              <w:spacing w:after="0" w:line="133" w:lineRule="exact"/>
              <w:rPr>
                <w:sz w:val="20"/>
                <w:szCs w:val="20"/>
                <w:color w:val="auto"/>
              </w:rPr>
            </w:pPr>
            <w:r>
              <w:rPr>
                <w:rFonts w:ascii="Times New Roman" w:cs="Times New Roman" w:eastAsia="Times New Roman" w:hAnsi="Times New Roman"/>
                <w:sz w:val="12"/>
                <w:szCs w:val="12"/>
                <w:color w:val="auto"/>
              </w:rPr>
              <w:t>Common stock, $0.01 par value, 150,000,000 shares authorized, 57,008,573 shares issued and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340" w:type="dxa"/>
            <w:vAlign w:val="bottom"/>
          </w:tcPr>
          <w:p>
            <w:pPr>
              <w:spacing w:after="0"/>
              <w:rPr>
                <w:sz w:val="12"/>
                <w:szCs w:val="12"/>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38,263,642 outstanding at March 31, 2024 and 56,971,394 shares issued and 38,852,742 outstanding</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5"/>
        </w:trPr>
        <w:tc>
          <w:tcPr>
            <w:tcW w:w="340" w:type="dxa"/>
            <w:vAlign w:val="bottom"/>
          </w:tcPr>
          <w:p>
            <w:pPr>
              <w:spacing w:after="0"/>
              <w:rPr>
                <w:sz w:val="13"/>
                <w:szCs w:val="13"/>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at December 31, 2023</w:t>
            </w: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569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569</w:t>
            </w:r>
          </w:p>
        </w:tc>
      </w:tr>
      <w:tr>
        <w:trPr>
          <w:trHeight w:val="144"/>
        </w:trPr>
        <w:tc>
          <w:tcPr>
            <w:tcW w:w="5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274,156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273,256</w:t>
            </w:r>
          </w:p>
        </w:tc>
      </w:tr>
      <w:tr>
        <w:trPr>
          <w:trHeight w:val="144"/>
        </w:trPr>
        <w:tc>
          <w:tcPr>
            <w:tcW w:w="52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Retained earnings</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283,467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298,884</w:t>
            </w:r>
          </w:p>
        </w:tc>
      </w:tr>
      <w:tr>
        <w:trPr>
          <w:trHeight w:val="133"/>
        </w:trPr>
        <w:tc>
          <w:tcPr>
            <w:tcW w:w="5280" w:type="dxa"/>
            <w:vAlign w:val="bottom"/>
            <w:gridSpan w:val="2"/>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Treasury stock, 18,744,931 shares at March 31, 2024 and 18,118,652 shares at December 31, 2023,</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5"/>
        </w:trPr>
        <w:tc>
          <w:tcPr>
            <w:tcW w:w="340" w:type="dxa"/>
            <w:vAlign w:val="bottom"/>
            <w:shd w:val="clear" w:color="auto" w:fill="CCEEFF"/>
          </w:tcPr>
          <w:p>
            <w:pPr>
              <w:spacing w:after="0"/>
              <w:rPr>
                <w:sz w:val="13"/>
                <w:szCs w:val="13"/>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respectively</w:t>
            </w:r>
          </w:p>
        </w:tc>
        <w:tc>
          <w:tcPr>
            <w:tcW w:w="14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(217,607)</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(213,454)</w:t>
            </w:r>
          </w:p>
        </w:tc>
      </w:tr>
      <w:tr>
        <w:trPr>
          <w:trHeight w:val="144"/>
        </w:trPr>
        <w:tc>
          <w:tcPr>
            <w:tcW w:w="52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40" w:type="dxa"/>
            <w:vAlign w:val="bottom"/>
          </w:tcPr>
          <w:p>
            <w:pPr>
              <w:spacing w:after="0"/>
              <w:rPr>
                <w:sz w:val="12"/>
                <w:szCs w:val="12"/>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(18,700)</w:t>
            </w:r>
          </w:p>
        </w:tc>
        <w:tc>
          <w:tcPr>
            <w:tcW w:w="140" w:type="dxa"/>
            <w:vAlign w:val="bottom"/>
          </w:tcPr>
          <w:p>
            <w:pPr>
              <w:spacing w:after="0"/>
              <w:rPr>
                <w:sz w:val="12"/>
                <w:szCs w:val="12"/>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(14,657)</w:t>
            </w:r>
          </w:p>
        </w:tc>
      </w:tr>
      <w:tr>
        <w:trPr>
          <w:trHeight w:val="20"/>
        </w:trPr>
        <w:tc>
          <w:tcPr>
            <w:tcW w:w="3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40" w:type="dxa"/>
            <w:vAlign w:val="bottom"/>
            <w:shd w:val="clear" w:color="auto" w:fill="CCEEFF"/>
          </w:tcPr>
          <w:p>
            <w:pPr>
              <w:spacing w:after="0"/>
              <w:rPr>
                <w:sz w:val="12"/>
                <w:szCs w:val="12"/>
                <w:color w:val="auto"/>
              </w:rPr>
            </w:pPr>
          </w:p>
        </w:tc>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321,885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344,598</w:t>
            </w:r>
          </w:p>
        </w:tc>
      </w:tr>
      <w:tr>
        <w:trPr>
          <w:trHeight w:val="149"/>
        </w:trPr>
        <w:tc>
          <w:tcPr>
            <w:tcW w:w="340" w:type="dxa"/>
            <w:vAlign w:val="bottom"/>
          </w:tcPr>
          <w:p>
            <w:pPr>
              <w:spacing w:after="0"/>
              <w:rPr>
                <w:sz w:val="12"/>
                <w:szCs w:val="12"/>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426,164</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420,491</w:t>
            </w:r>
          </w:p>
        </w:tc>
        <w:tc>
          <w:tcPr>
            <w:tcW w:w="80" w:type="dxa"/>
            <w:vAlign w:val="bottom"/>
          </w:tcPr>
          <w:p>
            <w:pPr>
              <w:spacing w:after="0"/>
              <w:rPr>
                <w:sz w:val="12"/>
                <w:szCs w:val="12"/>
                <w:color w:val="auto"/>
              </w:rPr>
            </w:pPr>
          </w:p>
        </w:tc>
      </w:tr>
    </w:tbl>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019"/>
          </w:cols>
          <w:pgMar w:left="1440" w:top="242"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MAGNACHIP SEMICONDUCTOR CORPORATION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 (Unaudited)</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gridSpan w:val="5"/>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72"/>
        </w:trPr>
        <w:tc>
          <w:tcPr>
            <w:tcW w:w="52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20" w:type="dxa"/>
            <w:vAlign w:val="bottom"/>
            <w:tcBorders>
              <w:top w:val="single" w:sz="8" w:color="auto"/>
            </w:tcBorders>
            <w:gridSpan w:val="2"/>
          </w:tcPr>
          <w:p>
            <w:pPr>
              <w:jc w:val="right"/>
              <w:ind w:right="420"/>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14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jc w:val="right"/>
              <w:ind w:right="181"/>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80" w:type="dxa"/>
            <w:vAlign w:val="bottom"/>
          </w:tcPr>
          <w:p>
            <w:pPr>
              <w:spacing w:after="0"/>
              <w:rPr>
                <w:sz w:val="6"/>
                <w:szCs w:val="6"/>
                <w:color w:val="auto"/>
              </w:rPr>
            </w:pPr>
          </w:p>
        </w:tc>
      </w:tr>
      <w:tr>
        <w:trPr>
          <w:trHeight w:val="115"/>
        </w:trPr>
        <w:tc>
          <w:tcPr>
            <w:tcW w:w="5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0"/>
                <w:szCs w:val="10"/>
                <w:color w:val="auto"/>
              </w:rPr>
            </w:pPr>
          </w:p>
        </w:tc>
      </w:tr>
      <w:tr>
        <w:trPr>
          <w:trHeight w:val="88"/>
        </w:trPr>
        <w:tc>
          <w:tcPr>
            <w:tcW w:w="5280" w:type="dxa"/>
            <w:vAlign w:val="bottom"/>
          </w:tcPr>
          <w:p>
            <w:pPr>
              <w:spacing w:after="0"/>
              <w:rPr>
                <w:sz w:val="7"/>
                <w:szCs w:val="7"/>
                <w:color w:val="auto"/>
              </w:rPr>
            </w:pPr>
          </w:p>
        </w:tc>
        <w:tc>
          <w:tcPr>
            <w:tcW w:w="1980" w:type="dxa"/>
            <w:vAlign w:val="bottom"/>
            <w:gridSpan w:val="5"/>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w w:val="94"/>
              </w:rPr>
              <w:t>(In thousands of U.S. dollars, except share data)</w:t>
            </w:r>
          </w:p>
        </w:tc>
        <w:tc>
          <w:tcPr>
            <w:tcW w:w="80" w:type="dxa"/>
            <w:vAlign w:val="bottom"/>
          </w:tcPr>
          <w:p>
            <w:pPr>
              <w:spacing w:after="0"/>
              <w:rPr>
                <w:sz w:val="7"/>
                <w:szCs w:val="7"/>
                <w:color w:val="auto"/>
              </w:rPr>
            </w:pPr>
          </w:p>
        </w:tc>
      </w:tr>
      <w:tr>
        <w:trPr>
          <w:trHeight w:val="144"/>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2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sales – standard products business</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45,541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51,514</w:t>
            </w:r>
          </w:p>
        </w:tc>
      </w:tr>
      <w:tr>
        <w:trPr>
          <w:trHeight w:val="144"/>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sales – transitional Fab 3 foundry services</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3,526</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5,491</w:t>
            </w:r>
          </w:p>
        </w:tc>
      </w:tr>
      <w:tr>
        <w:trPr>
          <w:trHeight w:val="142"/>
        </w:trPr>
        <w:tc>
          <w:tcPr>
            <w:tcW w:w="528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Total revenues</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49,067</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57,005</w:t>
            </w:r>
          </w:p>
        </w:tc>
        <w:tc>
          <w:tcPr>
            <w:tcW w:w="80" w:type="dxa"/>
            <w:vAlign w:val="bottom"/>
          </w:tcPr>
          <w:p>
            <w:pPr>
              <w:spacing w:after="0"/>
              <w:rPr>
                <w:sz w:val="12"/>
                <w:szCs w:val="12"/>
                <w:color w:val="auto"/>
              </w:rPr>
            </w:pPr>
          </w:p>
        </w:tc>
      </w:tr>
      <w:tr>
        <w:trPr>
          <w:trHeight w:val="144"/>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sales: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2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Cost of sales – standard products business</w:t>
            </w:r>
          </w:p>
        </w:tc>
        <w:tc>
          <w:tcPr>
            <w:tcW w:w="16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35,888</w:t>
            </w:r>
          </w:p>
        </w:tc>
        <w:tc>
          <w:tcPr>
            <w:tcW w:w="14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37,312</w:t>
            </w:r>
          </w:p>
        </w:tc>
      </w:tr>
      <w:tr>
        <w:trPr>
          <w:trHeight w:val="144"/>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Cost of sales – transitional Fab 3 foundry services</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4,211</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7,599</w:t>
            </w:r>
          </w:p>
        </w:tc>
      </w:tr>
      <w:tr>
        <w:trPr>
          <w:trHeight w:val="142"/>
        </w:trPr>
        <w:tc>
          <w:tcPr>
            <w:tcW w:w="528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Total cost of sales</w:t>
            </w: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40,099</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44,911</w:t>
            </w:r>
          </w:p>
        </w:tc>
        <w:tc>
          <w:tcPr>
            <w:tcW w:w="80" w:type="dxa"/>
            <w:vAlign w:val="bottom"/>
          </w:tcPr>
          <w:p>
            <w:pPr>
              <w:spacing w:after="0"/>
              <w:rPr>
                <w:sz w:val="12"/>
                <w:szCs w:val="12"/>
                <w:color w:val="auto"/>
              </w:rPr>
            </w:pPr>
          </w:p>
        </w:tc>
      </w:tr>
      <w:tr>
        <w:trPr>
          <w:trHeight w:val="14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8,968</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12,094</w:t>
            </w:r>
          </w:p>
        </w:tc>
      </w:tr>
      <w:tr>
        <w:trPr>
          <w:trHeight w:val="144"/>
        </w:trPr>
        <w:tc>
          <w:tcPr>
            <w:tcW w:w="528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11,264</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12,165</w:t>
            </w:r>
          </w:p>
        </w:tc>
      </w:tr>
      <w:tr>
        <w:trPr>
          <w:trHeight w:val="144"/>
        </w:trPr>
        <w:tc>
          <w:tcPr>
            <w:tcW w:w="52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16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11,163</w:t>
            </w:r>
          </w:p>
        </w:tc>
        <w:tc>
          <w:tcPr>
            <w:tcW w:w="14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13,298</w:t>
            </w:r>
          </w:p>
        </w:tc>
      </w:tr>
      <w:tr>
        <w:trPr>
          <w:trHeight w:val="144"/>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Early termination charges</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8,449</w:t>
            </w:r>
          </w:p>
        </w:tc>
      </w:tr>
      <w:tr>
        <w:trPr>
          <w:trHeight w:val="142"/>
        </w:trPr>
        <w:tc>
          <w:tcPr>
            <w:tcW w:w="528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Total operating expenses</w:t>
            </w: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22,427</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33,912</w:t>
            </w:r>
          </w:p>
        </w:tc>
        <w:tc>
          <w:tcPr>
            <w:tcW w:w="80" w:type="dxa"/>
            <w:vAlign w:val="bottom"/>
          </w:tcPr>
          <w:p>
            <w:pPr>
              <w:spacing w:after="0"/>
              <w:rPr>
                <w:sz w:val="12"/>
                <w:szCs w:val="12"/>
                <w:color w:val="auto"/>
              </w:rPr>
            </w:pPr>
          </w:p>
        </w:tc>
      </w:tr>
      <w:tr>
        <w:trPr>
          <w:trHeight w:val="14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(13,459)</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(21,818)</w:t>
            </w:r>
          </w:p>
        </w:tc>
      </w:tr>
      <w:tr>
        <w:trPr>
          <w:trHeight w:val="144"/>
        </w:trPr>
        <w:tc>
          <w:tcPr>
            <w:tcW w:w="52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Interest income</w:t>
            </w:r>
          </w:p>
        </w:tc>
        <w:tc>
          <w:tcPr>
            <w:tcW w:w="16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2,213</w:t>
            </w:r>
          </w:p>
        </w:tc>
        <w:tc>
          <w:tcPr>
            <w:tcW w:w="14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2,842</w:t>
            </w:r>
          </w:p>
        </w:tc>
      </w:tr>
      <w:tr>
        <w:trPr>
          <w:trHeight w:val="144"/>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Interest expense</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(238)</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(256)</w:t>
            </w:r>
          </w:p>
        </w:tc>
      </w:tr>
      <w:tr>
        <w:trPr>
          <w:trHeight w:val="144"/>
        </w:trPr>
        <w:tc>
          <w:tcPr>
            <w:tcW w:w="52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Foreign currency loss, net</w:t>
            </w:r>
          </w:p>
        </w:tc>
        <w:tc>
          <w:tcPr>
            <w:tcW w:w="1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(5,001)</w:t>
            </w:r>
          </w:p>
        </w:tc>
        <w:tc>
          <w:tcPr>
            <w:tcW w:w="14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(3,430)</w:t>
            </w:r>
          </w:p>
        </w:tc>
      </w:tr>
      <w:tr>
        <w:trPr>
          <w:trHeight w:val="144"/>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income (expense), net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44</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w:t>
            </w:r>
          </w:p>
        </w:tc>
      </w:tr>
      <w:tr>
        <w:trPr>
          <w:trHeight w:val="142"/>
        </w:trPr>
        <w:tc>
          <w:tcPr>
            <w:tcW w:w="5280" w:type="dxa"/>
            <w:vAlign w:val="bottom"/>
          </w:tcPr>
          <w:p>
            <w:pPr>
              <w:spacing w:after="0"/>
              <w:rPr>
                <w:sz w:val="20"/>
                <w:szCs w:val="20"/>
                <w:color w:val="auto"/>
              </w:rPr>
            </w:pPr>
            <w:r>
              <w:rPr>
                <w:rFonts w:ascii="Times New Roman" w:cs="Times New Roman" w:eastAsia="Times New Roman" w:hAnsi="Times New Roman"/>
                <w:sz w:val="12"/>
                <w:szCs w:val="12"/>
                <w:color w:val="auto"/>
              </w:rPr>
              <w:t>Loss before income tax expense</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(16,441)</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(22,697)</w:t>
            </w:r>
          </w:p>
        </w:tc>
        <w:tc>
          <w:tcPr>
            <w:tcW w:w="80" w:type="dxa"/>
            <w:vAlign w:val="bottom"/>
          </w:tcPr>
          <w:p>
            <w:pPr>
              <w:spacing w:after="0"/>
              <w:rPr>
                <w:sz w:val="12"/>
                <w:szCs w:val="12"/>
                <w:color w:val="auto"/>
              </w:rPr>
            </w:pPr>
          </w:p>
        </w:tc>
      </w:tr>
      <w:tr>
        <w:trPr>
          <w:trHeight w:val="144"/>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(1,024)</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(1,227)</w:t>
            </w:r>
          </w:p>
        </w:tc>
      </w:tr>
      <w:tr>
        <w:trPr>
          <w:trHeight w:val="153"/>
        </w:trPr>
        <w:tc>
          <w:tcPr>
            <w:tcW w:w="528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(15,417)</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(21,470)</w:t>
            </w:r>
          </w:p>
        </w:tc>
        <w:tc>
          <w:tcPr>
            <w:tcW w:w="80" w:type="dxa"/>
            <w:vAlign w:val="bottom"/>
          </w:tcPr>
          <w:p>
            <w:pPr>
              <w:spacing w:after="0"/>
              <w:rPr>
                <w:sz w:val="13"/>
                <w:szCs w:val="13"/>
                <w:color w:val="auto"/>
              </w:rPr>
            </w:pPr>
          </w:p>
        </w:tc>
      </w:tr>
      <w:tr>
        <w:trPr>
          <w:trHeight w:val="14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loss per common share—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(0.40)</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(0.49)</w:t>
            </w:r>
          </w:p>
        </w:tc>
      </w:tr>
      <w:tr>
        <w:trPr>
          <w:trHeight w:val="144"/>
        </w:trPr>
        <w:tc>
          <w:tcPr>
            <w:tcW w:w="5280" w:type="dxa"/>
            <w:vAlign w:val="bottom"/>
          </w:tcPr>
          <w:p>
            <w:pPr>
              <w:spacing w:after="0"/>
              <w:rPr>
                <w:sz w:val="20"/>
                <w:szCs w:val="20"/>
                <w:color w:val="auto"/>
              </w:rPr>
            </w:pPr>
            <w:r>
              <w:rPr>
                <w:rFonts w:ascii="Times New Roman" w:cs="Times New Roman" w:eastAsia="Times New Roman" w:hAnsi="Times New Roman"/>
                <w:sz w:val="12"/>
                <w:szCs w:val="12"/>
                <w:color w:val="auto"/>
              </w:rPr>
              <w:t>Diluted loss per common share—</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(0.40)</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(0.49)</w:t>
            </w:r>
          </w:p>
        </w:tc>
      </w:tr>
      <w:tr>
        <w:trPr>
          <w:trHeight w:val="144"/>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shares—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28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Basic</w:t>
            </w:r>
          </w:p>
        </w:tc>
        <w:tc>
          <w:tcPr>
            <w:tcW w:w="16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38,544,781</w:t>
            </w:r>
          </w:p>
        </w:tc>
        <w:tc>
          <w:tcPr>
            <w:tcW w:w="14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43,390,832</w:t>
            </w:r>
          </w:p>
        </w:tc>
      </w:tr>
      <w:tr>
        <w:trPr>
          <w:trHeight w:val="144"/>
        </w:trPr>
        <w:tc>
          <w:tcPr>
            <w:tcW w:w="5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Diluted</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38,544,781</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43,390,832</w:t>
            </w:r>
          </w:p>
        </w:tc>
      </w:tr>
    </w:tbl>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9019"/>
          </w:cols>
          <w:pgMar w:left="1440" w:top="242"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MAGNACHIP SEMICONDUCTOR CORPORATION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LOSS (Unaudited)</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5"/>
          </w:tcPr>
          <w:p>
            <w:pPr>
              <w:jc w:val="right"/>
              <w:ind w:right="278"/>
              <w:spacing w:after="0"/>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72"/>
        </w:trPr>
        <w:tc>
          <w:tcPr>
            <w:tcW w:w="5880" w:type="dxa"/>
            <w:vAlign w:val="bottom"/>
          </w:tcPr>
          <w:p>
            <w:pPr>
              <w:spacing w:after="0"/>
              <w:rPr>
                <w:sz w:val="6"/>
                <w:szCs w:val="6"/>
                <w:color w:val="auto"/>
              </w:rPr>
            </w:pPr>
          </w:p>
        </w:tc>
        <w:tc>
          <w:tcPr>
            <w:tcW w:w="820" w:type="dxa"/>
            <w:vAlign w:val="bottom"/>
            <w:tcBorders>
              <w:top w:val="single" w:sz="8" w:color="auto"/>
            </w:tcBorders>
            <w:gridSpan w:val="3"/>
          </w:tcPr>
          <w:p>
            <w:pPr>
              <w:jc w:val="right"/>
              <w:ind w:right="298"/>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jc w:val="right"/>
              <w:ind w:right="4"/>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80" w:type="dxa"/>
            <w:vAlign w:val="bottom"/>
          </w:tcPr>
          <w:p>
            <w:pPr>
              <w:spacing w:after="0"/>
              <w:rPr>
                <w:sz w:val="6"/>
                <w:szCs w:val="6"/>
                <w:color w:val="auto"/>
              </w:rPr>
            </w:pPr>
          </w:p>
        </w:tc>
      </w:tr>
      <w:tr>
        <w:trPr>
          <w:trHeight w:val="115"/>
        </w:trPr>
        <w:tc>
          <w:tcPr>
            <w:tcW w:w="58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0"/>
                <w:szCs w:val="10"/>
                <w:b w:val="1"/>
                <w:bCs w:val="1"/>
                <w:color w:val="auto"/>
              </w:rPr>
              <w:t>2024</w:t>
            </w: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0"/>
                <w:szCs w:val="10"/>
                <w:color w:val="auto"/>
              </w:rPr>
            </w:pPr>
          </w:p>
        </w:tc>
      </w:tr>
      <w:tr>
        <w:trPr>
          <w:trHeight w:val="88"/>
        </w:trPr>
        <w:tc>
          <w:tcPr>
            <w:tcW w:w="5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4"/>
          </w:tcPr>
          <w:p>
            <w:pPr>
              <w:jc w:val="right"/>
              <w:ind w:right="24"/>
              <w:spacing w:after="0" w:line="88" w:lineRule="exact"/>
              <w:rPr>
                <w:sz w:val="20"/>
                <w:szCs w:val="20"/>
                <w:color w:val="auto"/>
              </w:rPr>
            </w:pPr>
            <w:r>
              <w:rPr>
                <w:rFonts w:ascii="Times New Roman" w:cs="Times New Roman" w:eastAsia="Times New Roman" w:hAnsi="Times New Roman"/>
                <w:sz w:val="10"/>
                <w:szCs w:val="10"/>
                <w:b w:val="1"/>
                <w:bCs w:val="1"/>
                <w:color w:val="auto"/>
                <w:w w:val="95"/>
              </w:rPr>
              <w:t>(In thousands of U.S. dollars)</w:t>
            </w:r>
          </w:p>
        </w:tc>
        <w:tc>
          <w:tcPr>
            <w:tcW w:w="80" w:type="dxa"/>
            <w:vAlign w:val="bottom"/>
          </w:tcPr>
          <w:p>
            <w:pPr>
              <w:spacing w:after="0"/>
              <w:rPr>
                <w:sz w:val="7"/>
                <w:szCs w:val="7"/>
                <w:color w:val="auto"/>
              </w:rPr>
            </w:pPr>
          </w:p>
        </w:tc>
      </w:tr>
      <w:tr>
        <w:trPr>
          <w:trHeight w:val="14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(15,417)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(21,470)</w:t>
            </w:r>
          </w:p>
        </w:tc>
      </w:tr>
      <w:tr>
        <w:trPr>
          <w:trHeight w:val="144"/>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loss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(3,497)</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(1,908)</w:t>
            </w: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Derivative adjustments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Fair valuation of derivatives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(605)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(1,135)</w:t>
            </w:r>
          </w:p>
        </w:tc>
      </w:tr>
      <w:tr>
        <w:trPr>
          <w:trHeight w:val="144"/>
        </w:trPr>
        <w:tc>
          <w:tcPr>
            <w:tcW w:w="588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Reclassification adjustment for loss on derivatives included in net loss</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603</w:t>
            </w:r>
          </w:p>
        </w:tc>
      </w:tr>
      <w:tr>
        <w:trPr>
          <w:trHeight w:val="20"/>
        </w:trPr>
        <w:tc>
          <w:tcPr>
            <w:tcW w:w="5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other comprehensive loss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(4,043)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(2,440)</w:t>
            </w:r>
          </w:p>
        </w:tc>
      </w:tr>
      <w:tr>
        <w:trPr>
          <w:trHeight w:val="142"/>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Total comprehensive loss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(19,460</w:t>
            </w:r>
          </w:p>
        </w:tc>
        <w:tc>
          <w:tcPr>
            <w:tcW w:w="2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(23,910</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9019"/>
          </w:cols>
          <w:pgMar w:left="1440" w:top="242"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MAGNACHIP SEMICONDUCTOR CORPORATION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STATEMENTS OF CHANGES IN STOCKHOLDERS’ EQUITY (Unaudited)</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1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2"/>
              </w:rPr>
              <w:t>Additional</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3"/>
          </w:tcPr>
          <w:p>
            <w:pPr>
              <w:jc w:val="center"/>
              <w:ind w:right="118"/>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w w:val="97"/>
              </w:rPr>
              <w:t>Common Stock</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center"/>
              <w:ind w:right="278"/>
              <w:spacing w:after="0" w:line="99"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900" w:type="dxa"/>
            <w:vAlign w:val="bottom"/>
            <w:tcBorders>
              <w:bottom w:val="single" w:sz="8" w:color="auto"/>
            </w:tcBorders>
            <w:gridSpan w:val="3"/>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gridSpan w:val="2"/>
          </w:tcPr>
          <w:p>
            <w:pPr>
              <w:jc w:val="right"/>
              <w:ind w:right="260"/>
              <w:spacing w:after="0" w:line="71" w:lineRule="exact"/>
              <w:rPr>
                <w:sz w:val="20"/>
                <w:szCs w:val="20"/>
                <w:color w:val="auto"/>
              </w:rPr>
            </w:pPr>
            <w:r>
              <w:rPr>
                <w:rFonts w:ascii="Times New Roman" w:cs="Times New Roman" w:eastAsia="Times New Roman" w:hAnsi="Times New Roman"/>
                <w:sz w:val="8"/>
                <w:szCs w:val="8"/>
                <w:b w:val="1"/>
                <w:bCs w:val="1"/>
                <w:color w:val="auto"/>
              </w:rPr>
              <w:t>Paid-In</w:t>
            </w:r>
          </w:p>
        </w:tc>
        <w:tc>
          <w:tcPr>
            <w:tcW w:w="640" w:type="dxa"/>
            <w:vAlign w:val="bottom"/>
            <w:gridSpan w:val="2"/>
          </w:tcPr>
          <w:p>
            <w:pPr>
              <w:jc w:val="right"/>
              <w:ind w:right="240"/>
              <w:spacing w:after="0" w:line="71" w:lineRule="exact"/>
              <w:rPr>
                <w:sz w:val="20"/>
                <w:szCs w:val="20"/>
                <w:color w:val="auto"/>
              </w:rPr>
            </w:pPr>
            <w:r>
              <w:rPr>
                <w:rFonts w:ascii="Times New Roman" w:cs="Times New Roman" w:eastAsia="Times New Roman" w:hAnsi="Times New Roman"/>
                <w:sz w:val="8"/>
                <w:szCs w:val="8"/>
                <w:b w:val="1"/>
                <w:bCs w:val="1"/>
                <w:color w:val="auto"/>
              </w:rPr>
              <w:t>Retained</w:t>
            </w:r>
          </w:p>
        </w:tc>
        <w:tc>
          <w:tcPr>
            <w:tcW w:w="660" w:type="dxa"/>
            <w:vAlign w:val="bottom"/>
            <w:gridSpan w:val="2"/>
          </w:tcPr>
          <w:p>
            <w:pPr>
              <w:jc w:val="right"/>
              <w:ind w:right="198"/>
              <w:spacing w:after="0" w:line="71" w:lineRule="exact"/>
              <w:rPr>
                <w:sz w:val="20"/>
                <w:szCs w:val="20"/>
                <w:color w:val="auto"/>
              </w:rPr>
            </w:pPr>
            <w:r>
              <w:rPr>
                <w:rFonts w:ascii="Times New Roman" w:cs="Times New Roman" w:eastAsia="Times New Roman" w:hAnsi="Times New Roman"/>
                <w:sz w:val="8"/>
                <w:szCs w:val="8"/>
                <w:b w:val="1"/>
                <w:bCs w:val="1"/>
                <w:color w:val="auto"/>
              </w:rPr>
              <w:t>Treasury</w:t>
            </w:r>
          </w:p>
        </w:tc>
        <w:tc>
          <w:tcPr>
            <w:tcW w:w="820" w:type="dxa"/>
            <w:vAlign w:val="bottom"/>
            <w:gridSpan w:val="3"/>
          </w:tcPr>
          <w:p>
            <w:pPr>
              <w:spacing w:after="0" w:line="71"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4"/>
              </w:rPr>
              <w:t>(In thousands of U.S. dollars, except share data)</w:t>
            </w:r>
          </w:p>
        </w:tc>
        <w:tc>
          <w:tcPr>
            <w:tcW w:w="820" w:type="dxa"/>
            <w:vAlign w:val="bottom"/>
          </w:tcPr>
          <w:p>
            <w:pPr>
              <w:spacing w:after="0"/>
              <w:rPr>
                <w:sz w:val="11"/>
                <w:szCs w:val="11"/>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7"/>
              </w:rPr>
              <w:t>Earnings</w:t>
            </w:r>
          </w:p>
        </w:tc>
        <w:tc>
          <w:tcPr>
            <w:tcW w:w="660" w:type="dxa"/>
            <w:vAlign w:val="bottom"/>
            <w:gridSpan w:val="2"/>
          </w:tcPr>
          <w:p>
            <w:pPr>
              <w:jc w:val="right"/>
              <w:ind w:right="258"/>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11"/>
                <w:szCs w:val="11"/>
                <w:color w:val="auto"/>
              </w:rPr>
            </w:pPr>
          </w:p>
        </w:tc>
        <w:tc>
          <w:tcPr>
            <w:tcW w:w="680" w:type="dxa"/>
            <w:vAlign w:val="bottom"/>
            <w:gridSpan w:val="2"/>
          </w:tcPr>
          <w:p>
            <w:pPr>
              <w:jc w:val="center"/>
              <w:ind w:right="258"/>
              <w:spacing w:after="0"/>
              <w:rPr>
                <w:sz w:val="20"/>
                <w:szCs w:val="20"/>
                <w:color w:val="auto"/>
              </w:rPr>
            </w:pPr>
            <w:r>
              <w:rPr>
                <w:rFonts w:ascii="Times New Roman" w:cs="Times New Roman" w:eastAsia="Times New Roman" w:hAnsi="Times New Roman"/>
                <w:sz w:val="10"/>
                <w:szCs w:val="10"/>
                <w:b w:val="1"/>
                <w:bCs w:val="1"/>
                <w:color w:val="auto"/>
                <w:w w:val="92"/>
              </w:rPr>
              <w:t>Loss</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3"/>
        </w:trPr>
        <w:tc>
          <w:tcPr>
            <w:tcW w:w="196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2"/>
                <w:szCs w:val="12"/>
                <w:b w:val="1"/>
                <w:bCs w:val="1"/>
                <w:color w:val="auto"/>
                <w:w w:val="98"/>
              </w:rPr>
              <w:t>Three Months Ended March 31, 2024:</w:t>
            </w:r>
          </w:p>
        </w:tc>
        <w:tc>
          <w:tcPr>
            <w:tcW w:w="8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38,852,742</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569</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7"/>
              </w:rPr>
              <w:t>$273,256</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7"/>
              </w:rPr>
              <w:t>$298,884</w:t>
            </w:r>
          </w:p>
        </w:tc>
        <w:tc>
          <w:tcPr>
            <w:tcW w:w="66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w w:val="94"/>
              </w:rPr>
              <w:t>$(213,454)</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(14,657)</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7"/>
              </w:rPr>
              <w:t>$344,598</w:t>
            </w: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Stock-based compensation</w:t>
            </w:r>
          </w:p>
        </w:tc>
        <w:tc>
          <w:tcPr>
            <w:tcW w:w="8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900</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900</w:t>
            </w:r>
          </w:p>
        </w:tc>
        <w:tc>
          <w:tcPr>
            <w:tcW w:w="0" w:type="dxa"/>
            <w:vAlign w:val="bottom"/>
          </w:tcPr>
          <w:p>
            <w:pPr>
              <w:spacing w:after="0"/>
              <w:rPr>
                <w:sz w:val="1"/>
                <w:szCs w:val="1"/>
                <w:color w:val="auto"/>
              </w:rPr>
            </w:pPr>
          </w:p>
        </w:tc>
      </w:tr>
      <w:tr>
        <w:trPr>
          <w:trHeight w:val="144"/>
        </w:trPr>
        <w:tc>
          <w:tcPr>
            <w:tcW w:w="1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Settlement of restricted stock units</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37,179</w:t>
            </w:r>
          </w:p>
        </w:tc>
        <w:tc>
          <w:tcPr>
            <w:tcW w:w="140" w:type="dxa"/>
            <w:vAlign w:val="bottom"/>
          </w:tcPr>
          <w:p>
            <w:pPr>
              <w:spacing w:after="0"/>
              <w:rPr>
                <w:sz w:val="12"/>
                <w:szCs w:val="12"/>
                <w:color w:val="auto"/>
              </w:rPr>
            </w:pP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0</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Pr>
          <w:p>
            <w:pPr>
              <w:spacing w:after="0"/>
              <w:rPr>
                <w:sz w:val="12"/>
                <w:szCs w:val="12"/>
                <w:color w:val="auto"/>
              </w:rPr>
            </w:pPr>
          </w:p>
        </w:tc>
        <w:tc>
          <w:tcPr>
            <w:tcW w:w="6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Acquisition of treasury stock</w:t>
            </w:r>
          </w:p>
        </w:tc>
        <w:tc>
          <w:tcPr>
            <w:tcW w:w="1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(626,279)</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(4,153)</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(4,153)</w:t>
            </w:r>
          </w:p>
        </w:tc>
        <w:tc>
          <w:tcPr>
            <w:tcW w:w="0" w:type="dxa"/>
            <w:vAlign w:val="bottom"/>
          </w:tcPr>
          <w:p>
            <w:pPr>
              <w:spacing w:after="0"/>
              <w:rPr>
                <w:sz w:val="1"/>
                <w:szCs w:val="1"/>
                <w:color w:val="auto"/>
              </w:rPr>
            </w:pPr>
          </w:p>
        </w:tc>
      </w:tr>
      <w:tr>
        <w:trPr>
          <w:trHeight w:val="144"/>
        </w:trPr>
        <w:tc>
          <w:tcPr>
            <w:tcW w:w="1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comprehensive loss, net</w:t>
            </w:r>
          </w:p>
        </w:tc>
        <w:tc>
          <w:tcPr>
            <w:tcW w:w="82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Pr>
          <w:p>
            <w:pPr>
              <w:spacing w:after="0"/>
              <w:rPr>
                <w:sz w:val="12"/>
                <w:szCs w:val="12"/>
                <w:color w:val="auto"/>
              </w:rPr>
            </w:pPr>
          </w:p>
        </w:tc>
        <w:tc>
          <w:tcPr>
            <w:tcW w:w="68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(4,043)</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(4,043)</w:t>
            </w: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loss</w:t>
            </w:r>
          </w:p>
        </w:tc>
        <w:tc>
          <w:tcPr>
            <w:tcW w:w="8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(15,417)</w:t>
            </w:r>
          </w:p>
        </w:tc>
        <w:tc>
          <w:tcPr>
            <w:tcW w:w="6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(15,417)</w:t>
            </w:r>
          </w:p>
        </w:tc>
        <w:tc>
          <w:tcPr>
            <w:tcW w:w="0" w:type="dxa"/>
            <w:vAlign w:val="bottom"/>
          </w:tcPr>
          <w:p>
            <w:pPr>
              <w:spacing w:after="0"/>
              <w:rPr>
                <w:sz w:val="1"/>
                <w:szCs w:val="1"/>
                <w:color w:val="auto"/>
              </w:rPr>
            </w:pPr>
          </w:p>
        </w:tc>
      </w:tr>
      <w:tr>
        <w:trPr>
          <w:trHeight w:val="153"/>
        </w:trPr>
        <w:tc>
          <w:tcPr>
            <w:tcW w:w="1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at March 31, 2024</w:t>
            </w:r>
          </w:p>
        </w:tc>
        <w:tc>
          <w:tcPr>
            <w:tcW w:w="8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38,263,642</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w w:val="88"/>
              </w:rPr>
              <w:t>569</w:t>
            </w:r>
          </w:p>
        </w:tc>
        <w:tc>
          <w:tcPr>
            <w:tcW w:w="16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274,156</w:t>
            </w:r>
          </w:p>
        </w:tc>
        <w:tc>
          <w:tcPr>
            <w:tcW w:w="18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283,467</w:t>
            </w:r>
          </w:p>
        </w:tc>
        <w:tc>
          <w:tcPr>
            <w:tcW w:w="1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3"/>
              </w:rPr>
              <w:t>$</w:t>
            </w:r>
            <w:r>
              <w:rPr>
                <w:rFonts w:ascii="Times New Roman" w:cs="Times New Roman" w:eastAsia="Times New Roman" w:hAnsi="Times New Roman"/>
                <w:sz w:val="12"/>
                <w:szCs w:val="12"/>
                <w:color w:val="auto"/>
                <w:w w:val="93"/>
              </w:rPr>
              <w:t>(217,607</w:t>
            </w:r>
          </w:p>
        </w:tc>
        <w:tc>
          <w:tcPr>
            <w:tcW w:w="1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(18,700</w:t>
            </w:r>
          </w:p>
        </w:tc>
        <w:tc>
          <w:tcPr>
            <w:tcW w:w="1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321,885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w w:val="98"/>
              </w:rPr>
              <w:t>Three Months Ended March 31, 2023:</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43,824,575</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564</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7"/>
              </w:rPr>
              <w:t>$266,058</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7"/>
              </w:rPr>
              <w:t>$335,506</w:t>
            </w:r>
          </w:p>
        </w:tc>
        <w:tc>
          <w:tcPr>
            <w:tcW w:w="66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w w:val="94"/>
              </w:rPr>
              <w:t>$(161,422)</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(12,553)</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7"/>
              </w:rPr>
              <w:t>$428,153</w:t>
            </w: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Stock-based compensation</w:t>
            </w:r>
          </w:p>
        </w:tc>
        <w:tc>
          <w:tcPr>
            <w:tcW w:w="8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1,120</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1,120</w:t>
            </w:r>
          </w:p>
        </w:tc>
        <w:tc>
          <w:tcPr>
            <w:tcW w:w="0" w:type="dxa"/>
            <w:vAlign w:val="bottom"/>
          </w:tcPr>
          <w:p>
            <w:pPr>
              <w:spacing w:after="0"/>
              <w:rPr>
                <w:sz w:val="1"/>
                <w:szCs w:val="1"/>
                <w:color w:val="auto"/>
              </w:rPr>
            </w:pPr>
          </w:p>
        </w:tc>
      </w:tr>
      <w:tr>
        <w:trPr>
          <w:trHeight w:val="144"/>
        </w:trPr>
        <w:tc>
          <w:tcPr>
            <w:tcW w:w="1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1,400</w:t>
            </w:r>
          </w:p>
        </w:tc>
        <w:tc>
          <w:tcPr>
            <w:tcW w:w="140" w:type="dxa"/>
            <w:vAlign w:val="bottom"/>
          </w:tcPr>
          <w:p>
            <w:pPr>
              <w:spacing w:after="0"/>
              <w:rPr>
                <w:sz w:val="12"/>
                <w:szCs w:val="12"/>
                <w:color w:val="auto"/>
              </w:rPr>
            </w:pP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0</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Pr>
          <w:p>
            <w:pPr>
              <w:spacing w:after="0"/>
              <w:rPr>
                <w:sz w:val="12"/>
                <w:szCs w:val="12"/>
                <w:color w:val="auto"/>
              </w:rPr>
            </w:pPr>
          </w:p>
        </w:tc>
        <w:tc>
          <w:tcPr>
            <w:tcW w:w="6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Settlement of restricted stock units</w:t>
            </w:r>
          </w:p>
        </w:tc>
        <w:tc>
          <w:tcPr>
            <w:tcW w:w="1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3,333</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0</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1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Acquisition of treasury stock</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(1,239,993)</w:t>
            </w:r>
          </w:p>
        </w:tc>
        <w:tc>
          <w:tcPr>
            <w:tcW w:w="14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(12,019)</w:t>
            </w:r>
          </w:p>
        </w:tc>
        <w:tc>
          <w:tcPr>
            <w:tcW w:w="140" w:type="dxa"/>
            <w:vAlign w:val="bottom"/>
          </w:tcPr>
          <w:p>
            <w:pPr>
              <w:spacing w:after="0"/>
              <w:rPr>
                <w:sz w:val="12"/>
                <w:szCs w:val="12"/>
                <w:color w:val="auto"/>
              </w:rPr>
            </w:pPr>
          </w:p>
        </w:tc>
        <w:tc>
          <w:tcPr>
            <w:tcW w:w="6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(12,019)</w:t>
            </w: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comprehensive loss, net</w:t>
            </w:r>
          </w:p>
        </w:tc>
        <w:tc>
          <w:tcPr>
            <w:tcW w:w="8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(2,440)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(2,440)</w:t>
            </w:r>
          </w:p>
        </w:tc>
        <w:tc>
          <w:tcPr>
            <w:tcW w:w="0" w:type="dxa"/>
            <w:vAlign w:val="bottom"/>
          </w:tcPr>
          <w:p>
            <w:pPr>
              <w:spacing w:after="0"/>
              <w:rPr>
                <w:sz w:val="1"/>
                <w:szCs w:val="1"/>
                <w:color w:val="auto"/>
              </w:rPr>
            </w:pPr>
          </w:p>
        </w:tc>
      </w:tr>
      <w:tr>
        <w:trPr>
          <w:trHeight w:val="144"/>
        </w:trPr>
        <w:tc>
          <w:tcPr>
            <w:tcW w:w="1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loss</w:t>
            </w:r>
          </w:p>
        </w:tc>
        <w:tc>
          <w:tcPr>
            <w:tcW w:w="8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8"/>
              </w:rPr>
              <w:t>— </w:t>
            </w:r>
          </w:p>
        </w:tc>
        <w:tc>
          <w:tcPr>
            <w:tcW w:w="1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(21,470)</w:t>
            </w:r>
          </w:p>
        </w:tc>
        <w:tc>
          <w:tcPr>
            <w:tcW w:w="66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Pr>
          <w:p>
            <w:pPr>
              <w:spacing w:after="0"/>
              <w:rPr>
                <w:sz w:val="12"/>
                <w:szCs w:val="12"/>
                <w:color w:val="auto"/>
              </w:rPr>
            </w:pPr>
          </w:p>
        </w:tc>
        <w:tc>
          <w:tcPr>
            <w:tcW w:w="6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(21,470)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March 31, 2023</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42,589,315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88"/>
              </w:rPr>
              <w:t>564</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267,187</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314,036</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u w:val="single" w:color="auto"/>
                <w:color w:val="auto"/>
                <w:w w:val="94"/>
              </w:rPr>
              <w:t>$</w:t>
            </w:r>
            <w:r>
              <w:rPr>
                <w:rFonts w:ascii="Times New Roman" w:cs="Times New Roman" w:eastAsia="Times New Roman" w:hAnsi="Times New Roman"/>
                <w:sz w:val="12"/>
                <w:szCs w:val="12"/>
                <w:color w:val="auto"/>
                <w:w w:val="94"/>
              </w:rPr>
              <w:t>(173,441)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(14,993)</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393,353</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9019"/>
          </w:cols>
          <w:pgMar w:left="1440" w:top="242"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MAGNACHIP SEMICONDUCTOR CORPORATION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 (Unaudited)</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5"/>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72"/>
        </w:trPr>
        <w:tc>
          <w:tcPr>
            <w:tcW w:w="5940" w:type="dxa"/>
            <w:vAlign w:val="bottom"/>
          </w:tcPr>
          <w:p>
            <w:pPr>
              <w:spacing w:after="0"/>
              <w:rPr>
                <w:sz w:val="6"/>
                <w:szCs w:val="6"/>
                <w:color w:val="auto"/>
              </w:rPr>
            </w:pPr>
          </w:p>
        </w:tc>
        <w:tc>
          <w:tcPr>
            <w:tcW w:w="760" w:type="dxa"/>
            <w:vAlign w:val="bottom"/>
            <w:tcBorders>
              <w:top w:val="single" w:sz="8" w:color="auto"/>
            </w:tcBorders>
            <w:gridSpan w:val="3"/>
          </w:tcPr>
          <w:p>
            <w:pPr>
              <w:ind w:left="60"/>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jc w:val="right"/>
              <w:ind w:right="1"/>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80" w:type="dxa"/>
            <w:vAlign w:val="bottom"/>
          </w:tcPr>
          <w:p>
            <w:pPr>
              <w:spacing w:after="0"/>
              <w:rPr>
                <w:sz w:val="6"/>
                <w:szCs w:val="6"/>
                <w:color w:val="auto"/>
              </w:rPr>
            </w:pPr>
          </w:p>
        </w:tc>
      </w:tr>
      <w:tr>
        <w:trPr>
          <w:trHeight w:val="115"/>
        </w:trPr>
        <w:tc>
          <w:tcPr>
            <w:tcW w:w="59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0"/>
                <w:szCs w:val="10"/>
                <w:color w:val="auto"/>
              </w:rPr>
            </w:pPr>
          </w:p>
        </w:tc>
      </w:tr>
      <w:tr>
        <w:trPr>
          <w:trHeight w:val="88"/>
        </w:trPr>
        <w:tc>
          <w:tcPr>
            <w:tcW w:w="5940" w:type="dxa"/>
            <w:vAlign w:val="bottom"/>
          </w:tcPr>
          <w:p>
            <w:pPr>
              <w:spacing w:after="0"/>
              <w:rPr>
                <w:sz w:val="7"/>
                <w:szCs w:val="7"/>
                <w:color w:val="auto"/>
              </w:rPr>
            </w:pPr>
          </w:p>
        </w:tc>
        <w:tc>
          <w:tcPr>
            <w:tcW w:w="1320" w:type="dxa"/>
            <w:vAlign w:val="bottom"/>
            <w:gridSpan w:val="5"/>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w w:val="99"/>
              </w:rPr>
              <w:t>(In thousands of U.S. dollars)</w:t>
            </w:r>
          </w:p>
        </w:tc>
        <w:tc>
          <w:tcPr>
            <w:tcW w:w="80" w:type="dxa"/>
            <w:vAlign w:val="bottom"/>
          </w:tcPr>
          <w:p>
            <w:pPr>
              <w:spacing w:after="0"/>
              <w:rPr>
                <w:sz w:val="7"/>
                <w:szCs w:val="7"/>
                <w:color w:val="auto"/>
              </w:rPr>
            </w:pPr>
          </w:p>
        </w:tc>
      </w:tr>
      <w:tr>
        <w:trPr>
          <w:trHeight w:val="14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94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(15,417)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(21,470)</w:t>
            </w:r>
          </w:p>
        </w:tc>
      </w:tr>
      <w:tr>
        <w:trPr>
          <w:trHeight w:val="14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(used in) operating activities</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4,099</w:t>
            </w: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4,357</w:t>
            </w:r>
          </w:p>
        </w:tc>
      </w:tr>
      <w:tr>
        <w:trPr>
          <w:trHeight w:val="144"/>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Provision for severance benefits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1,405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2,330</w:t>
            </w:r>
          </w:p>
        </w:tc>
      </w:tr>
      <w:tr>
        <w:trPr>
          <w:trHeight w:val="144"/>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Loss on foreign currency, net</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10,226</w:t>
            </w: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9,082</w:t>
            </w:r>
          </w:p>
        </w:tc>
      </w:tr>
      <w:tr>
        <w:trPr>
          <w:trHeight w:val="144"/>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Provision for inventory reserves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(947)</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1,138</w:t>
            </w:r>
          </w:p>
        </w:tc>
      </w:tr>
      <w:tr>
        <w:trPr>
          <w:trHeight w:val="144"/>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Stock-based compensation</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900</w:t>
            </w: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1,120</w:t>
            </w:r>
          </w:p>
        </w:tc>
      </w:tr>
      <w:tr>
        <w:trPr>
          <w:trHeight w:val="144"/>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Deferred income taxes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1,313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w:t>
            </w:r>
          </w:p>
        </w:tc>
      </w:tr>
      <w:tr>
        <w:trPr>
          <w:trHeight w:val="144"/>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net</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263</w:t>
            </w: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241</w:t>
            </w:r>
          </w:p>
        </w:tc>
      </w:tr>
      <w:tr>
        <w:trPr>
          <w:trHeight w:val="14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Accounts receivable, net</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1,401</w:t>
            </w: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2,973</w:t>
            </w:r>
          </w:p>
        </w:tc>
      </w:tr>
      <w:tr>
        <w:trPr>
          <w:trHeight w:val="144"/>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Inventories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801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1,062</w:t>
            </w:r>
          </w:p>
        </w:tc>
      </w:tr>
      <w:tr>
        <w:trPr>
          <w:trHeight w:val="144"/>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receivables</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(385)</w:t>
            </w: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2,376</w:t>
            </w:r>
          </w:p>
        </w:tc>
      </w:tr>
      <w:tr>
        <w:trPr>
          <w:trHeight w:val="144"/>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Prepaid expenses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905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860</w:t>
            </w:r>
          </w:p>
        </w:tc>
      </w:tr>
      <w:tr>
        <w:trPr>
          <w:trHeight w:val="144"/>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current assets</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331</w:t>
            </w: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596</w:t>
            </w:r>
          </w:p>
        </w:tc>
      </w:tr>
      <w:tr>
        <w:trPr>
          <w:trHeight w:val="144"/>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Accounts payable</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563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1,904</w:t>
            </w:r>
          </w:p>
        </w:tc>
      </w:tr>
      <w:tr>
        <w:trPr>
          <w:trHeight w:val="144"/>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accounts payable</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(5,256)</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(1,424)</w:t>
            </w:r>
          </w:p>
        </w:tc>
      </w:tr>
      <w:tr>
        <w:trPr>
          <w:trHeight w:val="144"/>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Accrued expenses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(2,045)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7,600</w:t>
            </w:r>
          </w:p>
        </w:tc>
      </w:tr>
      <w:tr>
        <w:trPr>
          <w:trHeight w:val="144"/>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Accrued income taxes</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167</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(2,923)</w:t>
            </w:r>
          </w:p>
        </w:tc>
      </w:tr>
      <w:tr>
        <w:trPr>
          <w:trHeight w:val="144"/>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(387)</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(596)</w:t>
            </w:r>
          </w:p>
        </w:tc>
      </w:tr>
      <w:tr>
        <w:trPr>
          <w:trHeight w:val="144"/>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(624)</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(169)</w:t>
            </w:r>
          </w:p>
        </w:tc>
      </w:tr>
      <w:tr>
        <w:trPr>
          <w:trHeight w:val="144"/>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Payment of severance benefits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(884)</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(871)</w:t>
            </w:r>
          </w:p>
        </w:tc>
      </w:tr>
      <w:tr>
        <w:trPr>
          <w:trHeight w:val="144"/>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net</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(401)</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(306)</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(3,972)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7,876</w:t>
            </w:r>
          </w:p>
        </w:tc>
      </w:tr>
      <w:tr>
        <w:trPr>
          <w:trHeight w:val="144"/>
        </w:trPr>
        <w:tc>
          <w:tcPr>
            <w:tcW w:w="5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Proceeds from settlement of hedge collateral</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1,155</w:t>
            </w:r>
          </w:p>
        </w:tc>
      </w:tr>
      <w:tr>
        <w:trPr>
          <w:trHeight w:val="144"/>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Payment of hedge collateral</w:t>
            </w:r>
          </w:p>
        </w:tc>
        <w:tc>
          <w:tcPr>
            <w:tcW w:w="12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(1,093)</w:t>
            </w:r>
          </w:p>
        </w:tc>
      </w:tr>
      <w:tr>
        <w:trPr>
          <w:trHeight w:val="144"/>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Purchase of property, plant and equipment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(668)</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(135)</w:t>
            </w:r>
          </w:p>
        </w:tc>
      </w:tr>
      <w:tr>
        <w:trPr>
          <w:trHeight w:val="144"/>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Payment for intellectual property registration</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(74)</w:t>
            </w:r>
          </w:p>
        </w:tc>
      </w:tr>
      <w:tr>
        <w:trPr>
          <w:trHeight w:val="144"/>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Collection guarantee deposits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1,133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w:t>
            </w:r>
          </w:p>
        </w:tc>
      </w:tr>
      <w:tr>
        <w:trPr>
          <w:trHeight w:val="144"/>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Payment of guarantee deposits</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(1,874)</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(3,482)</w:t>
            </w:r>
          </w:p>
        </w:tc>
      </w:tr>
      <w:tr>
        <w:trPr>
          <w:trHeight w:val="144"/>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net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2"/>
        </w:trPr>
        <w:tc>
          <w:tcPr>
            <w:tcW w:w="594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(1,468)</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(3,610)</w:t>
            </w:r>
          </w:p>
        </w:tc>
        <w:tc>
          <w:tcPr>
            <w:tcW w:w="80" w:type="dxa"/>
            <w:vAlign w:val="bottom"/>
          </w:tcPr>
          <w:p>
            <w:pPr>
              <w:spacing w:after="0"/>
              <w:rPr>
                <w:sz w:val="12"/>
                <w:szCs w:val="12"/>
                <w:color w:val="auto"/>
              </w:rPr>
            </w:pPr>
          </w:p>
        </w:tc>
      </w:tr>
      <w:tr>
        <w:trPr>
          <w:trHeight w:val="14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Proceeds from long-term borrowing</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30,059</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Proceeds from exercise of stock options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r>
      <w:tr>
        <w:trPr>
          <w:trHeight w:val="144"/>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Acquisition of treasury stock</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(4,659)</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(12,264)</w:t>
            </w:r>
          </w:p>
        </w:tc>
      </w:tr>
      <w:tr>
        <w:trPr>
          <w:trHeight w:val="144"/>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Repayment of financing related to water treatment facility arrangement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(126)</w:t>
            </w:r>
          </w:p>
        </w:tc>
      </w:tr>
      <w:tr>
        <w:trPr>
          <w:trHeight w:val="144"/>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Repayment of principal portion of finance lease liabilities</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(24)</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25,244</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(12,405)</w:t>
            </w:r>
          </w:p>
        </w:tc>
      </w:tr>
      <w:tr>
        <w:trPr>
          <w:trHeight w:val="144"/>
        </w:trPr>
        <w:tc>
          <w:tcPr>
            <w:tcW w:w="5940" w:type="dxa"/>
            <w:vAlign w:val="bottom"/>
          </w:tcPr>
          <w:p>
            <w:pPr>
              <w:spacing w:after="0"/>
              <w:rPr>
                <w:sz w:val="20"/>
                <w:szCs w:val="20"/>
                <w:color w:val="auto"/>
              </w:rPr>
            </w:pPr>
            <w:r>
              <w:rPr>
                <w:rFonts w:ascii="Times New Roman" w:cs="Times New Roman" w:eastAsia="Times New Roman" w:hAnsi="Times New Roman"/>
                <w:sz w:val="12"/>
                <w:szCs w:val="12"/>
                <w:color w:val="auto"/>
              </w:rPr>
              <w:t>Effect of exchange rates on cash and cash equivalents</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(6,294)</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(5,253)</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increase (decrease) in cash and cash equivalents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13,510</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(13,392)</w:t>
            </w:r>
          </w:p>
        </w:tc>
      </w:tr>
      <w:tr>
        <w:trPr>
          <w:trHeight w:val="144"/>
        </w:trPr>
        <w:tc>
          <w:tcPr>
            <w:tcW w:w="594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158,092</w:t>
            </w: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225,477</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171,602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212,085</w:t>
            </w:r>
          </w:p>
        </w:tc>
      </w:tr>
      <w:tr>
        <w:trPr>
          <w:trHeight w:val="153"/>
        </w:trPr>
        <w:tc>
          <w:tcPr>
            <w:tcW w:w="5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Supplemental cash flow information</w:t>
            </w: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2,644</w:t>
            </w:r>
          </w:p>
        </w:tc>
      </w:tr>
      <w:tr>
        <w:trPr>
          <w:trHeight w:val="144"/>
        </w:trPr>
        <w:tc>
          <w:tcPr>
            <w:tcW w:w="5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Non-cash investing activities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plant and equipment additions in other 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629</w:t>
            </w:r>
          </w:p>
        </w:tc>
      </w:tr>
      <w:tr>
        <w:trPr>
          <w:trHeight w:val="144"/>
        </w:trPr>
        <w:tc>
          <w:tcPr>
            <w:tcW w:w="5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Non-cash financing activities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Unsettled common stock repurchases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401</w:t>
            </w:r>
          </w:p>
        </w:tc>
      </w:tr>
    </w:tbl>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9019"/>
          </w:cols>
          <w:pgMar w:left="1440" w:top="242"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MAGNACHIP SEMICONDUCTOR CORPORATION AND SUBSIDIARIES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(TABULAR DOLLARS IN THOUSANDS, EXCEPT SHARE DATA)</w:t>
      </w:r>
    </w:p>
    <w:p>
      <w:pPr>
        <w:spacing w:after="0" w:line="1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1. Business, Basis of Presentation and Significant Accounting Policies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Business</w:t>
      </w:r>
    </w:p>
    <w:p>
      <w:pPr>
        <w:spacing w:after="0" w:line="82" w:lineRule="exact"/>
        <w:rPr>
          <w:sz w:val="20"/>
          <w:szCs w:val="20"/>
          <w:color w:val="auto"/>
        </w:rPr>
      </w:pPr>
    </w:p>
    <w:p>
      <w:pPr>
        <w:ind w:left="840" w:right="859" w:firstLine="294"/>
        <w:spacing w:after="0" w:line="279" w:lineRule="auto"/>
        <w:rPr>
          <w:sz w:val="20"/>
          <w:szCs w:val="20"/>
          <w:color w:val="auto"/>
        </w:rPr>
      </w:pPr>
      <w:r>
        <w:rPr>
          <w:rFonts w:ascii="Times New Roman" w:cs="Times New Roman" w:eastAsia="Times New Roman" w:hAnsi="Times New Roman"/>
          <w:sz w:val="12"/>
          <w:szCs w:val="12"/>
          <w:color w:val="auto"/>
        </w:rPr>
        <w:t>Magnachip Semiconductor Corporation (together with its subsidiaries, the “Company”) is a designer and manufacturer of analog and mixed-signal semiconductor platform solutions for communication, Internet of Things (“IoT”), consumer, computing, industrial and automotive applications.</w:t>
      </w:r>
    </w:p>
    <w:p>
      <w:pPr>
        <w:spacing w:after="0" w:line="111" w:lineRule="exact"/>
        <w:rPr>
          <w:sz w:val="20"/>
          <w:szCs w:val="20"/>
          <w:color w:val="auto"/>
        </w:rPr>
      </w:pPr>
    </w:p>
    <w:p>
      <w:pPr>
        <w:ind w:left="840" w:right="959" w:firstLine="294"/>
        <w:spacing w:after="0" w:line="265" w:lineRule="auto"/>
        <w:rPr>
          <w:sz w:val="20"/>
          <w:szCs w:val="20"/>
          <w:color w:val="auto"/>
        </w:rPr>
      </w:pPr>
      <w:r>
        <w:rPr>
          <w:rFonts w:ascii="Times New Roman" w:cs="Times New Roman" w:eastAsia="Times New Roman" w:hAnsi="Times New Roman"/>
          <w:sz w:val="12"/>
          <w:szCs w:val="12"/>
          <w:color w:val="auto"/>
        </w:rPr>
        <w:t>The Company’s standard products business consists of two business lines: one is the Mixed-Signal Solutions (“MSS”) business line, which comprises the display integrated circuit (“IC”) and power IC businesses that are fabless, and the other is the Power Analog Solutions (“PAS”) business line, which comprises the power discrete business which is an integrated device manufacturing (“IDM”) business.</w:t>
      </w:r>
    </w:p>
    <w:p>
      <w:pPr>
        <w:spacing w:after="0" w:line="119" w:lineRule="exact"/>
        <w:rPr>
          <w:sz w:val="20"/>
          <w:szCs w:val="20"/>
          <w:color w:val="auto"/>
        </w:rPr>
      </w:pPr>
    </w:p>
    <w:p>
      <w:pPr>
        <w:jc w:val="both"/>
        <w:ind w:left="840" w:right="1019" w:firstLine="294"/>
        <w:spacing w:after="0" w:line="265" w:lineRule="auto"/>
        <w:rPr>
          <w:sz w:val="20"/>
          <w:szCs w:val="20"/>
          <w:color w:val="auto"/>
        </w:rPr>
      </w:pPr>
      <w:r>
        <w:rPr>
          <w:rFonts w:ascii="Times New Roman" w:cs="Times New Roman" w:eastAsia="Times New Roman" w:hAnsi="Times New Roman"/>
          <w:sz w:val="12"/>
          <w:szCs w:val="12"/>
          <w:color w:val="auto"/>
        </w:rPr>
        <w:t>Display IC products provide panel display solutions to major suppliers of large and small rigid and flexible panel displays, and a wide range of applications, including smartphones, televisions, automotive and IT applications, such as monitors, notebook PCs and tablet PCs, as well as AR/VRs. Power IC products provide power IC solutions to major television suppliers and large panel display suppliers.</w:t>
      </w:r>
    </w:p>
    <w:p>
      <w:pPr>
        <w:spacing w:after="0" w:line="119" w:lineRule="exact"/>
        <w:rPr>
          <w:sz w:val="20"/>
          <w:szCs w:val="20"/>
          <w:color w:val="auto"/>
        </w:rPr>
      </w:pPr>
    </w:p>
    <w:p>
      <w:pPr>
        <w:ind w:left="840" w:right="1239" w:firstLine="294"/>
        <w:spacing w:after="0" w:line="279" w:lineRule="auto"/>
        <w:rPr>
          <w:sz w:val="20"/>
          <w:szCs w:val="20"/>
          <w:color w:val="auto"/>
        </w:rPr>
      </w:pPr>
      <w:r>
        <w:rPr>
          <w:rFonts w:ascii="Times New Roman" w:cs="Times New Roman" w:eastAsia="Times New Roman" w:hAnsi="Times New Roman"/>
          <w:sz w:val="12"/>
          <w:szCs w:val="12"/>
          <w:color w:val="auto"/>
        </w:rPr>
        <w:t>The PAS business line produces power management semiconductor products, including power discrete solutions for power management in communication, consumer, computing, servers, automotive and industrial applications.</w:t>
      </w:r>
    </w:p>
    <w:p>
      <w:pPr>
        <w:spacing w:after="0" w:line="111" w:lineRule="exact"/>
        <w:rPr>
          <w:sz w:val="20"/>
          <w:szCs w:val="20"/>
          <w:color w:val="auto"/>
        </w:rPr>
      </w:pPr>
    </w:p>
    <w:p>
      <w:pPr>
        <w:ind w:left="840" w:right="879" w:firstLine="294"/>
        <w:spacing w:after="0" w:line="254" w:lineRule="auto"/>
        <w:rPr>
          <w:sz w:val="20"/>
          <w:szCs w:val="20"/>
          <w:color w:val="auto"/>
        </w:rPr>
      </w:pPr>
      <w:r>
        <w:rPr>
          <w:rFonts w:ascii="Times New Roman" w:cs="Times New Roman" w:eastAsia="Times New Roman" w:hAnsi="Times New Roman"/>
          <w:sz w:val="12"/>
          <w:szCs w:val="12"/>
          <w:color w:val="auto"/>
        </w:rPr>
        <w:t>On September 1, 2020, the Company completed the sale of the Company’s Foundry Services Group business and its fabrication facility located in Cheongju, Korea, known as “Fab 4”, to SK keyfoundry Inc., a Korean company (“SK keyfoundry”). Following the consummation of the sale, the Company provided SK keyfoundry with transitional foundry services associated with its fabrication facility located in Gumi, Korea, known as “Fab 3”, at an agreed upon cost plus mark-up (the “Transitional Fab 3 Foundry Services”). The contractual obligation to provide the Transitional Fab 3 Foundry Services ended on August 31, 2023, and the Company is winding down these foundry services and planning to convert portions of the idle capacity to PAS standard products beginning around the second half of 2024. Because these foundry services during the wind-down period are still being provided to SK keyfoundry by the Company using Fab 3 based on mutually agreed terms and conditions, the Company will continue to report its revenue from these foundry services and related cost of sales within the Transitional Fab 3 Foundry Services line in its consolidated statement of operations until such wind-down is completed.</w:t>
      </w:r>
    </w:p>
    <w:p>
      <w:pPr>
        <w:spacing w:after="0" w:line="126" w:lineRule="exact"/>
        <w:rPr>
          <w:sz w:val="20"/>
          <w:szCs w:val="20"/>
          <w:color w:val="auto"/>
        </w:rPr>
      </w:pPr>
    </w:p>
    <w:p>
      <w:pPr>
        <w:ind w:left="840" w:right="919" w:firstLine="294"/>
        <w:spacing w:after="0" w:line="256" w:lineRule="auto"/>
        <w:rPr>
          <w:sz w:val="20"/>
          <w:szCs w:val="20"/>
          <w:color w:val="auto"/>
        </w:rPr>
      </w:pPr>
      <w:r>
        <w:rPr>
          <w:rFonts w:ascii="Times New Roman" w:cs="Times New Roman" w:eastAsia="Times New Roman" w:hAnsi="Times New Roman"/>
          <w:sz w:val="12"/>
          <w:szCs w:val="12"/>
          <w:color w:val="auto"/>
        </w:rPr>
        <w:t>On May 30, 2023, the Company announced a plan to regroup the business lines in its standard products business, originally grouped as Display Solutions and Power Solutions business lines, into MSS and PAS business lines to better align its product strategies (the “Reorganization”). On January 10, 2024, the Company transferred the MSS business line into a newly formed Korean limited liability company named “Magnachip Mixed-Signal, Ltd.” Currently, the MSS business line is primarily operated by Magnachip Mixed-Signal, Ltd., and the PAS business line is primarily operated by Magnachip Semiconductor, Ltd., Magnachip’s already existing Korean operating company. Both companies are indirect wholly owned subsidiaries of the Company.</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w:t>
      </w:r>
    </w:p>
    <w:p>
      <w:pPr>
        <w:spacing w:after="0" w:line="82" w:lineRule="exact"/>
        <w:rPr>
          <w:sz w:val="20"/>
          <w:szCs w:val="20"/>
          <w:color w:val="auto"/>
        </w:rPr>
      </w:pPr>
    </w:p>
    <w:p>
      <w:pPr>
        <w:ind w:left="840" w:right="839" w:firstLine="294"/>
        <w:spacing w:after="0" w:line="255" w:lineRule="auto"/>
        <w:rPr>
          <w:sz w:val="20"/>
          <w:szCs w:val="20"/>
          <w:color w:val="auto"/>
        </w:rPr>
      </w:pPr>
      <w:r>
        <w:rPr>
          <w:rFonts w:ascii="Times New Roman" w:cs="Times New Roman" w:eastAsia="Times New Roman" w:hAnsi="Times New Roman"/>
          <w:sz w:val="12"/>
          <w:szCs w:val="12"/>
          <w:color w:val="auto"/>
        </w:rPr>
        <w:t>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except for the changes below. The results of operations for the three months ended March 31, 2024 are not necessarily indicative of the results to be expected for a full year or for any other periods.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9019"/>
          </w:cols>
          <w:pgMar w:left="1440" w:top="242" w:right="1440" w:bottom="1440" w:gutter="0" w:footer="0" w:header="0"/>
        </w:sectPr>
      </w:pPr>
    </w:p>
    <w:bookmarkStart w:id="8" w:name="page9"/>
    <w:bookmarkEnd w:id="8"/>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The December 31, 2023 balance sheet data was derived from the Company’s audited financial statements, but does not include all disclosures required by U.S. GAAP. The interim consolidated financial statements should be read in conjunction with the Company’s Annual Report on Form 10-K for the fiscal year ended December 31, 2023.</w:t>
      </w:r>
    </w:p>
    <w:p>
      <w:pPr>
        <w:spacing w:after="0" w:line="119" w:lineRule="exact"/>
        <w:rPr>
          <w:sz w:val="20"/>
          <w:szCs w:val="20"/>
          <w:color w:val="auto"/>
        </w:rPr>
      </w:pPr>
    </w:p>
    <w:p>
      <w:pPr>
        <w:ind w:left="840" w:right="899" w:firstLine="294"/>
        <w:spacing w:after="0" w:line="327" w:lineRule="auto"/>
        <w:rPr>
          <w:sz w:val="20"/>
          <w:szCs w:val="20"/>
          <w:color w:val="auto"/>
        </w:rPr>
      </w:pPr>
      <w:r>
        <w:rPr>
          <w:rFonts w:ascii="Times New Roman" w:cs="Times New Roman" w:eastAsia="Times New Roman" w:hAnsi="Times New Roman"/>
          <w:sz w:val="11"/>
          <w:szCs w:val="11"/>
          <w:color w:val="auto"/>
        </w:rPr>
        <w:t>There have been no material changes to the Company’s significant accounting policies as of and for the three months ended March 31, 2024 as compared to the significant accounting policies described in the Company’s Annual Report on Form 10-K for the fiscal year ended December 31, 2023.</w:t>
      </w:r>
    </w:p>
    <w:p>
      <w:pPr>
        <w:spacing w:after="0" w:line="1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 Not Yet Adopted</w:t>
      </w:r>
    </w:p>
    <w:p>
      <w:pPr>
        <w:spacing w:after="0" w:line="82" w:lineRule="exact"/>
        <w:rPr>
          <w:sz w:val="20"/>
          <w:szCs w:val="20"/>
          <w:color w:val="auto"/>
        </w:rPr>
      </w:pPr>
    </w:p>
    <w:p>
      <w:pPr>
        <w:ind w:left="840" w:right="859" w:firstLine="294"/>
        <w:spacing w:after="0" w:line="256" w:lineRule="auto"/>
        <w:rPr>
          <w:sz w:val="20"/>
          <w:szCs w:val="20"/>
          <w:color w:val="auto"/>
        </w:rPr>
      </w:pPr>
      <w:r>
        <w:rPr>
          <w:rFonts w:ascii="Times New Roman" w:cs="Times New Roman" w:eastAsia="Times New Roman" w:hAnsi="Times New Roman"/>
          <w:sz w:val="12"/>
          <w:szCs w:val="12"/>
          <w:color w:val="auto"/>
        </w:rPr>
        <w:t>In November 2023, the Financial Accounting Standards Board (“FASB”) issued Accounting Standards Update (“ASU”) No. 2023-07, “Segment Reporting (Topic 280): Improvements to Reportable Segment Disclosures”, which will require an entity to provide more detailed information about its reportable segment expenses that are included within management’s measurement of profit and loss and will require certain annual disclosures to be provided on an interim basis. The amendments in this ASU are effective for the Company in 2024 for annual reporting and in 2025 for interim reporting, with early adoption permitted beginning in 2024, and is required to be applied using the full retrospective method of transition. The Company is currently evaluating the impact of this accounting standard update on the Company’s segment disclosures.</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In December 2023, the FASB issued ASU No. 2023-09, “Income Taxes (Topic 740): Improvements to Income Tax Disclosures”</w:t>
      </w:r>
    </w:p>
    <w:p>
      <w:pPr>
        <w:spacing w:after="0" w:line="17" w:lineRule="exact"/>
        <w:rPr>
          <w:sz w:val="20"/>
          <w:szCs w:val="20"/>
          <w:color w:val="auto"/>
        </w:rPr>
      </w:pPr>
    </w:p>
    <w:p>
      <w:pPr>
        <w:ind w:left="840" w:right="839"/>
        <w:spacing w:after="0" w:line="281" w:lineRule="auto"/>
        <w:rPr>
          <w:sz w:val="20"/>
          <w:szCs w:val="20"/>
          <w:color w:val="auto"/>
        </w:rPr>
      </w:pPr>
      <w:r>
        <w:rPr>
          <w:rFonts w:ascii="Times New Roman" w:cs="Times New Roman" w:eastAsia="Times New Roman" w:hAnsi="Times New Roman"/>
          <w:sz w:val="11"/>
          <w:szCs w:val="11"/>
          <w:color w:val="auto"/>
        </w:rPr>
        <w:t>(“ASU 2023-09”), which intends to enhance the transparency and decision usefulness of income tax disclosures. It requires public business entities to disclose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ASU 2023-09 is effective for annual periods beginning after December 15, 2024, though early adoption is permitted. The Company is currently evaluating the impact of this accounting standard update on its consolidated financial statements and related disclosures.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9019"/>
          </w:cols>
          <w:pgMar w:left="1440" w:top="246" w:right="1440" w:bottom="1440" w:gutter="0" w:footer="0" w:header="0"/>
        </w:sectPr>
      </w:pPr>
    </w:p>
    <w:bookmarkStart w:id="9" w:name="page10"/>
    <w:bookmarkEnd w:id="9"/>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2. Inventories</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Inventories as of March 31, 2024 and December 31, 2023 consist of the following (in thousands):</w:t>
      </w:r>
    </w:p>
    <w:p>
      <w:pPr>
        <w:spacing w:after="0" w:line="146"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180" w:type="dxa"/>
            <w:vAlign w:val="bottom"/>
          </w:tcPr>
          <w:p>
            <w:pPr>
              <w:spacing w:after="0"/>
              <w:rPr>
                <w:sz w:val="10"/>
                <w:szCs w:val="10"/>
                <w:color w:val="auto"/>
              </w:rPr>
            </w:pP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6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4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r>
      <w:tr>
        <w:trPr>
          <w:trHeight w:val="133"/>
        </w:trPr>
        <w:tc>
          <w:tcPr>
            <w:tcW w:w="41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Finished goods</w:t>
            </w: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7,268</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8,432</w:t>
            </w:r>
          </w:p>
        </w:tc>
        <w:tc>
          <w:tcPr>
            <w:tcW w:w="80" w:type="dxa"/>
            <w:vAlign w:val="bottom"/>
            <w:shd w:val="clear" w:color="auto" w:fill="CCEEFF"/>
          </w:tcPr>
          <w:p>
            <w:pPr>
              <w:spacing w:after="0"/>
              <w:rPr>
                <w:sz w:val="11"/>
                <w:szCs w:val="11"/>
                <w:color w:val="auto"/>
              </w:rPr>
            </w:pP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Semi-finished goods and work-in-process</w:t>
            </w:r>
          </w:p>
        </w:tc>
        <w:tc>
          <w:tcPr>
            <w:tcW w:w="8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28,379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29,339</w:t>
            </w: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Raw materials</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4,579</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5,543</w:t>
            </w: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Materials in-transit</w:t>
            </w:r>
          </w:p>
        </w:tc>
        <w:tc>
          <w:tcPr>
            <w:tcW w:w="8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w:t>
            </w: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inventory reserve</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(8,947)</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(10,599)</w:t>
            </w:r>
          </w:p>
        </w:tc>
      </w:tr>
      <w:tr>
        <w:trPr>
          <w:trHeight w:val="149"/>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Inventories, net</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31,479</w:t>
            </w:r>
          </w:p>
        </w:tc>
        <w:tc>
          <w:tcPr>
            <w:tcW w:w="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32,733</w:t>
            </w:r>
          </w:p>
        </w:tc>
        <w:tc>
          <w:tcPr>
            <w:tcW w:w="80" w:type="dxa"/>
            <w:vAlign w:val="bottom"/>
          </w:tcPr>
          <w:p>
            <w:pPr>
              <w:spacing w:after="0"/>
              <w:rPr>
                <w:sz w:val="12"/>
                <w:szCs w:val="12"/>
                <w:color w:val="auto"/>
              </w:rPr>
            </w:pPr>
          </w:p>
        </w:tc>
      </w:tr>
    </w:tbl>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Changes in inventory reserve for the three months ended March 31, 2024 and 2023 are as follows (in thousands):</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4"/>
          </w:tcPr>
          <w:p>
            <w:pPr>
              <w:jc w:val="right"/>
              <w:ind w:right="158"/>
              <w:spacing w:after="0"/>
              <w:rPr>
                <w:sz w:val="20"/>
                <w:szCs w:val="20"/>
                <w:color w:val="auto"/>
              </w:rPr>
            </w:pPr>
            <w:r>
              <w:rPr>
                <w:rFonts w:ascii="Times New Roman" w:cs="Times New Roman" w:eastAsia="Times New Roman" w:hAnsi="Times New Roman"/>
                <w:sz w:val="10"/>
                <w:szCs w:val="10"/>
                <w:b w:val="1"/>
                <w:bCs w:val="1"/>
                <w:color w:val="auto"/>
                <w:w w:val="98"/>
              </w:rPr>
              <w:t>Three Months Ended</w:t>
            </w:r>
          </w:p>
        </w:tc>
      </w:tr>
      <w:tr>
        <w:trPr>
          <w:trHeight w:val="72"/>
        </w:trPr>
        <w:tc>
          <w:tcPr>
            <w:tcW w:w="4380" w:type="dxa"/>
            <w:vAlign w:val="bottom"/>
          </w:tcPr>
          <w:p>
            <w:pPr>
              <w:spacing w:after="0"/>
              <w:rPr>
                <w:sz w:val="6"/>
                <w:szCs w:val="6"/>
                <w:color w:val="auto"/>
              </w:rPr>
            </w:pPr>
          </w:p>
        </w:tc>
        <w:tc>
          <w:tcPr>
            <w:tcW w:w="680" w:type="dxa"/>
            <w:vAlign w:val="bottom"/>
            <w:tcBorders>
              <w:top w:val="single" w:sz="8" w:color="auto"/>
            </w:tcBorders>
            <w:gridSpan w:val="3"/>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440" w:type="dxa"/>
            <w:vAlign w:val="bottom"/>
            <w:tcBorders>
              <w:top w:val="single" w:sz="8" w:color="auto"/>
            </w:tcBorders>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80" w:type="dxa"/>
            <w:vAlign w:val="bottom"/>
          </w:tcPr>
          <w:p>
            <w:pPr>
              <w:spacing w:after="0"/>
              <w:rPr>
                <w:sz w:val="6"/>
                <w:szCs w:val="6"/>
                <w:color w:val="auto"/>
              </w:rPr>
            </w:pPr>
          </w:p>
        </w:tc>
      </w:tr>
      <w:tr>
        <w:trPr>
          <w:trHeight w:val="115"/>
        </w:trPr>
        <w:tc>
          <w:tcPr>
            <w:tcW w:w="43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2024</w:t>
            </w:r>
          </w:p>
        </w:tc>
        <w:tc>
          <w:tcPr>
            <w:tcW w:w="24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r>
      <w:tr>
        <w:trPr>
          <w:trHeight w:val="133"/>
        </w:trPr>
        <w:tc>
          <w:tcPr>
            <w:tcW w:w="4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Beginning balance</w:t>
            </w: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2"/>
              </w:rPr>
              <w:t>(10,599)</w:t>
            </w:r>
          </w:p>
        </w:tc>
        <w:tc>
          <w:tcPr>
            <w:tcW w:w="24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9"/>
              </w:rPr>
              <w:t>$(14,677)</w:t>
            </w:r>
          </w:p>
        </w:tc>
        <w:tc>
          <w:tcPr>
            <w:tcW w:w="80" w:type="dxa"/>
            <w:vAlign w:val="bottom"/>
            <w:shd w:val="clear" w:color="auto" w:fill="CCEEFF"/>
          </w:tcPr>
          <w:p>
            <w:pPr>
              <w:spacing w:after="0"/>
              <w:rPr>
                <w:sz w:val="11"/>
                <w:szCs w:val="11"/>
                <w:color w:val="auto"/>
              </w:rPr>
            </w:pPr>
          </w:p>
        </w:tc>
      </w:tr>
      <w:tr>
        <w:trPr>
          <w:trHeight w:val="144"/>
        </w:trPr>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Change in reserve</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Inventory reserve charged to costs of sales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(1,550)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(2,584)</w:t>
            </w:r>
          </w:p>
        </w:tc>
      </w:tr>
      <w:tr>
        <w:trPr>
          <w:trHeight w:val="144"/>
        </w:trPr>
        <w:tc>
          <w:tcPr>
            <w:tcW w:w="43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Sale of previously reserved inventory</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2,661</w:t>
            </w:r>
          </w:p>
        </w:tc>
        <w:tc>
          <w:tcPr>
            <w:tcW w:w="240" w:type="dxa"/>
            <w:vAlign w:val="bottom"/>
          </w:tcPr>
          <w:p>
            <w:pPr>
              <w:spacing w:after="0"/>
              <w:rPr>
                <w:sz w:val="12"/>
                <w:szCs w:val="12"/>
                <w:color w:val="auto"/>
              </w:rPr>
            </w:pPr>
          </w:p>
        </w:tc>
        <w:tc>
          <w:tcPr>
            <w:tcW w:w="52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1,476</w:t>
            </w:r>
          </w:p>
        </w:tc>
      </w:tr>
      <w:tr>
        <w:trPr>
          <w:trHeight w:val="20"/>
        </w:trPr>
        <w:tc>
          <w:tcPr>
            <w:tcW w:w="4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1,111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(1,108)</w:t>
            </w:r>
          </w:p>
        </w:tc>
      </w:tr>
      <w:tr>
        <w:trPr>
          <w:trHeight w:val="144"/>
        </w:trPr>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Write off</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240" w:type="dxa"/>
            <w:vAlign w:val="bottom"/>
          </w:tcPr>
          <w:p>
            <w:pPr>
              <w:spacing w:after="0"/>
              <w:rPr>
                <w:sz w:val="12"/>
                <w:szCs w:val="12"/>
                <w:color w:val="auto"/>
              </w:rPr>
            </w:pPr>
          </w:p>
        </w:tc>
        <w:tc>
          <w:tcPr>
            <w:tcW w:w="52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415</w:t>
            </w:r>
          </w:p>
        </w:tc>
      </w:tr>
      <w:tr>
        <w:trPr>
          <w:trHeight w:val="14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Translation adjustments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w:t>
            </w:r>
          </w:p>
        </w:tc>
        <w:tc>
          <w:tcPr>
            <w:tcW w:w="240" w:type="dxa"/>
            <w:vAlign w:val="bottom"/>
            <w:tcBorders>
              <w:lef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429</w:t>
            </w:r>
          </w:p>
        </w:tc>
      </w:tr>
      <w:tr>
        <w:trPr>
          <w:trHeight w:val="142"/>
        </w:trPr>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Ending balance</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(8,947</w:t>
            </w:r>
          </w:p>
        </w:tc>
        <w:tc>
          <w:tcPr>
            <w:tcW w:w="24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(14,941</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4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ind w:left="840" w:right="1119" w:firstLine="294"/>
        <w:spacing w:after="0" w:line="260" w:lineRule="auto"/>
        <w:rPr>
          <w:sz w:val="20"/>
          <w:szCs w:val="20"/>
          <w:color w:val="auto"/>
        </w:rPr>
      </w:pPr>
      <w:r>
        <w:rPr>
          <w:rFonts w:ascii="Times New Roman" w:cs="Times New Roman" w:eastAsia="Times New Roman" w:hAnsi="Times New Roman"/>
          <w:sz w:val="12"/>
          <w:szCs w:val="12"/>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9019"/>
          </w:cols>
          <w:pgMar w:left="1440" w:top="242" w:right="1440" w:bottom="1440" w:gutter="0" w:footer="0" w:header="0"/>
        </w:sectPr>
      </w:pPr>
    </w:p>
    <w:bookmarkStart w:id="10" w:name="page11"/>
    <w:bookmarkEnd w:id="10"/>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3. Property, Plant and Equipment</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Property, plant and equipment as of March 31, 2024 and December 31, 2023 are comprised of the following (in thousands):</w:t>
      </w:r>
    </w:p>
    <w:p>
      <w:pPr>
        <w:spacing w:after="0" w:line="146"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6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4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0"/>
                <w:szCs w:val="10"/>
                <w:b w:val="1"/>
                <w:bCs w:val="1"/>
                <w:color w:val="auto"/>
              </w:rPr>
              <w:t>2024</w:t>
            </w:r>
          </w:p>
        </w:tc>
        <w:tc>
          <w:tcPr>
            <w:tcW w:w="3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r>
      <w:tr>
        <w:trPr>
          <w:trHeight w:val="133"/>
        </w:trPr>
        <w:tc>
          <w:tcPr>
            <w:tcW w:w="4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Buildings and related structures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23,487</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24,532</w:t>
            </w:r>
          </w:p>
        </w:tc>
        <w:tc>
          <w:tcPr>
            <w:tcW w:w="80" w:type="dxa"/>
            <w:vAlign w:val="bottom"/>
            <w:shd w:val="clear" w:color="auto" w:fill="CCEEFF"/>
          </w:tcPr>
          <w:p>
            <w:pPr>
              <w:spacing w:after="0"/>
              <w:rPr>
                <w:sz w:val="11"/>
                <w:szCs w:val="11"/>
                <w:color w:val="auto"/>
              </w:rPr>
            </w:pP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Machinery and equipment</w:t>
            </w:r>
          </w:p>
        </w:tc>
        <w:tc>
          <w:tcPr>
            <w:tcW w:w="6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133,844</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139,710</w:t>
            </w:r>
          </w:p>
        </w:tc>
      </w:tr>
      <w:tr>
        <w:trPr>
          <w:trHeight w:val="14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lease right-of-use assets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585</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902</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Others</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34,373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35,471</w:t>
            </w:r>
          </w:p>
        </w:tc>
      </w:tr>
      <w:tr>
        <w:trPr>
          <w:trHeight w:val="20"/>
        </w:trPr>
        <w:tc>
          <w:tcPr>
            <w:tcW w:w="4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192,289</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200,615</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60" w:type="dxa"/>
            <w:vAlign w:val="bottom"/>
          </w:tcPr>
          <w:p>
            <w:pPr>
              <w:spacing w:after="0"/>
              <w:rPr>
                <w:sz w:val="12"/>
                <w:szCs w:val="12"/>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w w:val="97"/>
              </w:rPr>
              <w:t>(113,829)</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(115,889)</w:t>
            </w:r>
          </w:p>
        </w:tc>
      </w:tr>
      <w:tr>
        <w:trPr>
          <w:trHeight w:val="14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Land</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12,265</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12,811</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Construction in progress</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2,585</w:t>
            </w:r>
          </w:p>
        </w:tc>
      </w:tr>
      <w:tr>
        <w:trPr>
          <w:trHeight w:val="20"/>
        </w:trPr>
        <w:tc>
          <w:tcPr>
            <w:tcW w:w="4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92,868</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100,122</w:t>
            </w:r>
          </w:p>
        </w:tc>
      </w:tr>
      <w:tr>
        <w:trPr>
          <w:trHeight w:val="27"/>
        </w:trPr>
        <w:tc>
          <w:tcPr>
            <w:tcW w:w="4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1"/>
          <w:szCs w:val="11"/>
          <w:color w:val="auto"/>
        </w:rPr>
        <w:t>Aggregate depreciation expenses totaled $3,957 thousand and $4,193 thousand for the three months ended March 31, 2024 and 2023, respectively.</w:t>
      </w:r>
    </w:p>
    <w:p>
      <w:pPr>
        <w:spacing w:after="0" w:line="162" w:lineRule="exact"/>
        <w:rPr>
          <w:sz w:val="20"/>
          <w:szCs w:val="20"/>
          <w:color w:val="auto"/>
        </w:rPr>
      </w:pPr>
    </w:p>
    <w:p>
      <w:pPr>
        <w:ind w:left="840" w:right="979" w:firstLine="294"/>
        <w:spacing w:after="0" w:line="257" w:lineRule="auto"/>
        <w:rPr>
          <w:sz w:val="20"/>
          <w:szCs w:val="20"/>
          <w:color w:val="auto"/>
        </w:rPr>
      </w:pPr>
      <w:r>
        <w:rPr>
          <w:rFonts w:ascii="Times New Roman" w:cs="Times New Roman" w:eastAsia="Times New Roman" w:hAnsi="Times New Roman"/>
          <w:sz w:val="12"/>
          <w:szCs w:val="12"/>
          <w:color w:val="auto"/>
        </w:rPr>
        <w:t>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Kun-Pledge (Mortgage) Agreement (the “Pledge Agreement”) with KDB pursuant to which MSK pledged its real property and buildings located in Gumi, Korea in favor of KDB. See “Note 9. Long-Term Borrowing” to these consolidated financial statements below for more information regarding the Loan Agreement.</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4. Intangible Assets</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Intangible assets as of March 31, 2024 and December 31, 2023 are comprised of the following (in thousands):</w:t>
      </w:r>
    </w:p>
    <w:p>
      <w:pPr>
        <w:spacing w:after="0" w:line="162"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4"/>
          </w:tcPr>
          <w:p>
            <w:pPr>
              <w:jc w:val="right"/>
              <w:ind w:right="178"/>
              <w:spacing w:after="0"/>
              <w:rPr>
                <w:sz w:val="20"/>
                <w:szCs w:val="20"/>
                <w:color w:val="auto"/>
              </w:rPr>
            </w:pPr>
            <w:r>
              <w:rPr>
                <w:rFonts w:ascii="Times New Roman" w:cs="Times New Roman" w:eastAsia="Times New Roman" w:hAnsi="Times New Roman"/>
                <w:sz w:val="10"/>
                <w:szCs w:val="10"/>
                <w:b w:val="1"/>
                <w:bCs w:val="1"/>
                <w:color w:val="auto"/>
              </w:rPr>
              <w:t>March 31, 2024</w:t>
            </w:r>
          </w:p>
        </w:tc>
        <w:tc>
          <w:tcPr>
            <w:tcW w:w="3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2"/>
        </w:trPr>
        <w:tc>
          <w:tcPr>
            <w:tcW w:w="440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Gross</w:t>
            </w:r>
          </w:p>
        </w:tc>
        <w:tc>
          <w:tcPr>
            <w:tcW w:w="1060" w:type="dxa"/>
            <w:vAlign w:val="bottom"/>
            <w:gridSpan w:val="4"/>
          </w:tcPr>
          <w:p>
            <w:pPr>
              <w:ind w:left="260"/>
              <w:spacing w:after="0" w:line="72"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34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Net</w:t>
            </w:r>
          </w:p>
        </w:tc>
        <w:tc>
          <w:tcPr>
            <w:tcW w:w="40" w:type="dxa"/>
            <w:vAlign w:val="bottom"/>
          </w:tcPr>
          <w:p>
            <w:pPr>
              <w:spacing w:after="0"/>
              <w:rPr>
                <w:sz w:val="6"/>
                <w:szCs w:val="6"/>
                <w:color w:val="auto"/>
              </w:rPr>
            </w:pPr>
          </w:p>
        </w:tc>
      </w:tr>
      <w:tr>
        <w:trPr>
          <w:trHeight w:val="115"/>
        </w:trPr>
        <w:tc>
          <w:tcPr>
            <w:tcW w:w="4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260" w:type="dxa"/>
            <w:vAlign w:val="bottom"/>
          </w:tcPr>
          <w:p>
            <w:pPr>
              <w:spacing w:after="0"/>
              <w:rPr>
                <w:sz w:val="10"/>
                <w:szCs w:val="10"/>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3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amount</w:t>
            </w:r>
          </w:p>
        </w:tc>
      </w:tr>
      <w:tr>
        <w:trPr>
          <w:trHeight w:val="133"/>
        </w:trPr>
        <w:tc>
          <w:tcPr>
            <w:tcW w:w="44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Intellectual property assets</w:t>
            </w: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u w:val="single" w:color="auto"/>
                <w:color w:val="auto"/>
                <w:w w:val="96"/>
              </w:rPr>
              <w:t>$</w:t>
            </w:r>
            <w:r>
              <w:rPr>
                <w:rFonts w:ascii="Times New Roman" w:cs="Times New Roman" w:eastAsia="Times New Roman" w:hAnsi="Times New Roman"/>
                <w:sz w:val="12"/>
                <w:szCs w:val="12"/>
                <w:color w:val="auto"/>
                <w:w w:val="96"/>
              </w:rPr>
              <w:t>8,817</w:t>
            </w: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(7,426</w:t>
            </w:r>
          </w:p>
        </w:tc>
        <w:tc>
          <w:tcPr>
            <w:tcW w:w="240" w:type="dxa"/>
            <w:vAlign w:val="bottom"/>
            <w:tcBorders>
              <w:top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auto"/>
              <w:bottom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1,391</w:t>
            </w:r>
          </w:p>
        </w:tc>
        <w:tc>
          <w:tcPr>
            <w:tcW w:w="40" w:type="dxa"/>
            <w:vAlign w:val="bottom"/>
            <w:tcBorders>
              <w:top w:val="single" w:sz="8" w:color="CCEEFF"/>
            </w:tcBorders>
            <w:shd w:val="clear" w:color="auto" w:fill="CCEEFF"/>
          </w:tcPr>
          <w:p>
            <w:pPr>
              <w:spacing w:after="0"/>
              <w:rPr>
                <w:sz w:val="11"/>
                <w:szCs w:val="11"/>
                <w:color w:val="auto"/>
              </w:rPr>
            </w:pPr>
          </w:p>
        </w:tc>
      </w:tr>
      <w:tr>
        <w:trPr>
          <w:trHeight w:val="149"/>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20" w:type="dxa"/>
            <w:vAlign w:val="bottom"/>
          </w:tcPr>
          <w:p>
            <w:pPr>
              <w:spacing w:after="0"/>
              <w:rPr>
                <w:sz w:val="12"/>
                <w:szCs w:val="12"/>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u w:val="single" w:color="auto"/>
                <w:color w:val="auto"/>
                <w:w w:val="96"/>
              </w:rPr>
              <w:t>$</w:t>
            </w:r>
            <w:r>
              <w:rPr>
                <w:rFonts w:ascii="Times New Roman" w:cs="Times New Roman" w:eastAsia="Times New Roman" w:hAnsi="Times New Roman"/>
                <w:sz w:val="12"/>
                <w:szCs w:val="12"/>
                <w:color w:val="auto"/>
                <w:w w:val="96"/>
              </w:rPr>
              <w:t>8,817</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(7,426</w:t>
            </w:r>
          </w:p>
        </w:tc>
        <w:tc>
          <w:tcPr>
            <w:tcW w:w="24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1,391</w:t>
            </w:r>
          </w:p>
        </w:tc>
        <w:tc>
          <w:tcPr>
            <w:tcW w:w="40" w:type="dxa"/>
            <w:vAlign w:val="bottom"/>
          </w:tcPr>
          <w:p>
            <w:pPr>
              <w:spacing w:after="0"/>
              <w:rPr>
                <w:sz w:val="12"/>
                <w:szCs w:val="12"/>
                <w:color w:val="auto"/>
              </w:rPr>
            </w:pPr>
          </w:p>
        </w:tc>
      </w:tr>
      <w:tr>
        <w:trPr>
          <w:trHeight w:val="270"/>
        </w:trPr>
        <w:tc>
          <w:tcPr>
            <w:tcW w:w="4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4"/>
          </w:tcPr>
          <w:p>
            <w:pPr>
              <w:jc w:val="right"/>
              <w:ind w:right="98"/>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34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72"/>
        </w:trPr>
        <w:tc>
          <w:tcPr>
            <w:tcW w:w="440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Gross</w:t>
            </w:r>
          </w:p>
        </w:tc>
        <w:tc>
          <w:tcPr>
            <w:tcW w:w="1060" w:type="dxa"/>
            <w:vAlign w:val="bottom"/>
            <w:gridSpan w:val="4"/>
          </w:tcPr>
          <w:p>
            <w:pPr>
              <w:ind w:left="260"/>
              <w:spacing w:after="0" w:line="72"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34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Net</w:t>
            </w:r>
          </w:p>
        </w:tc>
        <w:tc>
          <w:tcPr>
            <w:tcW w:w="40" w:type="dxa"/>
            <w:vAlign w:val="bottom"/>
          </w:tcPr>
          <w:p>
            <w:pPr>
              <w:spacing w:after="0"/>
              <w:rPr>
                <w:sz w:val="6"/>
                <w:szCs w:val="6"/>
                <w:color w:val="auto"/>
              </w:rPr>
            </w:pPr>
          </w:p>
        </w:tc>
      </w:tr>
      <w:tr>
        <w:trPr>
          <w:trHeight w:val="115"/>
        </w:trPr>
        <w:tc>
          <w:tcPr>
            <w:tcW w:w="4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260" w:type="dxa"/>
            <w:vAlign w:val="bottom"/>
          </w:tcPr>
          <w:p>
            <w:pPr>
              <w:spacing w:after="0"/>
              <w:rPr>
                <w:sz w:val="10"/>
                <w:szCs w:val="10"/>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3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amount</w:t>
            </w:r>
          </w:p>
        </w:tc>
      </w:tr>
      <w:tr>
        <w:trPr>
          <w:trHeight w:val="133"/>
        </w:trPr>
        <w:tc>
          <w:tcPr>
            <w:tcW w:w="44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Intellectual property assets</w:t>
            </w: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u w:val="single" w:color="auto"/>
                <w:color w:val="auto"/>
                <w:w w:val="96"/>
              </w:rPr>
              <w:t>$</w:t>
            </w:r>
            <w:r>
              <w:rPr>
                <w:rFonts w:ascii="Times New Roman" w:cs="Times New Roman" w:eastAsia="Times New Roman" w:hAnsi="Times New Roman"/>
                <w:sz w:val="12"/>
                <w:szCs w:val="12"/>
                <w:color w:val="auto"/>
                <w:w w:val="96"/>
              </w:rPr>
              <w:t>9,150</w:t>
            </w: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(7,613</w:t>
            </w:r>
          </w:p>
        </w:tc>
        <w:tc>
          <w:tcPr>
            <w:tcW w:w="240" w:type="dxa"/>
            <w:vAlign w:val="bottom"/>
            <w:tcBorders>
              <w:top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auto"/>
              <w:bottom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1,537</w:t>
            </w:r>
          </w:p>
        </w:tc>
        <w:tc>
          <w:tcPr>
            <w:tcW w:w="40" w:type="dxa"/>
            <w:vAlign w:val="bottom"/>
            <w:tcBorders>
              <w:top w:val="single" w:sz="8" w:color="CCEEFF"/>
            </w:tcBorders>
            <w:shd w:val="clear" w:color="auto" w:fill="CCEEFF"/>
          </w:tcPr>
          <w:p>
            <w:pPr>
              <w:spacing w:after="0"/>
              <w:rPr>
                <w:sz w:val="11"/>
                <w:szCs w:val="11"/>
                <w:color w:val="auto"/>
              </w:rPr>
            </w:pPr>
          </w:p>
        </w:tc>
      </w:tr>
      <w:tr>
        <w:trPr>
          <w:trHeight w:val="149"/>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u w:val="single" w:color="auto"/>
                <w:color w:val="auto"/>
                <w:w w:val="96"/>
              </w:rPr>
              <w:t>$</w:t>
            </w:r>
            <w:r>
              <w:rPr>
                <w:rFonts w:ascii="Times New Roman" w:cs="Times New Roman" w:eastAsia="Times New Roman" w:hAnsi="Times New Roman"/>
                <w:sz w:val="12"/>
                <w:szCs w:val="12"/>
                <w:color w:val="auto"/>
                <w:w w:val="96"/>
              </w:rPr>
              <w:t>9,150</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(7,613</w:t>
            </w:r>
          </w:p>
        </w:tc>
        <w:tc>
          <w:tcPr>
            <w:tcW w:w="24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1,537</w:t>
            </w:r>
          </w:p>
        </w:tc>
        <w:tc>
          <w:tcPr>
            <w:tcW w:w="40" w:type="dxa"/>
            <w:vAlign w:val="bottom"/>
          </w:tcPr>
          <w:p>
            <w:pPr>
              <w:spacing w:after="0"/>
              <w:rPr>
                <w:sz w:val="12"/>
                <w:szCs w:val="12"/>
                <w:color w:val="auto"/>
              </w:rPr>
            </w:pPr>
          </w:p>
        </w:tc>
      </w:tr>
    </w:tbl>
    <w:p>
      <w:pPr>
        <w:spacing w:after="0" w:line="142" w:lineRule="exact"/>
        <w:rPr>
          <w:sz w:val="20"/>
          <w:szCs w:val="20"/>
          <w:color w:val="auto"/>
        </w:rPr>
      </w:pPr>
    </w:p>
    <w:p>
      <w:pPr>
        <w:ind w:left="840" w:right="959" w:firstLine="294"/>
        <w:spacing w:after="0" w:line="279" w:lineRule="auto"/>
        <w:rPr>
          <w:sz w:val="20"/>
          <w:szCs w:val="20"/>
          <w:color w:val="auto"/>
        </w:rPr>
      </w:pPr>
      <w:r>
        <w:rPr>
          <w:rFonts w:ascii="Times New Roman" w:cs="Times New Roman" w:eastAsia="Times New Roman" w:hAnsi="Times New Roman"/>
          <w:sz w:val="12"/>
          <w:szCs w:val="12"/>
          <w:color w:val="auto"/>
        </w:rPr>
        <w:t>Aggregate amortization expenses for intangible assets totaled $142 thousand and $164 thousand for the three months ended March 31, 2024 and 2023, respectively.</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9019"/>
          </w:cols>
          <w:pgMar w:left="1440" w:top="242" w:right="1440" w:bottom="1440" w:gutter="0" w:footer="0" w:header="0"/>
        </w:sectPr>
      </w:pPr>
    </w:p>
    <w:bookmarkStart w:id="11" w:name="page12"/>
    <w:bookmarkEnd w:id="11"/>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5. Accrued Expenses</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Accrued expenses as of March 31, 2024 and December 31, 2023 are comprised of the following (in thousands):</w:t>
      </w:r>
    </w:p>
    <w:p>
      <w:pPr>
        <w:spacing w:after="0" w:line="146"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6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15"/>
        </w:trPr>
        <w:tc>
          <w:tcPr>
            <w:tcW w:w="4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4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10"/>
                <w:szCs w:val="10"/>
                <w:color w:val="auto"/>
              </w:rPr>
            </w:pPr>
          </w:p>
        </w:tc>
      </w:tr>
      <w:tr>
        <w:trPr>
          <w:trHeight w:val="133"/>
        </w:trPr>
        <w:tc>
          <w:tcPr>
            <w:tcW w:w="4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Payroll, benefits and related taxes, excluding severance benefits</w:t>
            </w: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5,259</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5,947</w:t>
            </w:r>
          </w:p>
        </w:tc>
        <w:tc>
          <w:tcPr>
            <w:tcW w:w="40" w:type="dxa"/>
            <w:vAlign w:val="bottom"/>
            <w:shd w:val="clear" w:color="auto" w:fill="CCEEFF"/>
          </w:tcPr>
          <w:p>
            <w:pPr>
              <w:spacing w:after="0"/>
              <w:rPr>
                <w:sz w:val="11"/>
                <w:szCs w:val="11"/>
                <w:color w:val="auto"/>
              </w:rPr>
            </w:pPr>
          </w:p>
        </w:tc>
      </w:tr>
      <w:tr>
        <w:trPr>
          <w:trHeight w:val="144"/>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Withholding tax attributable to intercompany interest income</w:t>
            </w:r>
          </w:p>
        </w:tc>
        <w:tc>
          <w:tcPr>
            <w:tcW w:w="80" w:type="dxa"/>
            <w:vAlign w:val="bottom"/>
          </w:tcPr>
          <w:p>
            <w:pPr>
              <w:spacing w:after="0"/>
              <w:rPr>
                <w:sz w:val="12"/>
                <w:szCs w:val="12"/>
                <w:color w:val="auto"/>
              </w:rPr>
            </w:pPr>
          </w:p>
        </w:tc>
        <w:tc>
          <w:tcPr>
            <w:tcW w:w="7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355</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1,671</w:t>
            </w:r>
          </w:p>
        </w:tc>
      </w:tr>
      <w:tr>
        <w:trPr>
          <w:trHeight w:val="14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Outside service fees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1,451</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1,953</w:t>
            </w:r>
          </w:p>
        </w:tc>
      </w:tr>
      <w:tr>
        <w:trPr>
          <w:trHeight w:val="144"/>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Others</w:t>
            </w:r>
          </w:p>
        </w:tc>
        <w:tc>
          <w:tcPr>
            <w:tcW w:w="80" w:type="dxa"/>
            <w:vAlign w:val="bottom"/>
          </w:tcPr>
          <w:p>
            <w:pPr>
              <w:spacing w:after="0"/>
              <w:rPr>
                <w:sz w:val="12"/>
                <w:szCs w:val="12"/>
                <w:color w:val="auto"/>
              </w:rPr>
            </w:pPr>
          </w:p>
        </w:tc>
        <w:tc>
          <w:tcPr>
            <w:tcW w:w="7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886</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886</w:t>
            </w:r>
          </w:p>
        </w:tc>
      </w:tr>
      <w:tr>
        <w:trPr>
          <w:trHeight w:val="20"/>
        </w:trPr>
        <w:tc>
          <w:tcPr>
            <w:tcW w:w="4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expenses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7,951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10,457</w:t>
            </w:r>
          </w:p>
        </w:tc>
      </w:tr>
      <w:tr>
        <w:trPr>
          <w:trHeight w:val="27"/>
        </w:trPr>
        <w:tc>
          <w:tcPr>
            <w:tcW w:w="4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6. Derivative Financial Instruments</w:t>
      </w:r>
    </w:p>
    <w:p>
      <w:pPr>
        <w:spacing w:after="0" w:line="82" w:lineRule="exact"/>
        <w:rPr>
          <w:sz w:val="20"/>
          <w:szCs w:val="20"/>
          <w:color w:val="auto"/>
        </w:rPr>
      </w:pPr>
    </w:p>
    <w:p>
      <w:pPr>
        <w:jc w:val="both"/>
        <w:ind w:left="840" w:right="879" w:firstLine="294"/>
        <w:spacing w:after="0" w:line="279" w:lineRule="auto"/>
        <w:rPr>
          <w:sz w:val="20"/>
          <w:szCs w:val="20"/>
          <w:color w:val="auto"/>
        </w:rPr>
      </w:pPr>
      <w:r>
        <w:rPr>
          <w:rFonts w:ascii="Times New Roman" w:cs="Times New Roman" w:eastAsia="Times New Roman" w:hAnsi="Times New Roman"/>
          <w:sz w:val="12"/>
          <w:szCs w:val="12"/>
          <w:color w:val="auto"/>
        </w:rPr>
        <w:t>The Company’s Korean subsidiary, Magnachip Semiconductor, Ltd., from time to time has entered into zero cost collar contracts to hedge the risk of changes in the functional-currency-equivalent cash flows attributable to currency rate changes on U.S. dollar denominated revenues.</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Details of the zero cost collar contracts as of March 31, 2024 are as follows (in thousands):</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135"/>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3"/>
              </w:rPr>
              <w:t>Date of transaction</w:t>
            </w:r>
          </w:p>
        </w:tc>
        <w:tc>
          <w:tcPr>
            <w:tcW w:w="1540" w:type="dxa"/>
            <w:vAlign w:val="bottom"/>
          </w:tcPr>
          <w:p>
            <w:pPr>
              <w:spacing w:after="0"/>
              <w:rPr>
                <w:sz w:val="11"/>
                <w:szCs w:val="11"/>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Total notional amount</w:t>
            </w:r>
          </w:p>
        </w:tc>
        <w:tc>
          <w:tcPr>
            <w:tcW w:w="1960" w:type="dxa"/>
            <w:vAlign w:val="bottom"/>
          </w:tcPr>
          <w:p>
            <w:pPr>
              <w:ind w:left="560"/>
              <w:spacing w:after="0"/>
              <w:rPr>
                <w:sz w:val="20"/>
                <w:szCs w:val="20"/>
                <w:color w:val="auto"/>
              </w:rPr>
            </w:pPr>
            <w:r>
              <w:rPr>
                <w:rFonts w:ascii="Times New Roman" w:cs="Times New Roman" w:eastAsia="Times New Roman" w:hAnsi="Times New Roman"/>
                <w:sz w:val="10"/>
                <w:szCs w:val="10"/>
                <w:b w:val="1"/>
                <w:bCs w:val="1"/>
                <w:color w:val="auto"/>
              </w:rPr>
              <w:t>Month of settlement</w:t>
            </w:r>
          </w:p>
        </w:tc>
      </w:tr>
      <w:tr>
        <w:trPr>
          <w:trHeight w:val="122"/>
        </w:trPr>
        <w:tc>
          <w:tcPr>
            <w:tcW w:w="232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April 03, 2023</w:t>
            </w:r>
          </w:p>
        </w:tc>
        <w:tc>
          <w:tcPr>
            <w:tcW w:w="3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9,000</w:t>
            </w:r>
          </w:p>
        </w:tc>
        <w:tc>
          <w:tcPr>
            <w:tcW w:w="400" w:type="dxa"/>
            <w:vAlign w:val="bottom"/>
            <w:tcBorders>
              <w:top w:val="single" w:sz="8" w:color="CCEEFF"/>
            </w:tcBorders>
            <w:shd w:val="clear" w:color="auto" w:fill="CCEEFF"/>
          </w:tcPr>
          <w:p>
            <w:pPr>
              <w:spacing w:after="0"/>
              <w:rPr>
                <w:sz w:val="10"/>
                <w:szCs w:val="10"/>
                <w:color w:val="auto"/>
              </w:rPr>
            </w:pPr>
          </w:p>
        </w:tc>
        <w:tc>
          <w:tcPr>
            <w:tcW w:w="1960" w:type="dxa"/>
            <w:vAlign w:val="bottom"/>
            <w:tcBorders>
              <w:top w:val="single" w:sz="8" w:color="auto"/>
            </w:tcBorders>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April 2024 to June 2024</w:t>
            </w:r>
          </w:p>
        </w:tc>
      </w:tr>
      <w:tr>
        <w:trPr>
          <w:trHeight w:val="155"/>
        </w:trPr>
        <w:tc>
          <w:tcPr>
            <w:tcW w:w="2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August 09, 2023</w:t>
            </w: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18,000</w:t>
            </w:r>
          </w:p>
        </w:tc>
        <w:tc>
          <w:tcPr>
            <w:tcW w:w="1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April 2024 to September 2024</w:t>
            </w:r>
          </w:p>
        </w:tc>
      </w:tr>
    </w:tbl>
    <w:p>
      <w:pPr>
        <w:spacing w:after="0" w:line="1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Details of the zero cost collar contracts as of December 31, 2023 are as follows (in thousands):</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135"/>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3"/>
              </w:rPr>
              <w:t>Date of transaction</w:t>
            </w:r>
          </w:p>
        </w:tc>
        <w:tc>
          <w:tcPr>
            <w:tcW w:w="1520" w:type="dxa"/>
            <w:vAlign w:val="bottom"/>
          </w:tcPr>
          <w:p>
            <w:pPr>
              <w:spacing w:after="0"/>
              <w:rPr>
                <w:sz w:val="11"/>
                <w:szCs w:val="11"/>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Total notional amount</w:t>
            </w:r>
          </w:p>
        </w:tc>
        <w:tc>
          <w:tcPr>
            <w:tcW w:w="1960" w:type="dxa"/>
            <w:vAlign w:val="bottom"/>
          </w:tcPr>
          <w:p>
            <w:pPr>
              <w:ind w:left="560"/>
              <w:spacing w:after="0"/>
              <w:rPr>
                <w:sz w:val="20"/>
                <w:szCs w:val="20"/>
                <w:color w:val="auto"/>
              </w:rPr>
            </w:pPr>
            <w:r>
              <w:rPr>
                <w:rFonts w:ascii="Times New Roman" w:cs="Times New Roman" w:eastAsia="Times New Roman" w:hAnsi="Times New Roman"/>
                <w:sz w:val="10"/>
                <w:szCs w:val="10"/>
                <w:b w:val="1"/>
                <w:bCs w:val="1"/>
                <w:color w:val="auto"/>
              </w:rPr>
              <w:t>Month of settlement</w:t>
            </w:r>
          </w:p>
        </w:tc>
      </w:tr>
      <w:tr>
        <w:trPr>
          <w:trHeight w:val="122"/>
        </w:trPr>
        <w:tc>
          <w:tcPr>
            <w:tcW w:w="230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April 03, 2023</w:t>
            </w:r>
          </w:p>
        </w:tc>
        <w:tc>
          <w:tcPr>
            <w:tcW w:w="3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18,000</w:t>
            </w:r>
          </w:p>
        </w:tc>
        <w:tc>
          <w:tcPr>
            <w:tcW w:w="400" w:type="dxa"/>
            <w:vAlign w:val="bottom"/>
            <w:tcBorders>
              <w:top w:val="single" w:sz="8" w:color="CCEEFF"/>
            </w:tcBorders>
            <w:shd w:val="clear" w:color="auto" w:fill="CCEEFF"/>
          </w:tcPr>
          <w:p>
            <w:pPr>
              <w:spacing w:after="0"/>
              <w:rPr>
                <w:sz w:val="10"/>
                <w:szCs w:val="10"/>
                <w:color w:val="auto"/>
              </w:rPr>
            </w:pPr>
          </w:p>
        </w:tc>
        <w:tc>
          <w:tcPr>
            <w:tcW w:w="19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January 2024 to June 2024</w:t>
            </w:r>
          </w:p>
        </w:tc>
      </w:tr>
      <w:tr>
        <w:trPr>
          <w:trHeight w:val="155"/>
        </w:trPr>
        <w:tc>
          <w:tcPr>
            <w:tcW w:w="2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August 09, 2023</w:t>
            </w:r>
          </w:p>
        </w:tc>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27,000</w:t>
            </w:r>
          </w:p>
        </w:tc>
        <w:tc>
          <w:tcPr>
            <w:tcW w:w="1960" w:type="dxa"/>
            <w:vAlign w:val="bottom"/>
          </w:tcPr>
          <w:p>
            <w:pPr>
              <w:spacing w:after="0"/>
              <w:rPr>
                <w:sz w:val="20"/>
                <w:szCs w:val="20"/>
                <w:color w:val="auto"/>
              </w:rPr>
            </w:pPr>
            <w:r>
              <w:rPr>
                <w:rFonts w:ascii="Times New Roman" w:cs="Times New Roman" w:eastAsia="Times New Roman" w:hAnsi="Times New Roman"/>
                <w:sz w:val="12"/>
                <w:szCs w:val="12"/>
                <w:color w:val="auto"/>
              </w:rPr>
              <w:t>January 2024 to September 2024</w:t>
            </w:r>
          </w:p>
        </w:tc>
      </w:tr>
    </w:tbl>
    <w:p>
      <w:pPr>
        <w:spacing w:after="0" w:line="122" w:lineRule="exact"/>
        <w:rPr>
          <w:sz w:val="20"/>
          <w:szCs w:val="20"/>
          <w:color w:val="auto"/>
        </w:rPr>
      </w:pPr>
    </w:p>
    <w:p>
      <w:pPr>
        <w:jc w:val="both"/>
        <w:ind w:left="840" w:right="879" w:firstLine="294"/>
        <w:spacing w:after="0" w:line="265" w:lineRule="auto"/>
        <w:rPr>
          <w:sz w:val="20"/>
          <w:szCs w:val="20"/>
          <w:color w:val="auto"/>
        </w:rPr>
      </w:pPr>
      <w:r>
        <w:rPr>
          <w:rFonts w:ascii="Times New Roman" w:cs="Times New Roman" w:eastAsia="Times New Roman" w:hAnsi="Times New Roman"/>
          <w:sz w:val="12"/>
          <w:szCs w:val="12"/>
          <w:color w:val="auto"/>
        </w:rPr>
        <w:t>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19" w:lineRule="exact"/>
        <w:rPr>
          <w:sz w:val="20"/>
          <w:szCs w:val="20"/>
          <w:color w:val="auto"/>
        </w:rPr>
      </w:pPr>
    </w:p>
    <w:p>
      <w:pPr>
        <w:ind w:left="840" w:right="939" w:firstLine="294"/>
        <w:spacing w:after="0" w:line="279" w:lineRule="auto"/>
        <w:rPr>
          <w:sz w:val="20"/>
          <w:szCs w:val="20"/>
          <w:color w:val="auto"/>
        </w:rPr>
      </w:pPr>
      <w:r>
        <w:rPr>
          <w:rFonts w:ascii="Times New Roman" w:cs="Times New Roman" w:eastAsia="Times New Roman" w:hAnsi="Times New Roman"/>
          <w:sz w:val="12"/>
          <w:szCs w:val="12"/>
          <w:color w:val="auto"/>
        </w:rPr>
        <w:t>The fair values of the Company’s outstanding zero cost collar contracts recorded as assets and liabilities as of March 31, 2024 and December 31, 2023 are as follows (in thousands):</w:t>
      </w:r>
    </w:p>
    <w:p>
      <w:pPr>
        <w:spacing w:after="0" w:line="108"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19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Derivatives designated as hedging instruments:</w:t>
            </w:r>
          </w:p>
        </w:tc>
        <w:tc>
          <w:tcPr>
            <w:tcW w:w="2340" w:type="dxa"/>
            <w:vAlign w:val="bottom"/>
          </w:tcPr>
          <w:p>
            <w:pPr>
              <w:spacing w:after="0"/>
              <w:rPr>
                <w:sz w:val="10"/>
                <w:szCs w:val="10"/>
                <w:color w:val="auto"/>
              </w:rPr>
            </w:pPr>
          </w:p>
        </w:tc>
        <w:tc>
          <w:tcPr>
            <w:tcW w:w="980" w:type="dxa"/>
            <w:vAlign w:val="bottom"/>
            <w:gridSpan w:val="3"/>
          </w:tcPr>
          <w:p>
            <w:pPr>
              <w:ind w:left="54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920" w:type="dxa"/>
            <w:vAlign w:val="bottom"/>
            <w:gridSpan w:val="4"/>
          </w:tcPr>
          <w:p>
            <w:pPr>
              <w:ind w:left="320"/>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126"/>
        </w:trPr>
        <w:tc>
          <w:tcPr>
            <w:tcW w:w="1940" w:type="dxa"/>
            <w:vAlign w:val="bottom"/>
            <w:tcBorders>
              <w:bottom w:val="single" w:sz="8" w:color="auto"/>
            </w:tcBorders>
            <w:vMerge w:val="continue"/>
          </w:tcPr>
          <w:p>
            <w:pPr>
              <w:spacing w:after="0"/>
              <w:rPr>
                <w:sz w:val="10"/>
                <w:szCs w:val="10"/>
                <w:color w:val="auto"/>
              </w:rPr>
            </w:pPr>
          </w:p>
        </w:tc>
        <w:tc>
          <w:tcPr>
            <w:tcW w:w="2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ind w:right="64"/>
              <w:spacing w:after="0" w:line="107" w:lineRule="exact"/>
              <w:rPr>
                <w:sz w:val="20"/>
                <w:szCs w:val="20"/>
                <w:color w:val="auto"/>
              </w:rPr>
            </w:pPr>
            <w:r>
              <w:rPr>
                <w:rFonts w:ascii="Times New Roman" w:cs="Times New Roman" w:eastAsia="Times New Roman" w:hAnsi="Times New Roman"/>
                <w:sz w:val="10"/>
                <w:szCs w:val="10"/>
                <w:b w:val="1"/>
                <w:bCs w:val="1"/>
                <w:color w:val="auto"/>
                <w:w w:val="99"/>
              </w:rPr>
              <w:t>2024</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44"/>
              <w:spacing w:after="0" w:line="107" w:lineRule="exact"/>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4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Asset Derivatives:</w:t>
            </w:r>
          </w:p>
        </w:tc>
        <w:tc>
          <w:tcPr>
            <w:tcW w:w="23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Zero cost collars</w:t>
            </w:r>
          </w:p>
        </w:tc>
        <w:tc>
          <w:tcPr>
            <w:tcW w:w="23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Other current assets</w:t>
            </w:r>
          </w:p>
        </w:tc>
        <w:tc>
          <w:tcPr>
            <w:tcW w:w="64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2"/>
                <w:szCs w:val="12"/>
                <w:color w:val="auto"/>
                <w:w w:val="99"/>
              </w:rPr>
              <w:t>— </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Liability Derivatives:</w:t>
            </w:r>
          </w:p>
        </w:tc>
        <w:tc>
          <w:tcPr>
            <w:tcW w:w="2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Zero cost collars</w:t>
            </w:r>
          </w:p>
        </w:tc>
        <w:tc>
          <w:tcPr>
            <w:tcW w:w="23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64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2"/>
                <w:szCs w:val="12"/>
                <w:color w:val="auto"/>
                <w:w w:val="99"/>
              </w:rPr>
              <w:t>397</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Offsetting of derivative liabilities as of March 31, 2024 is as follows (in thousands):</w:t>
      </w:r>
    </w:p>
    <w:p>
      <w:pPr>
        <w:spacing w:after="0" w:line="154"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8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5"/>
              </w:rPr>
              <w:t>Gross amounts of</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Gross amounts</w:t>
            </w: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Net amounts of</w:t>
            </w:r>
          </w:p>
        </w:tc>
        <w:tc>
          <w:tcPr>
            <w:tcW w:w="140" w:type="dxa"/>
            <w:vAlign w:val="bottom"/>
          </w:tcPr>
          <w:p>
            <w:pPr>
              <w:spacing w:after="0"/>
              <w:rPr>
                <w:sz w:val="9"/>
                <w:szCs w:val="9"/>
                <w:color w:val="auto"/>
              </w:rPr>
            </w:pPr>
          </w:p>
        </w:tc>
        <w:tc>
          <w:tcPr>
            <w:tcW w:w="1080" w:type="dxa"/>
            <w:vAlign w:val="bottom"/>
            <w:gridSpan w:val="3"/>
          </w:tcPr>
          <w:p>
            <w:pPr>
              <w:jc w:val="center"/>
              <w:ind w:left="8"/>
              <w:spacing w:after="0"/>
              <w:rPr>
                <w:sz w:val="20"/>
                <w:szCs w:val="20"/>
                <w:color w:val="auto"/>
              </w:rPr>
            </w:pPr>
            <w:r>
              <w:rPr>
                <w:rFonts w:ascii="Times New Roman" w:cs="Times New Roman" w:eastAsia="Times New Roman" w:hAnsi="Times New Roman"/>
                <w:sz w:val="10"/>
                <w:szCs w:val="10"/>
                <w:b w:val="1"/>
                <w:bCs w:val="1"/>
                <w:color w:val="auto"/>
                <w:w w:val="95"/>
              </w:rPr>
              <w:t>Gross amounts not offset</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jc w:val="center"/>
              <w:ind w:right="400"/>
              <w:spacing w:after="0" w:line="108" w:lineRule="exact"/>
              <w:rPr>
                <w:sz w:val="20"/>
                <w:szCs w:val="20"/>
                <w:color w:val="auto"/>
              </w:rPr>
            </w:pPr>
            <w:r>
              <w:rPr>
                <w:rFonts w:ascii="Times New Roman" w:cs="Times New Roman" w:eastAsia="Times New Roman" w:hAnsi="Times New Roman"/>
                <w:sz w:val="10"/>
                <w:szCs w:val="10"/>
                <w:b w:val="1"/>
                <w:bCs w:val="1"/>
                <w:color w:val="auto"/>
                <w:w w:val="92"/>
              </w:rPr>
              <w:t>liabilities</w:t>
            </w: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3"/>
          </w:tcPr>
          <w:p>
            <w:pPr>
              <w:jc w:val="center"/>
              <w:ind w:left="28"/>
              <w:spacing w:after="0" w:line="108" w:lineRule="exact"/>
              <w:rPr>
                <w:sz w:val="20"/>
                <w:szCs w:val="20"/>
                <w:color w:val="auto"/>
              </w:rPr>
            </w:pPr>
            <w:r>
              <w:rPr>
                <w:rFonts w:ascii="Times New Roman" w:cs="Times New Roman" w:eastAsia="Times New Roman" w:hAnsi="Times New Roman"/>
                <w:sz w:val="10"/>
                <w:szCs w:val="10"/>
                <w:b w:val="1"/>
                <w:bCs w:val="1"/>
                <w:color w:val="auto"/>
                <w:w w:val="95"/>
              </w:rPr>
              <w:t>in the balance sheets</w:t>
            </w:r>
          </w:p>
        </w:tc>
        <w:tc>
          <w:tcPr>
            <w:tcW w:w="2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As of March 31, 2024</w:t>
            </w:r>
          </w:p>
        </w:tc>
        <w:tc>
          <w:tcPr>
            <w:tcW w:w="100" w:type="dxa"/>
            <w:vAlign w:val="bottom"/>
          </w:tcPr>
          <w:p>
            <w:pPr>
              <w:spacing w:after="0"/>
              <w:rPr>
                <w:sz w:val="6"/>
                <w:szCs w:val="6"/>
                <w:color w:val="auto"/>
              </w:rPr>
            </w:pPr>
          </w:p>
        </w:tc>
        <w:tc>
          <w:tcPr>
            <w:tcW w:w="920" w:type="dxa"/>
            <w:vAlign w:val="bottom"/>
            <w:gridSpan w:val="2"/>
          </w:tcPr>
          <w:p>
            <w:pPr>
              <w:jc w:val="center"/>
              <w:ind w:right="400"/>
              <w:spacing w:after="0" w:line="72" w:lineRule="exact"/>
              <w:rPr>
                <w:sz w:val="20"/>
                <w:szCs w:val="20"/>
                <w:color w:val="auto"/>
              </w:rPr>
            </w:pPr>
            <w:r>
              <w:rPr>
                <w:rFonts w:ascii="Times New Roman" w:cs="Times New Roman" w:eastAsia="Times New Roman" w:hAnsi="Times New Roman"/>
                <w:sz w:val="8"/>
                <w:szCs w:val="8"/>
                <w:b w:val="1"/>
                <w:bCs w:val="1"/>
                <w:color w:val="auto"/>
              </w:rPr>
              <w:t>recognized</w:t>
            </w:r>
          </w:p>
        </w:tc>
        <w:tc>
          <w:tcPr>
            <w:tcW w:w="60" w:type="dxa"/>
            <w:vAlign w:val="bottom"/>
          </w:tcPr>
          <w:p>
            <w:pPr>
              <w:spacing w:after="0"/>
              <w:rPr>
                <w:sz w:val="6"/>
                <w:szCs w:val="6"/>
                <w:color w:val="auto"/>
              </w:rPr>
            </w:pPr>
          </w:p>
        </w:tc>
        <w:tc>
          <w:tcPr>
            <w:tcW w:w="840" w:type="dxa"/>
            <w:vAlign w:val="bottom"/>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offset in the</w:t>
            </w:r>
          </w:p>
        </w:tc>
        <w:tc>
          <w:tcPr>
            <w:tcW w:w="960" w:type="dxa"/>
            <w:vAlign w:val="bottom"/>
            <w:gridSpan w:val="3"/>
          </w:tcPr>
          <w:p>
            <w:pPr>
              <w:jc w:val="center"/>
              <w:ind w:right="280"/>
              <w:spacing w:after="0" w:line="72" w:lineRule="exact"/>
              <w:rPr>
                <w:sz w:val="20"/>
                <w:szCs w:val="20"/>
                <w:color w:val="auto"/>
              </w:rPr>
            </w:pPr>
            <w:r>
              <w:rPr>
                <w:rFonts w:ascii="Times New Roman" w:cs="Times New Roman" w:eastAsia="Times New Roman" w:hAnsi="Times New Roman"/>
                <w:sz w:val="8"/>
                <w:szCs w:val="8"/>
                <w:b w:val="1"/>
                <w:bCs w:val="1"/>
                <w:color w:val="auto"/>
              </w:rPr>
              <w:t>presented in the</w:t>
            </w:r>
          </w:p>
        </w:tc>
        <w:tc>
          <w:tcPr>
            <w:tcW w:w="800" w:type="dxa"/>
            <w:vAlign w:val="bottom"/>
            <w:gridSpan w:val="3"/>
          </w:tcPr>
          <w:p>
            <w:pPr>
              <w:ind w:left="60"/>
              <w:spacing w:after="0" w:line="72" w:lineRule="exact"/>
              <w:rPr>
                <w:sz w:val="20"/>
                <w:szCs w:val="20"/>
                <w:color w:val="auto"/>
              </w:rPr>
            </w:pPr>
            <w:r>
              <w:rPr>
                <w:rFonts w:ascii="Times New Roman" w:cs="Times New Roman" w:eastAsia="Times New Roman" w:hAnsi="Times New Roman"/>
                <w:sz w:val="8"/>
                <w:szCs w:val="8"/>
                <w:b w:val="1"/>
                <w:bCs w:val="1"/>
                <w:color w:val="auto"/>
              </w:rPr>
              <w:t>Financial</w:t>
            </w:r>
          </w:p>
        </w:tc>
        <w:tc>
          <w:tcPr>
            <w:tcW w:w="620" w:type="dxa"/>
            <w:vAlign w:val="bottom"/>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Cash collateral</w:t>
            </w:r>
          </w:p>
        </w:tc>
        <w:tc>
          <w:tcPr>
            <w:tcW w:w="300" w:type="dxa"/>
            <w:vAlign w:val="bottom"/>
          </w:tcPr>
          <w:p>
            <w:pPr>
              <w:spacing w:after="0"/>
              <w:rPr>
                <w:sz w:val="6"/>
                <w:szCs w:val="6"/>
                <w:color w:val="auto"/>
              </w:rPr>
            </w:pPr>
          </w:p>
        </w:tc>
        <w:tc>
          <w:tcPr>
            <w:tcW w:w="5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1"/>
              </w:rPr>
              <w:t>Net amount</w:t>
            </w:r>
          </w:p>
        </w:tc>
        <w:tc>
          <w:tcPr>
            <w:tcW w:w="0" w:type="dxa"/>
            <w:vAlign w:val="bottom"/>
          </w:tcPr>
          <w:p>
            <w:pPr>
              <w:spacing w:after="0"/>
              <w:rPr>
                <w:sz w:val="1"/>
                <w:szCs w:val="1"/>
                <w:color w:val="auto"/>
              </w:rPr>
            </w:pPr>
          </w:p>
        </w:tc>
      </w:tr>
      <w:tr>
        <w:trPr>
          <w:trHeight w:val="106"/>
        </w:trPr>
        <w:tc>
          <w:tcPr>
            <w:tcW w:w="2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420"/>
              <w:spacing w:after="0" w:line="107" w:lineRule="exact"/>
              <w:rPr>
                <w:sz w:val="20"/>
                <w:szCs w:val="20"/>
                <w:color w:val="auto"/>
              </w:rPr>
            </w:pPr>
            <w:r>
              <w:rPr>
                <w:rFonts w:ascii="Times New Roman" w:cs="Times New Roman" w:eastAsia="Times New Roman" w:hAnsi="Times New Roman"/>
                <w:sz w:val="10"/>
                <w:szCs w:val="10"/>
                <w:b w:val="1"/>
                <w:bCs w:val="1"/>
                <w:color w:val="auto"/>
                <w:w w:val="97"/>
              </w:rPr>
              <w:t>liabilities</w:t>
            </w:r>
          </w:p>
        </w:tc>
        <w:tc>
          <w:tcPr>
            <w:tcW w:w="900" w:type="dxa"/>
            <w:vAlign w:val="bottom"/>
            <w:gridSpan w:val="3"/>
          </w:tcPr>
          <w:p>
            <w:pPr>
              <w:ind w:left="20"/>
              <w:spacing w:after="0" w:line="107" w:lineRule="exact"/>
              <w:rPr>
                <w:sz w:val="20"/>
                <w:szCs w:val="20"/>
                <w:color w:val="auto"/>
              </w:rPr>
            </w:pPr>
            <w:r>
              <w:rPr>
                <w:rFonts w:ascii="Times New Roman" w:cs="Times New Roman" w:eastAsia="Times New Roman" w:hAnsi="Times New Roman"/>
                <w:sz w:val="10"/>
                <w:szCs w:val="10"/>
                <w:b w:val="1"/>
                <w:bCs w:val="1"/>
                <w:color w:val="auto"/>
              </w:rPr>
              <w:t>balance sheets</w:t>
            </w:r>
          </w:p>
        </w:tc>
        <w:tc>
          <w:tcPr>
            <w:tcW w:w="960" w:type="dxa"/>
            <w:vAlign w:val="bottom"/>
            <w:gridSpan w:val="3"/>
          </w:tcPr>
          <w:p>
            <w:pPr>
              <w:jc w:val="center"/>
              <w:ind w:right="280"/>
              <w:spacing w:after="0" w:line="107" w:lineRule="exact"/>
              <w:rPr>
                <w:sz w:val="20"/>
                <w:szCs w:val="20"/>
                <w:color w:val="auto"/>
              </w:rPr>
            </w:pPr>
            <w:r>
              <w:rPr>
                <w:rFonts w:ascii="Times New Roman" w:cs="Times New Roman" w:eastAsia="Times New Roman" w:hAnsi="Times New Roman"/>
                <w:sz w:val="10"/>
                <w:szCs w:val="10"/>
                <w:b w:val="1"/>
                <w:bCs w:val="1"/>
                <w:color w:val="auto"/>
                <w:w w:val="98"/>
              </w:rPr>
              <w:t>balance sheets</w:t>
            </w:r>
          </w:p>
        </w:tc>
        <w:tc>
          <w:tcPr>
            <w:tcW w:w="800" w:type="dxa"/>
            <w:vAlign w:val="bottom"/>
            <w:gridSpan w:val="3"/>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instruments</w:t>
            </w:r>
          </w:p>
        </w:tc>
        <w:tc>
          <w:tcPr>
            <w:tcW w:w="620" w:type="dxa"/>
            <w:vAlign w:val="bottom"/>
            <w:gridSpan w:val="2"/>
          </w:tcPr>
          <w:p>
            <w:pPr>
              <w:ind w:left="140"/>
              <w:spacing w:after="0" w:line="107" w:lineRule="exact"/>
              <w:rPr>
                <w:sz w:val="20"/>
                <w:szCs w:val="20"/>
                <w:color w:val="auto"/>
              </w:rPr>
            </w:pPr>
            <w:r>
              <w:rPr>
                <w:rFonts w:ascii="Times New Roman" w:cs="Times New Roman" w:eastAsia="Times New Roman" w:hAnsi="Times New Roman"/>
                <w:sz w:val="10"/>
                <w:szCs w:val="10"/>
                <w:b w:val="1"/>
                <w:bCs w:val="1"/>
                <w:color w:val="auto"/>
              </w:rPr>
              <w:t>pledged</w:t>
            </w:r>
          </w:p>
        </w:tc>
        <w:tc>
          <w:tcPr>
            <w:tcW w:w="300" w:type="dxa"/>
            <w:vAlign w:val="bottom"/>
          </w:tcPr>
          <w:p>
            <w:pPr>
              <w:spacing w:after="0"/>
              <w:rPr>
                <w:sz w:val="9"/>
                <w:szCs w:val="9"/>
                <w:color w:val="auto"/>
              </w:rPr>
            </w:pPr>
          </w:p>
        </w:tc>
        <w:tc>
          <w:tcPr>
            <w:tcW w:w="5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CCEEFF"/>
            </w:tcBorders>
            <w:shd w:val="clear" w:color="auto" w:fill="000000"/>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22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Liability Derivatives:</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Zero cost collars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397</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397</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8"/>
              </w:rPr>
              <w:t>— </w:t>
            </w:r>
          </w:p>
        </w:tc>
        <w:tc>
          <w:tcPr>
            <w:tcW w:w="480" w:type="dxa"/>
            <w:vAlign w:val="bottom"/>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397</w:t>
            </w:r>
          </w:p>
        </w:tc>
        <w:tc>
          <w:tcPr>
            <w:tcW w:w="0" w:type="dxa"/>
            <w:vAlign w:val="bottom"/>
          </w:tcPr>
          <w:p>
            <w:pPr>
              <w:spacing w:after="0"/>
              <w:rPr>
                <w:sz w:val="1"/>
                <w:szCs w:val="1"/>
                <w:color w:val="auto"/>
              </w:rPr>
            </w:pPr>
          </w:p>
        </w:tc>
      </w:tr>
      <w:tr>
        <w:trPr>
          <w:trHeight w:val="232"/>
        </w:trPr>
        <w:tc>
          <w:tcPr>
            <w:tcW w:w="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2"/>
                <w:szCs w:val="12"/>
                <w:color w:val="auto"/>
              </w:rPr>
              <w:t>12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2" w:right="1440" w:bottom="1440" w:gutter="0" w:footer="0" w:header="0"/>
        </w:sectPr>
      </w:pPr>
    </w:p>
    <w:bookmarkStart w:id="12" w:name="page13"/>
    <w:bookmarkEnd w:id="12"/>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Offsetting of derivative assets and liabilities as of December 31, 2023 is as follows (in thousands):</w:t>
      </w:r>
    </w:p>
    <w:p>
      <w:pPr>
        <w:spacing w:after="0" w:line="154"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Gross amounts of</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Gross amounts</w:t>
            </w: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Net amounts of</w:t>
            </w:r>
          </w:p>
        </w:tc>
        <w:tc>
          <w:tcPr>
            <w:tcW w:w="140" w:type="dxa"/>
            <w:vAlign w:val="bottom"/>
          </w:tcPr>
          <w:p>
            <w:pPr>
              <w:spacing w:after="0"/>
              <w:rPr>
                <w:sz w:val="10"/>
                <w:szCs w:val="10"/>
                <w:color w:val="auto"/>
              </w:rPr>
            </w:pPr>
          </w:p>
        </w:tc>
        <w:tc>
          <w:tcPr>
            <w:tcW w:w="1080" w:type="dxa"/>
            <w:vAlign w:val="bottom"/>
            <w:gridSpan w:val="3"/>
          </w:tcPr>
          <w:p>
            <w:pPr>
              <w:jc w:val="center"/>
              <w:ind w:left="6"/>
              <w:spacing w:after="0"/>
              <w:rPr>
                <w:sz w:val="20"/>
                <w:szCs w:val="20"/>
                <w:color w:val="auto"/>
              </w:rPr>
            </w:pPr>
            <w:r>
              <w:rPr>
                <w:rFonts w:ascii="Times New Roman" w:cs="Times New Roman" w:eastAsia="Times New Roman" w:hAnsi="Times New Roman"/>
                <w:sz w:val="10"/>
                <w:szCs w:val="10"/>
                <w:b w:val="1"/>
                <w:bCs w:val="1"/>
                <w:color w:val="auto"/>
                <w:w w:val="95"/>
              </w:rPr>
              <w:t>Gross amounts not offset</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96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0"/>
                <w:szCs w:val="10"/>
                <w:b w:val="1"/>
                <w:bCs w:val="1"/>
                <w:color w:val="auto"/>
              </w:rPr>
              <w:t>assets/liabilities</w:t>
            </w: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3"/>
          </w:tcPr>
          <w:p>
            <w:pPr>
              <w:jc w:val="center"/>
              <w:ind w:left="26"/>
              <w:spacing w:after="0" w:line="108" w:lineRule="exact"/>
              <w:rPr>
                <w:sz w:val="20"/>
                <w:szCs w:val="20"/>
                <w:color w:val="auto"/>
              </w:rPr>
            </w:pPr>
            <w:r>
              <w:rPr>
                <w:rFonts w:ascii="Times New Roman" w:cs="Times New Roman" w:eastAsia="Times New Roman" w:hAnsi="Times New Roman"/>
                <w:sz w:val="10"/>
                <w:szCs w:val="10"/>
                <w:b w:val="1"/>
                <w:bCs w:val="1"/>
                <w:color w:val="auto"/>
                <w:w w:val="95"/>
              </w:rPr>
              <w:t>in the balance sheets</w:t>
            </w:r>
          </w:p>
        </w:tc>
        <w:tc>
          <w:tcPr>
            <w:tcW w:w="2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0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3"/>
              </w:rPr>
              <w:t>As of December 31, 2023</w:t>
            </w:r>
          </w:p>
        </w:tc>
        <w:tc>
          <w:tcPr>
            <w:tcW w:w="124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tcPr>
          <w:p>
            <w:pPr>
              <w:jc w:val="center"/>
              <w:ind w:right="380"/>
              <w:spacing w:after="0" w:line="72" w:lineRule="exact"/>
              <w:rPr>
                <w:sz w:val="20"/>
                <w:szCs w:val="20"/>
                <w:color w:val="auto"/>
              </w:rPr>
            </w:pPr>
            <w:r>
              <w:rPr>
                <w:rFonts w:ascii="Times New Roman" w:cs="Times New Roman" w:eastAsia="Times New Roman" w:hAnsi="Times New Roman"/>
                <w:sz w:val="8"/>
                <w:szCs w:val="8"/>
                <w:b w:val="1"/>
                <w:bCs w:val="1"/>
                <w:color w:val="auto"/>
              </w:rPr>
              <w:t>recognized</w:t>
            </w:r>
          </w:p>
        </w:tc>
        <w:tc>
          <w:tcPr>
            <w:tcW w:w="60" w:type="dxa"/>
            <w:vAlign w:val="bottom"/>
          </w:tcPr>
          <w:p>
            <w:pPr>
              <w:spacing w:after="0"/>
              <w:rPr>
                <w:sz w:val="6"/>
                <w:szCs w:val="6"/>
                <w:color w:val="auto"/>
              </w:rPr>
            </w:pPr>
          </w:p>
        </w:tc>
        <w:tc>
          <w:tcPr>
            <w:tcW w:w="840" w:type="dxa"/>
            <w:vAlign w:val="bottom"/>
            <w:gridSpan w:val="2"/>
          </w:tcPr>
          <w:p>
            <w:pPr>
              <w:jc w:val="center"/>
              <w:ind w:right="320"/>
              <w:spacing w:after="0" w:line="72" w:lineRule="exact"/>
              <w:rPr>
                <w:sz w:val="20"/>
                <w:szCs w:val="20"/>
                <w:color w:val="auto"/>
              </w:rPr>
            </w:pPr>
            <w:r>
              <w:rPr>
                <w:rFonts w:ascii="Times New Roman" w:cs="Times New Roman" w:eastAsia="Times New Roman" w:hAnsi="Times New Roman"/>
                <w:sz w:val="8"/>
                <w:szCs w:val="8"/>
                <w:b w:val="1"/>
                <w:bCs w:val="1"/>
                <w:color w:val="auto"/>
              </w:rPr>
              <w:t>offset in the</w:t>
            </w:r>
          </w:p>
        </w:tc>
        <w:tc>
          <w:tcPr>
            <w:tcW w:w="960" w:type="dxa"/>
            <w:vAlign w:val="bottom"/>
            <w:gridSpan w:val="3"/>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presented in the</w:t>
            </w:r>
          </w:p>
        </w:tc>
        <w:tc>
          <w:tcPr>
            <w:tcW w:w="800" w:type="dxa"/>
            <w:vAlign w:val="bottom"/>
            <w:gridSpan w:val="3"/>
          </w:tcPr>
          <w:p>
            <w:pPr>
              <w:ind w:left="60"/>
              <w:spacing w:after="0" w:line="72" w:lineRule="exact"/>
              <w:rPr>
                <w:sz w:val="20"/>
                <w:szCs w:val="20"/>
                <w:color w:val="auto"/>
              </w:rPr>
            </w:pPr>
            <w:r>
              <w:rPr>
                <w:rFonts w:ascii="Times New Roman" w:cs="Times New Roman" w:eastAsia="Times New Roman" w:hAnsi="Times New Roman"/>
                <w:sz w:val="8"/>
                <w:szCs w:val="8"/>
                <w:b w:val="1"/>
                <w:bCs w:val="1"/>
                <w:color w:val="auto"/>
              </w:rPr>
              <w:t>Financial</w:t>
            </w:r>
          </w:p>
        </w:tc>
        <w:tc>
          <w:tcPr>
            <w:tcW w:w="620" w:type="dxa"/>
            <w:vAlign w:val="bottom"/>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Cash collateral</w:t>
            </w:r>
          </w:p>
        </w:tc>
        <w:tc>
          <w:tcPr>
            <w:tcW w:w="300" w:type="dxa"/>
            <w:vAlign w:val="bottom"/>
          </w:tcPr>
          <w:p>
            <w:pPr>
              <w:spacing w:after="0"/>
              <w:rPr>
                <w:sz w:val="6"/>
                <w:szCs w:val="6"/>
                <w:color w:val="auto"/>
              </w:rPr>
            </w:pP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w w:val="99"/>
              </w:rPr>
              <w:t>Net amount</w:t>
            </w:r>
          </w:p>
        </w:tc>
        <w:tc>
          <w:tcPr>
            <w:tcW w:w="0" w:type="dxa"/>
            <w:vAlign w:val="bottom"/>
          </w:tcPr>
          <w:p>
            <w:pPr>
              <w:spacing w:after="0"/>
              <w:rPr>
                <w:sz w:val="1"/>
                <w:szCs w:val="1"/>
                <w:color w:val="auto"/>
              </w:rPr>
            </w:pPr>
          </w:p>
        </w:tc>
      </w:tr>
      <w:tr>
        <w:trPr>
          <w:trHeight w:val="126"/>
        </w:trPr>
        <w:tc>
          <w:tcPr>
            <w:tcW w:w="1000" w:type="dxa"/>
            <w:vAlign w:val="bottom"/>
            <w:tcBorders>
              <w:bottom w:val="single" w:sz="8" w:color="auto"/>
            </w:tcBorders>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00" w:type="dxa"/>
            <w:vAlign w:val="bottom"/>
            <w:gridSpan w:val="3"/>
          </w:tcPr>
          <w:p>
            <w:pPr>
              <w:jc w:val="center"/>
              <w:ind w:right="280"/>
              <w:spacing w:after="0" w:line="107" w:lineRule="exact"/>
              <w:rPr>
                <w:sz w:val="20"/>
                <w:szCs w:val="20"/>
                <w:color w:val="auto"/>
              </w:rPr>
            </w:pPr>
            <w:r>
              <w:rPr>
                <w:rFonts w:ascii="Times New Roman" w:cs="Times New Roman" w:eastAsia="Times New Roman" w:hAnsi="Times New Roman"/>
                <w:sz w:val="10"/>
                <w:szCs w:val="10"/>
                <w:b w:val="1"/>
                <w:bCs w:val="1"/>
                <w:color w:val="auto"/>
                <w:w w:val="96"/>
              </w:rPr>
              <w:t>assets/liabilities</w:t>
            </w:r>
          </w:p>
        </w:tc>
        <w:tc>
          <w:tcPr>
            <w:tcW w:w="900" w:type="dxa"/>
            <w:vAlign w:val="bottom"/>
            <w:gridSpan w:val="3"/>
          </w:tcPr>
          <w:p>
            <w:pPr>
              <w:jc w:val="center"/>
              <w:ind w:right="280"/>
              <w:spacing w:after="0" w:line="107" w:lineRule="exact"/>
              <w:rPr>
                <w:sz w:val="20"/>
                <w:szCs w:val="20"/>
                <w:color w:val="auto"/>
              </w:rPr>
            </w:pPr>
            <w:r>
              <w:rPr>
                <w:rFonts w:ascii="Times New Roman" w:cs="Times New Roman" w:eastAsia="Times New Roman" w:hAnsi="Times New Roman"/>
                <w:sz w:val="10"/>
                <w:szCs w:val="10"/>
                <w:b w:val="1"/>
                <w:bCs w:val="1"/>
                <w:color w:val="auto"/>
                <w:w w:val="95"/>
              </w:rPr>
              <w:t>balance sheets</w:t>
            </w:r>
          </w:p>
        </w:tc>
        <w:tc>
          <w:tcPr>
            <w:tcW w:w="960" w:type="dxa"/>
            <w:vAlign w:val="bottom"/>
            <w:gridSpan w:val="3"/>
          </w:tcPr>
          <w:p>
            <w:pPr>
              <w:jc w:val="center"/>
              <w:ind w:right="280"/>
              <w:spacing w:after="0" w:line="107" w:lineRule="exact"/>
              <w:rPr>
                <w:sz w:val="20"/>
                <w:szCs w:val="20"/>
                <w:color w:val="auto"/>
              </w:rPr>
            </w:pPr>
            <w:r>
              <w:rPr>
                <w:rFonts w:ascii="Times New Roman" w:cs="Times New Roman" w:eastAsia="Times New Roman" w:hAnsi="Times New Roman"/>
                <w:sz w:val="10"/>
                <w:szCs w:val="10"/>
                <w:b w:val="1"/>
                <w:bCs w:val="1"/>
                <w:color w:val="auto"/>
                <w:w w:val="98"/>
              </w:rPr>
              <w:t>balance sheets</w:t>
            </w:r>
          </w:p>
        </w:tc>
        <w:tc>
          <w:tcPr>
            <w:tcW w:w="800" w:type="dxa"/>
            <w:vAlign w:val="bottom"/>
            <w:gridSpan w:val="3"/>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instruments</w:t>
            </w:r>
          </w:p>
        </w:tc>
        <w:tc>
          <w:tcPr>
            <w:tcW w:w="620" w:type="dxa"/>
            <w:vAlign w:val="bottom"/>
            <w:gridSpan w:val="2"/>
          </w:tcPr>
          <w:p>
            <w:pPr>
              <w:ind w:left="140"/>
              <w:spacing w:after="0" w:line="107" w:lineRule="exact"/>
              <w:rPr>
                <w:sz w:val="20"/>
                <w:szCs w:val="20"/>
                <w:color w:val="auto"/>
              </w:rPr>
            </w:pPr>
            <w:r>
              <w:rPr>
                <w:rFonts w:ascii="Times New Roman" w:cs="Times New Roman" w:eastAsia="Times New Roman" w:hAnsi="Times New Roman"/>
                <w:sz w:val="10"/>
                <w:szCs w:val="10"/>
                <w:b w:val="1"/>
                <w:bCs w:val="1"/>
                <w:color w:val="auto"/>
              </w:rPr>
              <w:t>pledged</w:t>
            </w:r>
          </w:p>
        </w:tc>
        <w:tc>
          <w:tcPr>
            <w:tcW w:w="300" w:type="dxa"/>
            <w:vAlign w:val="bottom"/>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24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Asset Derivatives:</w:t>
            </w: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2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Zero cost collars</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152</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152</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8"/>
              </w:rPr>
              <w:t>— </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152</w:t>
            </w:r>
          </w:p>
        </w:tc>
        <w:tc>
          <w:tcPr>
            <w:tcW w:w="0" w:type="dxa"/>
            <w:vAlign w:val="bottom"/>
          </w:tcPr>
          <w:p>
            <w:pPr>
              <w:spacing w:after="0"/>
              <w:rPr>
                <w:sz w:val="1"/>
                <w:szCs w:val="1"/>
                <w:color w:val="auto"/>
              </w:rPr>
            </w:pPr>
          </w:p>
        </w:tc>
      </w:tr>
      <w:tr>
        <w:trPr>
          <w:trHeight w:val="144"/>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Liability Derivatives: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Zero cost collars</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8"/>
              </w:rPr>
              <w:t>— </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840" w:right="939" w:firstLine="294"/>
        <w:spacing w:after="0" w:line="260" w:lineRule="auto"/>
        <w:rPr>
          <w:sz w:val="20"/>
          <w:szCs w:val="20"/>
          <w:color w:val="auto"/>
        </w:rPr>
      </w:pPr>
      <w:r>
        <w:rPr>
          <w:rFonts w:ascii="Times New Roman" w:cs="Times New Roman" w:eastAsia="Times New Roman" w:hAnsi="Times New Roman"/>
          <w:sz w:val="12"/>
          <w:szCs w:val="12"/>
          <w:color w:val="auto"/>
        </w:rPr>
        <w:t>For derivative instruments that are designated and qualify as cash flow hedges, gains or losses on the derivative aside from components excluded from the assessment of effectiveness are reported as a component of accumulated other comprehensive income or loss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following table summarizes the impact of derivative instruments on the consolidated statements of operations for the three months ended</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March 31, 2024 and 2023 (in thousands):</w:t>
      </w:r>
    </w:p>
    <w:p>
      <w:pPr>
        <w:spacing w:after="0" w:line="143"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Derivatives in ASC</w:t>
            </w:r>
          </w:p>
        </w:tc>
        <w:tc>
          <w:tcPr>
            <w:tcW w:w="1600" w:type="dxa"/>
            <w:vAlign w:val="bottom"/>
            <w:gridSpan w:val="6"/>
          </w:tcPr>
          <w:p>
            <w:pPr>
              <w:jc w:val="center"/>
              <w:ind w:right="660"/>
              <w:spacing w:after="0"/>
              <w:rPr>
                <w:sz w:val="20"/>
                <w:szCs w:val="20"/>
                <w:color w:val="auto"/>
              </w:rPr>
            </w:pPr>
            <w:r>
              <w:rPr>
                <w:rFonts w:ascii="Times New Roman" w:cs="Times New Roman" w:eastAsia="Times New Roman" w:hAnsi="Times New Roman"/>
                <w:sz w:val="10"/>
                <w:szCs w:val="10"/>
                <w:b w:val="1"/>
                <w:bCs w:val="1"/>
                <w:color w:val="auto"/>
                <w:w w:val="97"/>
              </w:rPr>
              <w:t>Amount of Loss</w:t>
            </w: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Location/Amount of</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4"/>
            <w:vMerge w:val="restart"/>
          </w:tcPr>
          <w:p>
            <w:pPr>
              <w:ind w:left="480"/>
              <w:spacing w:after="0"/>
              <w:rPr>
                <w:sz w:val="20"/>
                <w:szCs w:val="20"/>
                <w:color w:val="auto"/>
              </w:rPr>
            </w:pPr>
            <w:r>
              <w:rPr>
                <w:rFonts w:ascii="Times New Roman" w:cs="Times New Roman" w:eastAsia="Times New Roman" w:hAnsi="Times New Roman"/>
                <w:sz w:val="10"/>
                <w:szCs w:val="10"/>
                <w:b w:val="1"/>
                <w:bCs w:val="1"/>
                <w:color w:val="auto"/>
              </w:rPr>
              <w:t>Location/Amount of Gain (Loss)</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80" w:type="dxa"/>
            <w:vAlign w:val="bottom"/>
            <w:gridSpan w:val="2"/>
            <w:vMerge w:val="continue"/>
          </w:tcPr>
          <w:p>
            <w:pPr>
              <w:spacing w:after="0"/>
              <w:rPr>
                <w:sz w:val="8"/>
                <w:szCs w:val="8"/>
                <w:color w:val="auto"/>
              </w:rPr>
            </w:pPr>
          </w:p>
        </w:tc>
        <w:tc>
          <w:tcPr>
            <w:tcW w:w="1600" w:type="dxa"/>
            <w:vAlign w:val="bottom"/>
            <w:gridSpan w:val="6"/>
          </w:tcPr>
          <w:p>
            <w:pPr>
              <w:jc w:val="center"/>
              <w:ind w:right="660"/>
              <w:spacing w:after="0" w:line="99" w:lineRule="exact"/>
              <w:rPr>
                <w:sz w:val="20"/>
                <w:szCs w:val="20"/>
                <w:color w:val="auto"/>
              </w:rPr>
            </w:pPr>
            <w:r>
              <w:rPr>
                <w:rFonts w:ascii="Times New Roman" w:cs="Times New Roman" w:eastAsia="Times New Roman" w:hAnsi="Times New Roman"/>
                <w:sz w:val="10"/>
                <w:szCs w:val="10"/>
                <w:b w:val="1"/>
                <w:bCs w:val="1"/>
                <w:color w:val="auto"/>
                <w:w w:val="97"/>
              </w:rPr>
              <w:t>Recognized in</w:t>
            </w:r>
          </w:p>
        </w:tc>
        <w:tc>
          <w:tcPr>
            <w:tcW w:w="880" w:type="dxa"/>
            <w:vAlign w:val="bottom"/>
            <w:gridSpan w:val="2"/>
          </w:tcPr>
          <w:p>
            <w:pPr>
              <w:jc w:val="center"/>
              <w:ind w:left="332"/>
              <w:spacing w:after="0" w:line="99" w:lineRule="exact"/>
              <w:rPr>
                <w:sz w:val="20"/>
                <w:szCs w:val="20"/>
                <w:color w:val="auto"/>
              </w:rPr>
            </w:pPr>
            <w:r>
              <w:rPr>
                <w:rFonts w:ascii="Times New Roman" w:cs="Times New Roman" w:eastAsia="Times New Roman" w:hAnsi="Times New Roman"/>
                <w:sz w:val="10"/>
                <w:szCs w:val="10"/>
                <w:b w:val="1"/>
                <w:bCs w:val="1"/>
                <w:color w:val="auto"/>
                <w:w w:val="92"/>
              </w:rPr>
              <w:t>Loss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815 Cash Flow Hedging</w:t>
            </w:r>
          </w:p>
        </w:tc>
        <w:tc>
          <w:tcPr>
            <w:tcW w:w="1600" w:type="dxa"/>
            <w:vAlign w:val="bottom"/>
            <w:gridSpan w:val="6"/>
          </w:tcPr>
          <w:p>
            <w:pPr>
              <w:jc w:val="center"/>
              <w:ind w:right="660"/>
              <w:spacing w:after="0" w:line="99" w:lineRule="exact"/>
              <w:rPr>
                <w:sz w:val="20"/>
                <w:szCs w:val="20"/>
                <w:color w:val="auto"/>
              </w:rPr>
            </w:pPr>
            <w:r>
              <w:rPr>
                <w:rFonts w:ascii="Times New Roman" w:cs="Times New Roman" w:eastAsia="Times New Roman" w:hAnsi="Times New Roman"/>
                <w:sz w:val="10"/>
                <w:szCs w:val="10"/>
                <w:b w:val="1"/>
                <w:bCs w:val="1"/>
                <w:color w:val="auto"/>
                <w:w w:val="96"/>
              </w:rPr>
              <w:t>AOCI on</w:t>
            </w:r>
          </w:p>
        </w:tc>
        <w:tc>
          <w:tcPr>
            <w:tcW w:w="1300" w:type="dxa"/>
            <w:vAlign w:val="bottom"/>
            <w:gridSpan w:val="4"/>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Reclassified from AOCI</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Recognized in</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8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Relationships</w:t>
            </w:r>
          </w:p>
        </w:tc>
        <w:tc>
          <w:tcPr>
            <w:tcW w:w="1600" w:type="dxa"/>
            <w:vAlign w:val="bottom"/>
            <w:gridSpan w:val="6"/>
          </w:tcPr>
          <w:p>
            <w:pPr>
              <w:jc w:val="center"/>
              <w:ind w:right="660"/>
              <w:spacing w:after="0" w:line="108" w:lineRule="exact"/>
              <w:rPr>
                <w:sz w:val="20"/>
                <w:szCs w:val="20"/>
                <w:color w:val="auto"/>
              </w:rPr>
            </w:pPr>
            <w:r>
              <w:rPr>
                <w:rFonts w:ascii="Times New Roman" w:cs="Times New Roman" w:eastAsia="Times New Roman" w:hAnsi="Times New Roman"/>
                <w:sz w:val="10"/>
                <w:szCs w:val="10"/>
                <w:b w:val="1"/>
                <w:bCs w:val="1"/>
                <w:color w:val="auto"/>
                <w:w w:val="95"/>
              </w:rPr>
              <w:t>Derivatives</w:t>
            </w:r>
          </w:p>
        </w:tc>
        <w:tc>
          <w:tcPr>
            <w:tcW w:w="1300" w:type="dxa"/>
            <w:vAlign w:val="bottom"/>
            <w:gridSpan w:val="4"/>
          </w:tcPr>
          <w:p>
            <w:pPr>
              <w:jc w:val="center"/>
              <w:ind w:right="18"/>
              <w:spacing w:after="0" w:line="108" w:lineRule="exact"/>
              <w:rPr>
                <w:sz w:val="20"/>
                <w:szCs w:val="20"/>
                <w:color w:val="auto"/>
              </w:rPr>
            </w:pPr>
            <w:r>
              <w:rPr>
                <w:rFonts w:ascii="Times New Roman" w:cs="Times New Roman" w:eastAsia="Times New Roman" w:hAnsi="Times New Roman"/>
                <w:sz w:val="10"/>
                <w:szCs w:val="10"/>
                <w:b w:val="1"/>
                <w:bCs w:val="1"/>
                <w:color w:val="auto"/>
                <w:w w:val="96"/>
              </w:rPr>
              <w:t>Into Statement of Operations</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80" w:type="dxa"/>
            <w:vAlign w:val="bottom"/>
            <w:gridSpan w:val="5"/>
          </w:tcPr>
          <w:p>
            <w:pPr>
              <w:jc w:val="right"/>
              <w:spacing w:after="0" w:line="108" w:lineRule="exact"/>
              <w:rPr>
                <w:sz w:val="20"/>
                <w:szCs w:val="20"/>
                <w:color w:val="auto"/>
              </w:rPr>
            </w:pPr>
            <w:r>
              <w:rPr>
                <w:rFonts w:ascii="Times New Roman" w:cs="Times New Roman" w:eastAsia="Times New Roman" w:hAnsi="Times New Roman"/>
                <w:sz w:val="10"/>
                <w:szCs w:val="10"/>
                <w:b w:val="1"/>
                <w:bCs w:val="1"/>
                <w:color w:val="auto"/>
              </w:rPr>
              <w:t>Statement of Operations on Derivatives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0" w:type="dxa"/>
            <w:vAlign w:val="bottom"/>
            <w:tcBorders>
              <w:top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Borders>
              <w:top w:val="single" w:sz="8" w:color="auto"/>
            </w:tcBorders>
            <w:gridSpan w:val="4"/>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Three Months Ended</w:t>
            </w:r>
          </w:p>
        </w:tc>
        <w:tc>
          <w:tcPr>
            <w:tcW w:w="18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5"/>
          </w:tcPr>
          <w:p>
            <w:pPr>
              <w:jc w:val="right"/>
              <w:spacing w:after="0" w:line="81" w:lineRule="exact"/>
              <w:rPr>
                <w:sz w:val="20"/>
                <w:szCs w:val="20"/>
                <w:color w:val="auto"/>
              </w:rPr>
            </w:pPr>
            <w:r>
              <w:rPr>
                <w:rFonts w:ascii="Times New Roman" w:cs="Times New Roman" w:eastAsia="Times New Roman" w:hAnsi="Times New Roman"/>
                <w:sz w:val="8"/>
                <w:szCs w:val="8"/>
                <w:b w:val="1"/>
                <w:bCs w:val="1"/>
                <w:color w:val="auto"/>
              </w:rPr>
              <w:t>Three Months Ended</w:t>
            </w:r>
          </w:p>
        </w:tc>
        <w:tc>
          <w:tcPr>
            <w:tcW w:w="180" w:type="dxa"/>
            <w:vAlign w:val="bottom"/>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gridSpan w:val="5"/>
          </w:tcPr>
          <w:p>
            <w:pPr>
              <w:jc w:val="right"/>
              <w:spacing w:after="0" w:line="81" w:lineRule="exact"/>
              <w:rPr>
                <w:sz w:val="20"/>
                <w:szCs w:val="20"/>
                <w:color w:val="auto"/>
              </w:rPr>
            </w:pPr>
            <w:r>
              <w:rPr>
                <w:rFonts w:ascii="Times New Roman" w:cs="Times New Roman" w:eastAsia="Times New Roman" w:hAnsi="Times New Roman"/>
                <w:sz w:val="8"/>
                <w:szCs w:val="8"/>
                <w:b w:val="1"/>
                <w:bCs w:val="1"/>
                <w:color w:val="auto"/>
              </w:rPr>
              <w:t>Three Months Ended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0" w:type="dxa"/>
            <w:vAlign w:val="bottom"/>
            <w:gridSpan w:val="6"/>
          </w:tcPr>
          <w:p>
            <w:pPr>
              <w:jc w:val="center"/>
              <w:ind w:right="66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5"/>
          </w:tcPr>
          <w:p>
            <w:pPr>
              <w:jc w:val="right"/>
              <w:ind w:right="398"/>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5"/>
          </w:tcPr>
          <w:p>
            <w:pPr>
              <w:jc w:val="right"/>
              <w:ind w:right="278"/>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0" w:type="dxa"/>
            <w:vAlign w:val="bottom"/>
          </w:tcPr>
          <w:p>
            <w:pPr>
              <w:spacing w:after="0"/>
              <w:rPr>
                <w:sz w:val="1"/>
                <w:szCs w:val="1"/>
                <w:color w:val="auto"/>
              </w:rPr>
            </w:pPr>
          </w:p>
        </w:tc>
      </w:tr>
      <w:tr>
        <w:trPr>
          <w:trHeight w:val="88"/>
        </w:trPr>
        <w:tc>
          <w:tcPr>
            <w:tcW w:w="540" w:type="dxa"/>
            <w:vAlign w:val="bottom"/>
            <w:tcBorders>
              <w:bottom w:val="single" w:sz="8" w:color="CCEEFF"/>
            </w:tcBorders>
          </w:tcPr>
          <w:p>
            <w:pPr>
              <w:spacing w:after="0"/>
              <w:rPr>
                <w:sz w:val="7"/>
                <w:szCs w:val="7"/>
                <w:color w:val="auto"/>
              </w:rPr>
            </w:pPr>
          </w:p>
        </w:tc>
        <w:tc>
          <w:tcPr>
            <w:tcW w:w="940" w:type="dxa"/>
            <w:vAlign w:val="bottom"/>
            <w:tcBorders>
              <w:bottom w:val="single" w:sz="8" w:color="CCEEFF"/>
            </w:tcBorders>
          </w:tcPr>
          <w:p>
            <w:pPr>
              <w:spacing w:after="0"/>
              <w:rPr>
                <w:sz w:val="7"/>
                <w:szCs w:val="7"/>
                <w:color w:val="auto"/>
              </w:rPr>
            </w:pPr>
          </w:p>
        </w:tc>
        <w:tc>
          <w:tcPr>
            <w:tcW w:w="32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7"/>
                <w:szCs w:val="7"/>
                <w:color w:val="auto"/>
              </w:rPr>
            </w:pPr>
          </w:p>
        </w:tc>
        <w:tc>
          <w:tcPr>
            <w:tcW w:w="480" w:type="dxa"/>
            <w:vAlign w:val="bottom"/>
            <w:tcBorders>
              <w:bottom w:val="single" w:sz="8" w:color="CCEEFF"/>
            </w:tcBorders>
          </w:tcPr>
          <w:p>
            <w:pPr>
              <w:spacing w:after="0"/>
              <w:rPr>
                <w:sz w:val="7"/>
                <w:szCs w:val="7"/>
                <w:color w:val="auto"/>
              </w:rPr>
            </w:pPr>
          </w:p>
        </w:tc>
        <w:tc>
          <w:tcPr>
            <w:tcW w:w="780" w:type="dxa"/>
            <w:vAlign w:val="bottom"/>
            <w:tcBorders>
              <w:bottom w:val="single" w:sz="8" w:color="CCEEFF"/>
            </w:tcBorders>
          </w:tcPr>
          <w:p>
            <w:pPr>
              <w:spacing w:after="0"/>
              <w:rPr>
                <w:sz w:val="7"/>
                <w:szCs w:val="7"/>
                <w:color w:val="auto"/>
              </w:rPr>
            </w:pPr>
          </w:p>
        </w:tc>
        <w:tc>
          <w:tcPr>
            <w:tcW w:w="300" w:type="dxa"/>
            <w:vAlign w:val="bottom"/>
            <w:tcBorders>
              <w:top w:val="single" w:sz="8" w:color="auto"/>
              <w:bottom w:val="single" w:sz="8" w:color="auto"/>
            </w:tcBorders>
            <w:gridSpan w:val="2"/>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4"/>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2023</w:t>
            </w:r>
          </w:p>
        </w:tc>
        <w:tc>
          <w:tcPr>
            <w:tcW w:w="180" w:type="dxa"/>
            <w:vAlign w:val="bottom"/>
            <w:tcBorders>
              <w:bottom w:val="single" w:sz="8" w:color="CCEEFF"/>
            </w:tcBorders>
          </w:tcPr>
          <w:p>
            <w:pPr>
              <w:spacing w:after="0"/>
              <w:rPr>
                <w:sz w:val="7"/>
                <w:szCs w:val="7"/>
                <w:color w:val="auto"/>
              </w:rPr>
            </w:pPr>
          </w:p>
        </w:tc>
        <w:tc>
          <w:tcPr>
            <w:tcW w:w="138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60" w:type="dxa"/>
            <w:vAlign w:val="bottom"/>
            <w:tcBorders>
              <w:top w:val="single" w:sz="8" w:color="auto"/>
              <w:bottom w:val="single" w:sz="8" w:color="auto"/>
            </w:tcBorders>
          </w:tcPr>
          <w:p>
            <w:pPr>
              <w:jc w:val="right"/>
              <w:ind w:right="6"/>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2024</w:t>
            </w:r>
          </w:p>
        </w:tc>
        <w:tc>
          <w:tcPr>
            <w:tcW w:w="20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00" w:type="dxa"/>
            <w:vAlign w:val="bottom"/>
            <w:tcBorders>
              <w:top w:val="single" w:sz="8" w:color="auto"/>
              <w:bottom w:val="single" w:sz="8" w:color="auto"/>
            </w:tcBorders>
          </w:tcPr>
          <w:p>
            <w:pPr>
              <w:jc w:val="right"/>
              <w:ind w:right="44"/>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2023</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4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Zero cost collars</w:t>
            </w:r>
          </w:p>
        </w:tc>
        <w:tc>
          <w:tcPr>
            <w:tcW w:w="320" w:type="dxa"/>
            <w:vAlign w:val="bottom"/>
            <w:tcBorders>
              <w:bottom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 (605</w:t>
            </w:r>
          </w:p>
        </w:tc>
        <w:tc>
          <w:tcPr>
            <w:tcW w:w="180" w:type="dxa"/>
            <w:vAlign w:val="bottom"/>
            <w:tcBorders>
              <w:left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w w:val="90"/>
              </w:rPr>
              <w:t>(1,135</w:t>
            </w:r>
          </w:p>
        </w:tc>
        <w:tc>
          <w:tcPr>
            <w:tcW w:w="6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  Net sales</w:t>
            </w:r>
          </w:p>
        </w:tc>
        <w:tc>
          <w:tcPr>
            <w:tcW w:w="7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w:t>
            </w:r>
          </w:p>
        </w:tc>
        <w:tc>
          <w:tcPr>
            <w:tcW w:w="2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(603</w:t>
            </w:r>
          </w:p>
        </w:tc>
        <w:tc>
          <w:tcPr>
            <w:tcW w:w="1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income, net</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w:t>
            </w:r>
          </w:p>
        </w:tc>
        <w:tc>
          <w:tcPr>
            <w:tcW w:w="2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 (605</w:t>
            </w:r>
          </w:p>
        </w:tc>
        <w:tc>
          <w:tcPr>
            <w:tcW w:w="1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0"/>
              </w:rPr>
              <w:t>(1,135</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(603</w:t>
            </w:r>
          </w:p>
        </w:tc>
        <w:tc>
          <w:tcPr>
            <w:tcW w:w="1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3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840" w:right="1079" w:firstLine="294"/>
        <w:spacing w:after="0" w:line="279" w:lineRule="auto"/>
        <w:rPr>
          <w:sz w:val="20"/>
          <w:szCs w:val="20"/>
          <w:color w:val="auto"/>
        </w:rPr>
      </w:pPr>
      <w:r>
        <w:rPr>
          <w:rFonts w:ascii="Times New Roman" w:cs="Times New Roman" w:eastAsia="Times New Roman" w:hAnsi="Times New Roman"/>
          <w:sz w:val="12"/>
          <w:szCs w:val="12"/>
          <w:color w:val="auto"/>
        </w:rPr>
        <w:t>As of March 31, 2024, the amount expected to be reclassified from accumulated other comprehensive income into earnings within the next 12 months is $145 thousand.</w:t>
      </w:r>
    </w:p>
    <w:p>
      <w:pPr>
        <w:spacing w:after="0" w:line="111" w:lineRule="exact"/>
        <w:rPr>
          <w:sz w:val="20"/>
          <w:szCs w:val="20"/>
          <w:color w:val="auto"/>
        </w:rPr>
      </w:pPr>
    </w:p>
    <w:p>
      <w:pPr>
        <w:ind w:left="840" w:right="879" w:firstLine="294"/>
        <w:spacing w:after="0" w:line="265" w:lineRule="auto"/>
        <w:rPr>
          <w:sz w:val="20"/>
          <w:szCs w:val="20"/>
          <w:color w:val="auto"/>
        </w:rPr>
      </w:pPr>
      <w:r>
        <w:rPr>
          <w:rFonts w:ascii="Times New Roman" w:cs="Times New Roman" w:eastAsia="Times New Roman" w:hAnsi="Times New Roman"/>
          <w:sz w:val="12"/>
          <w:szCs w:val="12"/>
          <w:color w:val="auto"/>
        </w:rPr>
        <w:t>The Company has set aside a cash deposit to the counterparty, Standard Chartered Bank Korea Limited (“SC”), as required for the zero cost collar contracts. This cash deposit is recorded as hedge collateral on the consolidated balance sheets. Cash deposits as of March 31, 2024 and December 31, 2023 are as follows (in thousands):</w:t>
      </w:r>
    </w:p>
    <w:p>
      <w:pPr>
        <w:spacing w:after="0" w:line="115"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5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1"/>
              </w:rPr>
              <w:t>Counterparty</w:t>
            </w:r>
          </w:p>
        </w:tc>
        <w:tc>
          <w:tcPr>
            <w:tcW w:w="3600" w:type="dxa"/>
            <w:vAlign w:val="bottom"/>
          </w:tcPr>
          <w:p>
            <w:pPr>
              <w:spacing w:after="0"/>
              <w:rPr>
                <w:sz w:val="10"/>
                <w:szCs w:val="10"/>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6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126"/>
        </w:trPr>
        <w:tc>
          <w:tcPr>
            <w:tcW w:w="560" w:type="dxa"/>
            <w:vAlign w:val="bottom"/>
            <w:tcBorders>
              <w:bottom w:val="single" w:sz="8" w:color="auto"/>
            </w:tcBorders>
            <w:vMerge w:val="continue"/>
          </w:tcPr>
          <w:p>
            <w:pPr>
              <w:spacing w:after="0"/>
              <w:rPr>
                <w:sz w:val="10"/>
                <w:szCs w:val="10"/>
                <w:color w:val="auto"/>
              </w:rPr>
            </w:pPr>
          </w:p>
        </w:tc>
        <w:tc>
          <w:tcPr>
            <w:tcW w:w="3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ind w:right="64"/>
              <w:spacing w:after="0" w:line="107" w:lineRule="exact"/>
              <w:rPr>
                <w:sz w:val="20"/>
                <w:szCs w:val="20"/>
                <w:color w:val="auto"/>
              </w:rPr>
            </w:pPr>
            <w:r>
              <w:rPr>
                <w:rFonts w:ascii="Times New Roman" w:cs="Times New Roman" w:eastAsia="Times New Roman" w:hAnsi="Times New Roman"/>
                <w:sz w:val="10"/>
                <w:szCs w:val="10"/>
                <w:b w:val="1"/>
                <w:bCs w:val="1"/>
                <w:color w:val="auto"/>
                <w:w w:val="99"/>
              </w:rPr>
              <w:t>2024</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24"/>
              <w:spacing w:after="0" w:line="107" w:lineRule="exact"/>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60" w:type="dxa"/>
            <w:vAlign w:val="bottom"/>
            <w:tcBorders>
              <w:top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SC</w:t>
            </w:r>
          </w:p>
        </w:tc>
        <w:tc>
          <w:tcPr>
            <w:tcW w:w="36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1,000</w:t>
            </w:r>
          </w:p>
        </w:tc>
        <w:tc>
          <w:tcPr>
            <w:tcW w:w="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1,000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3600" w:type="dxa"/>
            <w:vAlign w:val="bottom"/>
          </w:tcPr>
          <w:p>
            <w:pPr>
              <w:spacing w:after="0"/>
              <w:rPr>
                <w:sz w:val="12"/>
                <w:szCs w:val="12"/>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840" w:right="1119" w:firstLine="294"/>
        <w:spacing w:after="0" w:line="279" w:lineRule="auto"/>
        <w:rPr>
          <w:sz w:val="20"/>
          <w:szCs w:val="20"/>
          <w:color w:val="auto"/>
        </w:rPr>
      </w:pPr>
      <w:r>
        <w:rPr>
          <w:rFonts w:ascii="Times New Roman" w:cs="Times New Roman" w:eastAsia="Times New Roman" w:hAnsi="Times New Roman"/>
          <w:sz w:val="12"/>
          <w:szCs w:val="12"/>
          <w:color w:val="auto"/>
        </w:rPr>
        <w:t>The Company is required to deposit additional cash collateral with Nomura Financial Investment (Korea) Co., Ltd. (“NFIK”) and SC for any exposure in excess of $500 thousand, respectively, but no such excess exposure existed as of March 31, 2024 and December 31, 2023.</w:t>
      </w:r>
    </w:p>
    <w:p>
      <w:pPr>
        <w:spacing w:after="0" w:line="111" w:lineRule="exact"/>
        <w:rPr>
          <w:sz w:val="20"/>
          <w:szCs w:val="20"/>
          <w:color w:val="auto"/>
        </w:rPr>
      </w:pPr>
    </w:p>
    <w:p>
      <w:pPr>
        <w:ind w:left="840" w:right="1499" w:firstLine="294"/>
        <w:spacing w:after="0" w:line="279" w:lineRule="auto"/>
        <w:rPr>
          <w:sz w:val="20"/>
          <w:szCs w:val="20"/>
          <w:color w:val="auto"/>
        </w:rPr>
      </w:pPr>
      <w:r>
        <w:rPr>
          <w:rFonts w:ascii="Times New Roman" w:cs="Times New Roman" w:eastAsia="Times New Roman" w:hAnsi="Times New Roman"/>
          <w:sz w:val="12"/>
          <w:szCs w:val="12"/>
          <w:color w:val="auto"/>
        </w:rPr>
        <w:t>These zero cost collar contracts may be terminated by the counterparties if the Company’s total cash and cash equivalents is less than $30,000 thousand at the end of a fiscal quarter, unless a waiver is obtained.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9019"/>
          </w:cols>
          <w:pgMar w:left="1440" w:top="246" w:right="1440" w:bottom="1440" w:gutter="0" w:footer="0" w:header="0"/>
        </w:sectPr>
      </w:pPr>
    </w:p>
    <w:bookmarkStart w:id="13" w:name="page14"/>
    <w:bookmarkEnd w:id="13"/>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7. Fair Value Measurements</w:t>
      </w:r>
    </w:p>
    <w:p>
      <w:pPr>
        <w:spacing w:after="0" w:line="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Fair Value of Financial Instruments</w:t>
      </w:r>
    </w:p>
    <w:p>
      <w:pPr>
        <w:spacing w:after="0" w:line="80" w:lineRule="exact"/>
        <w:rPr>
          <w:sz w:val="20"/>
          <w:szCs w:val="20"/>
          <w:color w:val="auto"/>
        </w:rPr>
      </w:pPr>
    </w:p>
    <w:p>
      <w:pPr>
        <w:ind w:left="840" w:right="1039" w:firstLine="294"/>
        <w:spacing w:after="0" w:line="279" w:lineRule="auto"/>
        <w:rPr>
          <w:sz w:val="20"/>
          <w:szCs w:val="20"/>
          <w:color w:val="auto"/>
        </w:rPr>
      </w:pPr>
      <w:r>
        <w:rPr>
          <w:rFonts w:ascii="Times New Roman" w:cs="Times New Roman" w:eastAsia="Times New Roman" w:hAnsi="Times New Roman"/>
          <w:sz w:val="12"/>
          <w:szCs w:val="12"/>
          <w:color w:val="auto"/>
        </w:rPr>
        <w:t>As of March 31, 2024, the following table represents the Company’s liabilities measured at fair value on a recurring basis and the basis for that measurement (in thousands):</w:t>
      </w:r>
    </w:p>
    <w:p>
      <w:pPr>
        <w:spacing w:after="0" w:line="10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2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5"/>
              </w:rPr>
              <w:t>Quoted Prices in</w:t>
            </w:r>
          </w:p>
        </w:tc>
        <w:tc>
          <w:tcPr>
            <w:tcW w:w="840" w:type="dxa"/>
            <w:vAlign w:val="bottom"/>
            <w:gridSpan w:val="3"/>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5"/>
              </w:rPr>
              <w:t>Significant</w:t>
            </w:r>
          </w:p>
        </w:tc>
        <w:tc>
          <w:tcPr>
            <w:tcW w:w="6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Significant</w:t>
            </w:r>
          </w:p>
        </w:tc>
        <w:tc>
          <w:tcPr>
            <w:tcW w:w="0" w:type="dxa"/>
            <w:vAlign w:val="bottom"/>
          </w:tcPr>
          <w:p>
            <w:pPr>
              <w:spacing w:after="0"/>
              <w:rPr>
                <w:sz w:val="1"/>
                <w:szCs w:val="1"/>
                <w:color w:val="auto"/>
              </w:rPr>
            </w:pPr>
          </w:p>
        </w:tc>
      </w:tr>
      <w:tr>
        <w:trPr>
          <w:trHeight w:val="99"/>
        </w:trPr>
        <w:tc>
          <w:tcPr>
            <w:tcW w:w="2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11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800" w:type="dxa"/>
            <w:vAlign w:val="bottom"/>
          </w:tcPr>
          <w:p>
            <w:pPr>
              <w:spacing w:after="0"/>
              <w:rPr>
                <w:sz w:val="8"/>
                <w:szCs w:val="8"/>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Carrying Value</w:t>
            </w:r>
          </w:p>
        </w:tc>
        <w:tc>
          <w:tcPr>
            <w:tcW w:w="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10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10"/>
                <w:szCs w:val="10"/>
                <w:b w:val="1"/>
                <w:bCs w:val="1"/>
                <w:color w:val="auto"/>
                <w:w w:val="94"/>
              </w:rPr>
              <w:t>Active Markets</w:t>
            </w:r>
          </w:p>
        </w:tc>
        <w:tc>
          <w:tcPr>
            <w:tcW w:w="840" w:type="dxa"/>
            <w:vAlign w:val="bottom"/>
            <w:gridSpan w:val="3"/>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3"/>
              </w:rPr>
              <w:t>Observable</w:t>
            </w:r>
          </w:p>
        </w:tc>
        <w:tc>
          <w:tcPr>
            <w:tcW w:w="60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Unobservable</w:t>
            </w:r>
          </w:p>
        </w:tc>
        <w:tc>
          <w:tcPr>
            <w:tcW w:w="0" w:type="dxa"/>
            <w:vAlign w:val="bottom"/>
          </w:tcPr>
          <w:p>
            <w:pPr>
              <w:spacing w:after="0"/>
              <w:rPr>
                <w:sz w:val="1"/>
                <w:szCs w:val="1"/>
                <w:color w:val="auto"/>
              </w:rPr>
            </w:pPr>
          </w:p>
        </w:tc>
      </w:tr>
      <w:tr>
        <w:trPr>
          <w:trHeight w:val="99"/>
        </w:trPr>
        <w:tc>
          <w:tcPr>
            <w:tcW w:w="280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1000" w:type="dxa"/>
            <w:vAlign w:val="bottom"/>
            <w:gridSpan w:val="3"/>
          </w:tcPr>
          <w:p>
            <w:pPr>
              <w:jc w:val="center"/>
              <w:ind w:right="360"/>
              <w:spacing w:after="0" w:line="99" w:lineRule="exact"/>
              <w:rPr>
                <w:sz w:val="20"/>
                <w:szCs w:val="20"/>
                <w:color w:val="auto"/>
              </w:rPr>
            </w:pPr>
            <w:r>
              <w:rPr>
                <w:rFonts w:ascii="Times New Roman" w:cs="Times New Roman" w:eastAsia="Times New Roman" w:hAnsi="Times New Roman"/>
                <w:sz w:val="10"/>
                <w:szCs w:val="10"/>
                <w:b w:val="1"/>
                <w:bCs w:val="1"/>
                <w:color w:val="auto"/>
                <w:w w:val="95"/>
              </w:rPr>
              <w:t>Measurement</w:t>
            </w:r>
          </w:p>
        </w:tc>
        <w:tc>
          <w:tcPr>
            <w:tcW w:w="110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10"/>
                <w:szCs w:val="10"/>
                <w:b w:val="1"/>
                <w:bCs w:val="1"/>
                <w:color w:val="auto"/>
                <w:w w:val="94"/>
              </w:rPr>
              <w:t>for Identical</w:t>
            </w:r>
          </w:p>
        </w:tc>
        <w:tc>
          <w:tcPr>
            <w:tcW w:w="60" w:type="dxa"/>
            <w:vAlign w:val="bottom"/>
          </w:tcPr>
          <w:p>
            <w:pPr>
              <w:spacing w:after="0"/>
              <w:rPr>
                <w:sz w:val="8"/>
                <w:szCs w:val="8"/>
                <w:color w:val="auto"/>
              </w:rPr>
            </w:pPr>
          </w:p>
        </w:tc>
        <w:tc>
          <w:tcPr>
            <w:tcW w:w="780" w:type="dxa"/>
            <w:vAlign w:val="bottom"/>
            <w:gridSpan w:val="2"/>
          </w:tcPr>
          <w:p>
            <w:pPr>
              <w:jc w:val="center"/>
              <w:ind w:right="440"/>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60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0" w:type="dxa"/>
            <w:vAlign w:val="bottom"/>
          </w:tcPr>
          <w:p>
            <w:pPr>
              <w:spacing w:after="0"/>
              <w:rPr>
                <w:sz w:val="1"/>
                <w:szCs w:val="1"/>
                <w:color w:val="auto"/>
              </w:rPr>
            </w:pPr>
          </w:p>
        </w:tc>
      </w:tr>
      <w:tr>
        <w:trPr>
          <w:trHeight w:val="115"/>
        </w:trPr>
        <w:tc>
          <w:tcPr>
            <w:tcW w:w="2800" w:type="dxa"/>
            <w:vAlign w:val="bottom"/>
          </w:tcPr>
          <w:p>
            <w:pPr>
              <w:spacing w:after="0"/>
              <w:rPr>
                <w:sz w:val="10"/>
                <w:szCs w:val="10"/>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March 31, 2024</w:t>
            </w: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March 31, 2024</w:t>
            </w: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Liability (Level 1)</w:t>
            </w:r>
          </w:p>
        </w:tc>
        <w:tc>
          <w:tcPr>
            <w:tcW w:w="60" w:type="dxa"/>
            <w:vAlign w:val="bottom"/>
          </w:tcPr>
          <w:p>
            <w:pPr>
              <w:spacing w:after="0"/>
              <w:rPr>
                <w:sz w:val="10"/>
                <w:szCs w:val="10"/>
                <w:color w:val="auto"/>
              </w:rPr>
            </w:pPr>
          </w:p>
        </w:tc>
        <w:tc>
          <w:tcPr>
            <w:tcW w:w="78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(Level 2)</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0" w:type="dxa"/>
            <w:vAlign w:val="bottom"/>
          </w:tcPr>
          <w:p>
            <w:pPr>
              <w:spacing w:after="0"/>
              <w:rPr>
                <w:sz w:val="1"/>
                <w:szCs w:val="1"/>
                <w:color w:val="auto"/>
              </w:rPr>
            </w:pPr>
          </w:p>
        </w:tc>
      </w:tr>
      <w:tr>
        <w:trPr>
          <w:trHeight w:val="124"/>
        </w:trPr>
        <w:tc>
          <w:tcPr>
            <w:tcW w:w="28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Liabilities:</w:t>
            </w:r>
          </w:p>
        </w:tc>
        <w:tc>
          <w:tcPr>
            <w:tcW w:w="2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8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Derivative liabilities (other current liabilities)</w:t>
            </w:r>
          </w:p>
        </w:tc>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397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397</w:t>
            </w:r>
          </w:p>
        </w:tc>
        <w:tc>
          <w:tcPr>
            <w:tcW w:w="110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397</w:t>
            </w: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840" w:right="979" w:firstLine="294"/>
        <w:spacing w:after="0" w:line="279" w:lineRule="auto"/>
        <w:rPr>
          <w:sz w:val="20"/>
          <w:szCs w:val="20"/>
          <w:color w:val="auto"/>
        </w:rPr>
      </w:pPr>
      <w:r>
        <w:rPr>
          <w:rFonts w:ascii="Times New Roman" w:cs="Times New Roman" w:eastAsia="Times New Roman" w:hAnsi="Times New Roman"/>
          <w:sz w:val="12"/>
          <w:szCs w:val="12"/>
          <w:color w:val="auto"/>
        </w:rPr>
        <w:t>As of December 31, 2023, the following table represents the Company’s assets and liabilities measured at fair value on a recurring basis and the basis for that measurement (in thousands):</w:t>
      </w:r>
    </w:p>
    <w:p>
      <w:pPr>
        <w:spacing w:after="0" w:line="10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2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5"/>
              </w:rPr>
              <w:t>Quoted Prices in</w:t>
            </w:r>
          </w:p>
        </w:tc>
        <w:tc>
          <w:tcPr>
            <w:tcW w:w="86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5"/>
              </w:rPr>
              <w:t>Significant</w:t>
            </w:r>
          </w:p>
        </w:tc>
        <w:tc>
          <w:tcPr>
            <w:tcW w:w="6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Significant</w:t>
            </w: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11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tcPr>
          <w:p>
            <w:pPr>
              <w:jc w:val="center"/>
              <w:ind w:right="440"/>
              <w:spacing w:after="0" w:line="99"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Carrying Value</w:t>
            </w: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1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4"/>
              </w:rPr>
              <w:t>Active Markets</w:t>
            </w:r>
          </w:p>
        </w:tc>
        <w:tc>
          <w:tcPr>
            <w:tcW w:w="860" w:type="dxa"/>
            <w:vAlign w:val="bottom"/>
            <w:gridSpan w:val="3"/>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8"/>
              </w:rPr>
              <w:t>Observable</w:t>
            </w:r>
          </w:p>
        </w:tc>
        <w:tc>
          <w:tcPr>
            <w:tcW w:w="60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Unobservable</w:t>
            </w: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right"/>
              <w:ind w:right="480"/>
              <w:spacing w:after="0" w:line="99" w:lineRule="exact"/>
              <w:rPr>
                <w:sz w:val="20"/>
                <w:szCs w:val="20"/>
                <w:color w:val="auto"/>
              </w:rPr>
            </w:pPr>
            <w:r>
              <w:rPr>
                <w:rFonts w:ascii="Times New Roman" w:cs="Times New Roman" w:eastAsia="Times New Roman" w:hAnsi="Times New Roman"/>
                <w:sz w:val="10"/>
                <w:szCs w:val="10"/>
                <w:b w:val="1"/>
                <w:bCs w:val="1"/>
                <w:color w:val="auto"/>
                <w:w w:val="95"/>
              </w:rPr>
              <w:t>Measurement</w:t>
            </w:r>
          </w:p>
        </w:tc>
        <w:tc>
          <w:tcPr>
            <w:tcW w:w="112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4"/>
              </w:rPr>
              <w:t>for Identical</w:t>
            </w:r>
          </w:p>
        </w:tc>
        <w:tc>
          <w:tcPr>
            <w:tcW w:w="60" w:type="dxa"/>
            <w:vAlign w:val="bottom"/>
          </w:tcPr>
          <w:p>
            <w:pPr>
              <w:spacing w:after="0"/>
              <w:rPr>
                <w:sz w:val="8"/>
                <w:szCs w:val="8"/>
                <w:color w:val="auto"/>
              </w:rPr>
            </w:pPr>
          </w:p>
        </w:tc>
        <w:tc>
          <w:tcPr>
            <w:tcW w:w="800" w:type="dxa"/>
            <w:vAlign w:val="bottom"/>
            <w:gridSpan w:val="2"/>
          </w:tcPr>
          <w:p>
            <w:pPr>
              <w:jc w:val="center"/>
              <w:ind w:right="460"/>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60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0" w:type="dxa"/>
            <w:vAlign w:val="bottom"/>
          </w:tcPr>
          <w:p>
            <w:pPr>
              <w:spacing w:after="0"/>
              <w:rPr>
                <w:sz w:val="1"/>
                <w:szCs w:val="1"/>
                <w:color w:val="auto"/>
              </w:rPr>
            </w:pPr>
          </w:p>
        </w:tc>
      </w:tr>
      <w:tr>
        <w:trPr>
          <w:trHeight w:val="115"/>
        </w:trPr>
        <w:tc>
          <w:tcPr>
            <w:tcW w:w="2460" w:type="dxa"/>
            <w:vAlign w:val="bottom"/>
          </w:tcPr>
          <w:p>
            <w:pPr>
              <w:spacing w:after="0"/>
              <w:rPr>
                <w:sz w:val="10"/>
                <w:szCs w:val="10"/>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6"/>
              </w:rPr>
              <w:t>Liability (Level 1)</w:t>
            </w:r>
          </w:p>
        </w:tc>
        <w:tc>
          <w:tcPr>
            <w:tcW w:w="60" w:type="dxa"/>
            <w:vAlign w:val="bottom"/>
          </w:tcPr>
          <w:p>
            <w:pPr>
              <w:spacing w:after="0"/>
              <w:rPr>
                <w:sz w:val="10"/>
                <w:szCs w:val="10"/>
                <w:color w:val="auto"/>
              </w:rPr>
            </w:pPr>
          </w:p>
        </w:tc>
        <w:tc>
          <w:tcPr>
            <w:tcW w:w="80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(Level 2)</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0" w:type="dxa"/>
            <w:vAlign w:val="bottom"/>
          </w:tcPr>
          <w:p>
            <w:pPr>
              <w:spacing w:after="0"/>
              <w:rPr>
                <w:sz w:val="1"/>
                <w:szCs w:val="1"/>
                <w:color w:val="auto"/>
              </w:rPr>
            </w:pPr>
          </w:p>
        </w:tc>
      </w:tr>
      <w:tr>
        <w:trPr>
          <w:trHeight w:val="124"/>
        </w:trPr>
        <w:tc>
          <w:tcPr>
            <w:tcW w:w="246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Assets:</w:t>
            </w: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Derivative assets (other current assets)</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152</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152</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152</w:t>
            </w: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Liabilities:</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6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Derivative liabilities (other current</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liabilities)</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w:t>
            </w: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9019"/>
          </w:cols>
          <w:pgMar w:left="1440" w:top="242" w:right="1440" w:bottom="1440" w:gutter="0" w:footer="0" w:header="0"/>
        </w:sectPr>
      </w:pPr>
    </w:p>
    <w:bookmarkStart w:id="14" w:name="page15"/>
    <w:bookmarkEnd w:id="14"/>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8. Accrued Severance Benefits</w:t>
      </w:r>
    </w:p>
    <w:p>
      <w:pPr>
        <w:spacing w:after="0" w:line="82" w:lineRule="exact"/>
        <w:rPr>
          <w:sz w:val="20"/>
          <w:szCs w:val="20"/>
          <w:color w:val="auto"/>
        </w:rPr>
      </w:pPr>
    </w:p>
    <w:p>
      <w:pPr>
        <w:ind w:left="840" w:right="1019" w:firstLine="294"/>
        <w:spacing w:after="0" w:line="260" w:lineRule="auto"/>
        <w:rPr>
          <w:sz w:val="20"/>
          <w:szCs w:val="20"/>
          <w:color w:val="auto"/>
        </w:rPr>
      </w:pPr>
      <w:r>
        <w:rPr>
          <w:rFonts w:ascii="Times New Roman" w:cs="Times New Roman" w:eastAsia="Times New Roman" w:hAnsi="Times New Roman"/>
          <w:sz w:val="12"/>
          <w:szCs w:val="12"/>
          <w:color w:val="auto"/>
        </w:rPr>
        <w:t>The majority of accrued severance benefits are for employees in the Company’s Korean subsidiaries. Pursuant to the Employee Retirement Benefit Security Act of Korea, eligible employees and executive officers with one or more years of service are entitled to severance benefits upon the termination of their employment based on their length of service and rate of pay. As of March 31, 2024, 96% of all employees of the Company were eligible for severance benefits.</w:t>
      </w:r>
    </w:p>
    <w:p>
      <w:pPr>
        <w:spacing w:after="0" w:line="1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Changes in accrued severance benefits are as follows (in thousands):</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380" w:type="dxa"/>
            <w:vAlign w:val="bottom"/>
          </w:tcPr>
          <w:p>
            <w:pPr>
              <w:spacing w:after="0"/>
              <w:rPr>
                <w:sz w:val="10"/>
                <w:szCs w:val="10"/>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72"/>
        </w:trPr>
        <w:tc>
          <w:tcPr>
            <w:tcW w:w="4380" w:type="dxa"/>
            <w:vAlign w:val="bottom"/>
          </w:tcPr>
          <w:p>
            <w:pPr>
              <w:spacing w:after="0"/>
              <w:rPr>
                <w:sz w:val="6"/>
                <w:szCs w:val="6"/>
                <w:color w:val="auto"/>
              </w:rPr>
            </w:pPr>
          </w:p>
        </w:tc>
        <w:tc>
          <w:tcPr>
            <w:tcW w:w="680" w:type="dxa"/>
            <w:vAlign w:val="bottom"/>
            <w:tcBorders>
              <w:top w:val="single" w:sz="8" w:color="auto"/>
            </w:tcBorders>
            <w:gridSpan w:val="2"/>
          </w:tcPr>
          <w:p>
            <w:pPr>
              <w:jc w:val="center"/>
              <w:ind w:right="220"/>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440" w:type="dxa"/>
            <w:vAlign w:val="bottom"/>
            <w:tcBorders>
              <w:top w:val="single" w:sz="8" w:color="auto"/>
            </w:tcBorders>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80" w:type="dxa"/>
            <w:vAlign w:val="bottom"/>
          </w:tcPr>
          <w:p>
            <w:pPr>
              <w:spacing w:after="0"/>
              <w:rPr>
                <w:sz w:val="6"/>
                <w:szCs w:val="6"/>
                <w:color w:val="auto"/>
              </w:rPr>
            </w:pPr>
          </w:p>
        </w:tc>
      </w:tr>
      <w:tr>
        <w:trPr>
          <w:trHeight w:val="115"/>
        </w:trPr>
        <w:tc>
          <w:tcPr>
            <w:tcW w:w="43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24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r>
      <w:tr>
        <w:trPr>
          <w:trHeight w:val="133"/>
        </w:trPr>
        <w:tc>
          <w:tcPr>
            <w:tcW w:w="4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Beginning balance</w:t>
            </w:r>
          </w:p>
        </w:tc>
        <w:tc>
          <w:tcPr>
            <w:tcW w:w="44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$ 45,932</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$ 48,496</w:t>
            </w:r>
          </w:p>
        </w:tc>
        <w:tc>
          <w:tcPr>
            <w:tcW w:w="80" w:type="dxa"/>
            <w:vAlign w:val="bottom"/>
            <w:shd w:val="clear" w:color="auto" w:fill="CCEEFF"/>
          </w:tcPr>
          <w:p>
            <w:pPr>
              <w:spacing w:after="0"/>
              <w:rPr>
                <w:sz w:val="11"/>
                <w:szCs w:val="11"/>
                <w:color w:val="auto"/>
              </w:rPr>
            </w:pPr>
          </w:p>
        </w:tc>
      </w:tr>
      <w:tr>
        <w:trPr>
          <w:trHeight w:val="144"/>
        </w:trPr>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Provisions</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1,405</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2,330</w:t>
            </w:r>
          </w:p>
        </w:tc>
      </w:tr>
      <w:tr>
        <w:trPr>
          <w:trHeight w:val="14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Severance payments</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(884)</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(871)</w:t>
            </w:r>
          </w:p>
        </w:tc>
      </w:tr>
      <w:tr>
        <w:trPr>
          <w:trHeight w:val="144"/>
        </w:trPr>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Translation adjustments</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(1,969)</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(1,381)</w:t>
            </w:r>
          </w:p>
        </w:tc>
      </w:tr>
      <w:tr>
        <w:trPr>
          <w:trHeight w:val="20"/>
        </w:trPr>
        <w:tc>
          <w:tcPr>
            <w:tcW w:w="4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3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44,484</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48,574</w:t>
            </w:r>
          </w:p>
        </w:tc>
      </w:tr>
      <w:tr>
        <w:trPr>
          <w:trHeight w:val="144"/>
        </w:trPr>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Less: Cumulative contributions to severance insurance deposit accounts</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(28,954)</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(24,747)</w:t>
            </w:r>
          </w:p>
        </w:tc>
      </w:tr>
      <w:tr>
        <w:trPr>
          <w:trHeight w:val="144"/>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The National Pension Fund</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(27)</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43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Group severance insurance plan</w:t>
            </w:r>
          </w:p>
        </w:tc>
        <w:tc>
          <w:tcPr>
            <w:tcW w:w="440" w:type="dxa"/>
            <w:vAlign w:val="bottom"/>
          </w:tcPr>
          <w:p>
            <w:pPr>
              <w:ind w:left="260"/>
              <w:spacing w:after="0"/>
              <w:rPr>
                <w:sz w:val="20"/>
                <w:szCs w:val="20"/>
                <w:color w:val="auto"/>
              </w:rPr>
            </w:pPr>
            <w:r>
              <w:rPr>
                <w:rFonts w:ascii="Times New Roman" w:cs="Times New Roman" w:eastAsia="Times New Roman" w:hAnsi="Times New Roman"/>
                <w:sz w:val="12"/>
                <w:szCs w:val="12"/>
                <w:color w:val="auto"/>
                <w:w w:val="88"/>
              </w:rPr>
              <w:t>— </w:t>
            </w:r>
          </w:p>
        </w:tc>
        <w:tc>
          <w:tcPr>
            <w:tcW w:w="2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(179)</w:t>
            </w:r>
          </w:p>
        </w:tc>
      </w:tr>
      <w:tr>
        <w:trPr>
          <w:trHeight w:val="20"/>
        </w:trPr>
        <w:tc>
          <w:tcPr>
            <w:tcW w:w="4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severance benefits, net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$ 15,503</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$ 23,608</w:t>
            </w:r>
          </w:p>
        </w:tc>
      </w:tr>
      <w:tr>
        <w:trPr>
          <w:trHeight w:val="27"/>
        </w:trPr>
        <w:tc>
          <w:tcPr>
            <w:tcW w:w="4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ind w:left="840" w:right="1039" w:firstLine="294"/>
        <w:spacing w:after="0" w:line="327" w:lineRule="auto"/>
        <w:rPr>
          <w:sz w:val="20"/>
          <w:szCs w:val="20"/>
          <w:color w:val="auto"/>
        </w:rPr>
      </w:pPr>
      <w:r>
        <w:rPr>
          <w:rFonts w:ascii="Times New Roman" w:cs="Times New Roman" w:eastAsia="Times New Roman" w:hAnsi="Times New Roman"/>
          <w:sz w:val="11"/>
          <w:szCs w:val="11"/>
          <w:color w:val="auto"/>
        </w:rPr>
        <w:t>The severance benefits funded through the Company’s National Pension Fund and group severance insurance plan have been and will be used exclusively for payment of severance benefits to eligible employees. These amounts have been deducted from the accrued severance benefit balance.</w:t>
      </w:r>
    </w:p>
    <w:p>
      <w:pPr>
        <w:spacing w:after="0" w:line="87" w:lineRule="exact"/>
        <w:rPr>
          <w:sz w:val="20"/>
          <w:szCs w:val="20"/>
          <w:color w:val="auto"/>
        </w:rPr>
      </w:pPr>
    </w:p>
    <w:p>
      <w:pPr>
        <w:ind w:left="840" w:right="959" w:firstLine="294"/>
        <w:spacing w:after="0" w:line="257" w:lineRule="auto"/>
        <w:rPr>
          <w:sz w:val="20"/>
          <w:szCs w:val="20"/>
          <w:color w:val="auto"/>
        </w:rPr>
      </w:pPr>
      <w:r>
        <w:rPr>
          <w:rFonts w:ascii="Times New Roman" w:cs="Times New Roman" w:eastAsia="Times New Roman" w:hAnsi="Times New Roman"/>
          <w:sz w:val="12"/>
          <w:szCs w:val="12"/>
          <w:color w:val="auto"/>
        </w:rPr>
        <w:t>Beginning in July 2018, the Company contributes to certain severance insurance deposit accounts a certain percentage of severance benefits that are accrued for eligible employees for their services from January 1, 2018 pursuant to Employee Retirement Benefit Security Act of Korea.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The Company is liable to pay the following future benefits to its non-executive employees upon their normal retirement age (in thousands):</w:t>
      </w:r>
    </w:p>
    <w:p>
      <w:pPr>
        <w:spacing w:after="0" w:line="162" w:lineRule="exact"/>
        <w:rPr>
          <w:sz w:val="20"/>
          <w:szCs w:val="20"/>
          <w:color w:val="auto"/>
        </w:rPr>
      </w:pPr>
    </w:p>
    <w:tbl>
      <w:tblPr>
        <w:tblLayout w:type="fixed"/>
        <w:tblInd w:w="202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8"/>
              </w:rPr>
              <w:t>Severance benefit</w:t>
            </w:r>
          </w:p>
        </w:tc>
      </w:tr>
      <w:tr>
        <w:trPr>
          <w:trHeight w:val="133"/>
        </w:trPr>
        <w:tc>
          <w:tcPr>
            <w:tcW w:w="42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Remainder of 2024</w:t>
            </w:r>
          </w:p>
        </w:tc>
        <w:tc>
          <w:tcPr>
            <w:tcW w:w="2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306</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324</w:t>
            </w:r>
          </w:p>
        </w:tc>
      </w:tr>
      <w:tr>
        <w:trPr>
          <w:trHeight w:val="14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543</w:t>
            </w:r>
          </w:p>
        </w:tc>
      </w:tr>
      <w:tr>
        <w:trPr>
          <w:trHeight w:val="144"/>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386</w:t>
            </w:r>
          </w:p>
        </w:tc>
      </w:tr>
      <w:tr>
        <w:trPr>
          <w:trHeight w:val="14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3,125</w:t>
            </w:r>
          </w:p>
        </w:tc>
      </w:tr>
      <w:tr>
        <w:trPr>
          <w:trHeight w:val="144"/>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2029</w:t>
            </w: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3,509</w:t>
            </w:r>
          </w:p>
        </w:tc>
      </w:tr>
      <w:tr>
        <w:trPr>
          <w:trHeight w:val="14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2030 — 2034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16,631</w:t>
            </w:r>
          </w:p>
        </w:tc>
      </w:tr>
    </w:tbl>
    <w:p>
      <w:pPr>
        <w:spacing w:after="0" w:line="133" w:lineRule="exact"/>
        <w:rPr>
          <w:sz w:val="20"/>
          <w:szCs w:val="20"/>
          <w:color w:val="auto"/>
        </w:rPr>
      </w:pPr>
    </w:p>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19" w:lineRule="exact"/>
        <w:rPr>
          <w:sz w:val="20"/>
          <w:szCs w:val="20"/>
          <w:color w:val="auto"/>
        </w:rPr>
      </w:pPr>
    </w:p>
    <w:p>
      <w:pPr>
        <w:ind w:left="840" w:right="1339" w:firstLine="294"/>
        <w:spacing w:after="0" w:line="279" w:lineRule="auto"/>
        <w:rPr>
          <w:sz w:val="20"/>
          <w:szCs w:val="20"/>
          <w:color w:val="auto"/>
        </w:rPr>
      </w:pPr>
      <w:r>
        <w:rPr>
          <w:rFonts w:ascii="Times New Roman" w:cs="Times New Roman" w:eastAsia="Times New Roman" w:hAnsi="Times New Roman"/>
          <w:sz w:val="12"/>
          <w:szCs w:val="12"/>
          <w:color w:val="auto"/>
        </w:rPr>
        <w:t>Korea’s mandatory retirement age is 60 years of age or older under the Employment Promotion for the Aged Act. The Company sets the retirement age of employees at 60.</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9019"/>
          </w:cols>
          <w:pgMar w:left="1440" w:top="242" w:right="1440" w:bottom="1440" w:gutter="0" w:footer="0" w:header="0"/>
        </w:sectPr>
      </w:pPr>
    </w:p>
    <w:bookmarkStart w:id="15" w:name="page16"/>
    <w:bookmarkEnd w:id="15"/>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9. Long-Term Borrowing</w:t>
      </w:r>
    </w:p>
    <w:p>
      <w:pPr>
        <w:spacing w:after="0" w:line="82" w:lineRule="exact"/>
        <w:rPr>
          <w:sz w:val="20"/>
          <w:szCs w:val="20"/>
          <w:color w:val="auto"/>
        </w:rPr>
      </w:pPr>
    </w:p>
    <w:p>
      <w:pPr>
        <w:ind w:left="840" w:right="979" w:firstLine="294"/>
        <w:spacing w:after="0" w:line="291" w:lineRule="auto"/>
        <w:rPr>
          <w:sz w:val="20"/>
          <w:szCs w:val="20"/>
          <w:color w:val="auto"/>
        </w:rPr>
      </w:pPr>
      <w:r>
        <w:rPr>
          <w:rFonts w:ascii="Times New Roman" w:cs="Times New Roman" w:eastAsia="Times New Roman" w:hAnsi="Times New Roman"/>
          <w:sz w:val="11"/>
          <w:szCs w:val="11"/>
          <w:color w:val="auto"/>
        </w:rPr>
        <w:t>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Kun-Pledge (Mortgage) Agreement (the “Pledge Agreement”) with KDB pursuant to which MSK pledged its real property and buildings located in Gumi, Korea (“Fab 3 properties”) in favor of KDB.</w:t>
      </w:r>
    </w:p>
    <w:p>
      <w:pPr>
        <w:spacing w:after="0" w:line="107" w:lineRule="exact"/>
        <w:rPr>
          <w:sz w:val="20"/>
          <w:szCs w:val="20"/>
          <w:color w:val="auto"/>
        </w:rPr>
      </w:pPr>
    </w:p>
    <w:p>
      <w:pPr>
        <w:ind w:left="840" w:right="1119" w:firstLine="294"/>
        <w:spacing w:after="0" w:line="265" w:lineRule="auto"/>
        <w:rPr>
          <w:sz w:val="20"/>
          <w:szCs w:val="20"/>
          <w:color w:val="auto"/>
        </w:rPr>
      </w:pPr>
      <w:r>
        <w:rPr>
          <w:rFonts w:ascii="Times New Roman" w:cs="Times New Roman" w:eastAsia="Times New Roman" w:hAnsi="Times New Roman"/>
          <w:sz w:val="12"/>
          <w:szCs w:val="12"/>
          <w:color w:val="auto"/>
        </w:rPr>
        <w:t>The Loan Agreement provides for a working capital term loan (the “Term Loan”) of KRW 40,000,000,000 (approximately $29,835 thousand based on the KRW/USD exchange rate of 1,340.7:1 as of March 26, 2024 as quoted by KEB Hana Bank), which was funded in full to MSK on March 26, 2024.</w:t>
      </w:r>
    </w:p>
    <w:p>
      <w:pPr>
        <w:spacing w:after="0" w:line="119"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The Term Loan bears interest at a variable rate equal to the 3-month CD rate quoted by KDB, plus 1.21%, which rate is adjusted quarterly. The initial interest rate on the Term Loan was 4.86% per annum. The Term Loan requires monthly interest-only payments and matures on March 26, 2027, at which time the full principal balance will be due and payable. All obligations of MSK under the Loan Agreement and the Term Loan are secured by the Fab 3 properties pursuant to the Pledge Agreement.</w:t>
      </w:r>
    </w:p>
    <w:p>
      <w:pPr>
        <w:spacing w:after="0" w:line="1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As of March 31, 2024, approximately $29,700 thousand aggregate principal amount of the Term Loan was outstanding.</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10. Foreign Currency Loss, Net</w:t>
      </w:r>
    </w:p>
    <w:p>
      <w:pPr>
        <w:spacing w:after="0" w:line="82" w:lineRule="exact"/>
        <w:rPr>
          <w:sz w:val="20"/>
          <w:szCs w:val="20"/>
          <w:color w:val="auto"/>
        </w:rPr>
      </w:pPr>
    </w:p>
    <w:p>
      <w:pPr>
        <w:ind w:left="840" w:right="839" w:firstLine="294"/>
        <w:spacing w:after="0" w:line="256" w:lineRule="auto"/>
        <w:rPr>
          <w:sz w:val="20"/>
          <w:szCs w:val="20"/>
          <w:color w:val="auto"/>
        </w:rPr>
      </w:pPr>
      <w:r>
        <w:rPr>
          <w:rFonts w:ascii="Times New Roman" w:cs="Times New Roman" w:eastAsia="Times New Roman" w:hAnsi="Times New Roman"/>
          <w:sz w:val="12"/>
          <w:szCs w:val="12"/>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MSK, one of the Company’s Korean subsidiaries. The loans are denominated in U.S. dollars and are affected by changes in the exchange rate between the Korean won and the U.S. dollar. As of March 31, 2024 and December 31, 2023, the outstanding intercompany loan balances including accrued interest between MSK and the Dutch subsidiary were $258,291 thousand and $285,136 thousand, respectively. The Korean won to U.S. dollar exchange rates were 1,346.8:1 and 1,289.4:1 using the first base rate as of March 31, 2024 and December 31, 2023, respectively, as quoted by the KEB Hana Bank.</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11. Income Taxes</w:t>
      </w:r>
    </w:p>
    <w:p>
      <w:pPr>
        <w:spacing w:after="0" w:line="82" w:lineRule="exact"/>
        <w:rPr>
          <w:sz w:val="20"/>
          <w:szCs w:val="20"/>
          <w:color w:val="auto"/>
        </w:rPr>
      </w:pPr>
    </w:p>
    <w:p>
      <w:pPr>
        <w:ind w:left="840" w:right="1059" w:firstLine="294"/>
        <w:spacing w:after="0" w:line="279" w:lineRule="auto"/>
        <w:rPr>
          <w:sz w:val="20"/>
          <w:szCs w:val="20"/>
          <w:color w:val="auto"/>
        </w:rPr>
      </w:pPr>
      <w:r>
        <w:rPr>
          <w:rFonts w:ascii="Times New Roman" w:cs="Times New Roman" w:eastAsia="Times New Roman" w:hAnsi="Times New Roman"/>
          <w:sz w:val="12"/>
          <w:szCs w:val="12"/>
          <w:color w:val="auto"/>
        </w:rPr>
        <w:t>The Company and its subsidiaries file income tax returns in Korea, Japan, Taiwan, the U.S. and in various other jurisdictions. The Company is subject to income or non-income tax examinations by tax authorities of these jurisdictions for all open tax years.</w:t>
      </w:r>
    </w:p>
    <w:p>
      <w:pPr>
        <w:spacing w:after="0" w:line="111" w:lineRule="exact"/>
        <w:rPr>
          <w:sz w:val="20"/>
          <w:szCs w:val="20"/>
          <w:color w:val="auto"/>
        </w:rPr>
      </w:pPr>
    </w:p>
    <w:p>
      <w:pPr>
        <w:ind w:left="840" w:right="1159" w:firstLine="294"/>
        <w:spacing w:after="0" w:line="279" w:lineRule="auto"/>
        <w:rPr>
          <w:sz w:val="20"/>
          <w:szCs w:val="20"/>
          <w:color w:val="auto"/>
        </w:rPr>
      </w:pPr>
      <w:r>
        <w:rPr>
          <w:rFonts w:ascii="Times New Roman" w:cs="Times New Roman" w:eastAsia="Times New Roman" w:hAnsi="Times New Roman"/>
          <w:sz w:val="12"/>
          <w:szCs w:val="12"/>
          <w:color w:val="auto"/>
        </w:rPr>
        <w:t>For the three months ended March 31, 2024, the Company recorded an income tax benefit of $1,024 thousand, primarily related to one of its operating entities in Korea based on the estimated taxable loss for the respective period.</w:t>
      </w:r>
    </w:p>
    <w:p>
      <w:pPr>
        <w:spacing w:after="0" w:line="111" w:lineRule="exact"/>
        <w:rPr>
          <w:sz w:val="20"/>
          <w:szCs w:val="20"/>
          <w:color w:val="auto"/>
        </w:rPr>
      </w:pPr>
    </w:p>
    <w:p>
      <w:pPr>
        <w:ind w:left="840" w:right="1259" w:firstLine="294"/>
        <w:spacing w:after="0" w:line="279" w:lineRule="auto"/>
        <w:rPr>
          <w:sz w:val="20"/>
          <w:szCs w:val="20"/>
          <w:color w:val="auto"/>
        </w:rPr>
      </w:pPr>
      <w:r>
        <w:rPr>
          <w:rFonts w:ascii="Times New Roman" w:cs="Times New Roman" w:eastAsia="Times New Roman" w:hAnsi="Times New Roman"/>
          <w:sz w:val="12"/>
          <w:szCs w:val="12"/>
          <w:color w:val="auto"/>
        </w:rPr>
        <w:t>For the three months ended March 31, 2023, the Company recorded an income tax benefit of $1,227 thousand, primarily related to its then primary operating entity in Korea based on the estimated taxable loss for the respective period.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9019"/>
          </w:cols>
          <w:pgMar w:left="1440" w:top="242" w:right="1440" w:bottom="1440" w:gutter="0" w:footer="0" w:header="0"/>
        </w:sectPr>
      </w:pPr>
    </w:p>
    <w:bookmarkStart w:id="16" w:name="page17"/>
    <w:bookmarkEnd w:id="16"/>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12. Geographic and Other Information</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Company operates within the operating segment, standard products business, and also reports Transitional Fab 3 Foundry Services revenue.</w:t>
      </w:r>
    </w:p>
    <w:p>
      <w:pPr>
        <w:spacing w:after="0" w:line="150" w:lineRule="exact"/>
        <w:rPr>
          <w:sz w:val="20"/>
          <w:szCs w:val="20"/>
          <w:color w:val="auto"/>
        </w:rPr>
      </w:pPr>
    </w:p>
    <w:p>
      <w:pPr>
        <w:ind w:left="840" w:right="919" w:firstLine="294"/>
        <w:spacing w:after="0" w:line="257" w:lineRule="auto"/>
        <w:rPr>
          <w:sz w:val="20"/>
          <w:szCs w:val="20"/>
          <w:color w:val="auto"/>
        </w:rPr>
      </w:pPr>
      <w:r>
        <w:rPr>
          <w:rFonts w:ascii="Times New Roman" w:cs="Times New Roman" w:eastAsia="Times New Roman" w:hAnsi="Times New Roman"/>
          <w:sz w:val="12"/>
          <w:szCs w:val="12"/>
          <w:color w:val="auto"/>
        </w:rPr>
        <w:t>In previous reporting periods, the Company categorized revenues from two business lines in its standard products business: the Display Solutions business line and the Power Solutions business line. As part of the Reorganization, the Company regrouped its standard products business into the Mixed-Signal Solutions business line and the Power Analog Solutions business line. Accordingly, effective as of the first quarter of fiscal 2024, the Company categorizes its standard product business revenue by those two regrouped business lines. See “Note 1. Business, Basis of Presentation and Significant Accounting Policies — Business” for additional information regarding the Reorganization.</w:t>
      </w:r>
    </w:p>
    <w:p>
      <w:pPr>
        <w:spacing w:after="0" w:line="125" w:lineRule="exact"/>
        <w:rPr>
          <w:sz w:val="20"/>
          <w:szCs w:val="20"/>
          <w:color w:val="auto"/>
        </w:rPr>
      </w:pPr>
    </w:p>
    <w:p>
      <w:pPr>
        <w:ind w:left="840" w:right="1199" w:firstLine="294"/>
        <w:spacing w:after="0" w:line="279" w:lineRule="auto"/>
        <w:rPr>
          <w:sz w:val="20"/>
          <w:szCs w:val="20"/>
          <w:color w:val="auto"/>
        </w:rPr>
      </w:pPr>
      <w:r>
        <w:rPr>
          <w:rFonts w:ascii="Times New Roman" w:cs="Times New Roman" w:eastAsia="Times New Roman" w:hAnsi="Times New Roman"/>
          <w:sz w:val="12"/>
          <w:szCs w:val="12"/>
          <w:color w:val="auto"/>
        </w:rPr>
        <w:t>Revenues for the three months ended March 31, 2023 from its previous product categories have been reclassified in order to conform to the current period presentation as follows (in thousands):</w:t>
      </w:r>
    </w:p>
    <w:p>
      <w:pPr>
        <w:spacing w:after="0" w:line="124"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23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rPr>
              <w:t>MSS</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PAS</w:t>
            </w:r>
          </w:p>
        </w:tc>
        <w:tc>
          <w:tcPr>
            <w:tcW w:w="220" w:type="dxa"/>
            <w:vAlign w:val="bottom"/>
          </w:tcPr>
          <w:p>
            <w:pPr>
              <w:spacing w:after="0"/>
              <w:rPr>
                <w:sz w:val="10"/>
                <w:szCs w:val="10"/>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33"/>
        </w:trPr>
        <w:tc>
          <w:tcPr>
            <w:tcW w:w="23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Display Solutions</w:t>
            </w:r>
          </w:p>
        </w:tc>
        <w:tc>
          <w:tcPr>
            <w:tcW w:w="1920" w:type="dxa"/>
            <w:vAlign w:val="bottom"/>
            <w:tcBorders>
              <w:top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$10,841</w:t>
            </w:r>
          </w:p>
        </w:tc>
        <w:tc>
          <w:tcPr>
            <w:tcW w:w="2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2"/>
              </w:rPr>
              <w:t>$10,841</w:t>
            </w: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$10,841</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Power Solutions</w:t>
            </w:r>
          </w:p>
        </w:tc>
        <w:tc>
          <w:tcPr>
            <w:tcW w:w="1520" w:type="dxa"/>
            <w:vAlign w:val="bottom"/>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40,673</w:t>
            </w:r>
          </w:p>
        </w:tc>
        <w:tc>
          <w:tcPr>
            <w:tcW w:w="220" w:type="dxa"/>
            <w:vAlign w:val="bottom"/>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1,966</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38,707</w:t>
            </w:r>
          </w:p>
        </w:tc>
        <w:tc>
          <w:tcPr>
            <w:tcW w:w="220" w:type="dxa"/>
            <w:vAlign w:val="bottom"/>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40,673</w:t>
            </w:r>
          </w:p>
        </w:tc>
        <w:tc>
          <w:tcPr>
            <w:tcW w:w="40" w:type="dxa"/>
            <w:vAlign w:val="bottom"/>
          </w:tcPr>
          <w:p>
            <w:pPr>
              <w:spacing w:after="0"/>
              <w:rPr>
                <w:sz w:val="12"/>
                <w:szCs w:val="12"/>
                <w:color w:val="auto"/>
              </w:rPr>
            </w:pPr>
          </w:p>
        </w:tc>
      </w:tr>
      <w:tr>
        <w:trPr>
          <w:trHeight w:val="142"/>
        </w:trPr>
        <w:tc>
          <w:tcPr>
            <w:tcW w:w="238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51,514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12,807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38,707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51,514</w:t>
            </w:r>
          </w:p>
        </w:tc>
        <w:tc>
          <w:tcPr>
            <w:tcW w:w="40" w:type="dxa"/>
            <w:vAlign w:val="bottom"/>
            <w:shd w:val="clear" w:color="auto" w:fill="CCEEFF"/>
          </w:tcPr>
          <w:p>
            <w:pPr>
              <w:spacing w:after="0"/>
              <w:rPr>
                <w:sz w:val="12"/>
                <w:szCs w:val="12"/>
                <w:color w:val="auto"/>
              </w:rPr>
            </w:pPr>
          </w:p>
        </w:tc>
      </w:tr>
      <w:tr>
        <w:trPr>
          <w:trHeight w:val="27"/>
        </w:trPr>
        <w:tc>
          <w:tcPr>
            <w:tcW w:w="2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2" w:lineRule="exact"/>
        <w:rPr>
          <w:sz w:val="20"/>
          <w:szCs w:val="20"/>
          <w:color w:val="auto"/>
        </w:rPr>
      </w:pPr>
    </w:p>
    <w:p>
      <w:pPr>
        <w:ind w:left="840" w:right="1139" w:firstLine="294"/>
        <w:spacing w:after="0" w:line="279" w:lineRule="auto"/>
        <w:rPr>
          <w:sz w:val="20"/>
          <w:szCs w:val="20"/>
          <w:color w:val="auto"/>
        </w:rPr>
      </w:pPr>
      <w:r>
        <w:rPr>
          <w:rFonts w:ascii="Times New Roman" w:cs="Times New Roman" w:eastAsia="Times New Roman" w:hAnsi="Times New Roman"/>
          <w:sz w:val="12"/>
          <w:szCs w:val="12"/>
          <w:color w:val="auto"/>
        </w:rPr>
        <w:t>The following sets forth information relating to the operating segment, standard products business, as well as the Transitional Fab 3 Foundry Services (in thousands):</w:t>
      </w:r>
    </w:p>
    <w:p>
      <w:pPr>
        <w:spacing w:after="0" w:line="124"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72"/>
        </w:trPr>
        <w:tc>
          <w:tcPr>
            <w:tcW w:w="4380" w:type="dxa"/>
            <w:vAlign w:val="bottom"/>
          </w:tcPr>
          <w:p>
            <w:pPr>
              <w:spacing w:after="0"/>
              <w:rPr>
                <w:sz w:val="6"/>
                <w:szCs w:val="6"/>
                <w:color w:val="auto"/>
              </w:rPr>
            </w:pPr>
          </w:p>
        </w:tc>
        <w:tc>
          <w:tcPr>
            <w:tcW w:w="740" w:type="dxa"/>
            <w:vAlign w:val="bottom"/>
            <w:tcBorders>
              <w:top w:val="single" w:sz="8" w:color="auto"/>
            </w:tcBorders>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380" w:type="dxa"/>
            <w:vAlign w:val="bottom"/>
            <w:tcBorders>
              <w:top w:val="single" w:sz="8" w:color="auto"/>
            </w:tcBorders>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80" w:type="dxa"/>
            <w:vAlign w:val="bottom"/>
          </w:tcPr>
          <w:p>
            <w:pPr>
              <w:spacing w:after="0"/>
              <w:rPr>
                <w:sz w:val="6"/>
                <w:szCs w:val="6"/>
                <w:color w:val="auto"/>
              </w:rPr>
            </w:pPr>
          </w:p>
        </w:tc>
      </w:tr>
      <w:tr>
        <w:trPr>
          <w:trHeight w:val="115"/>
        </w:trPr>
        <w:tc>
          <w:tcPr>
            <w:tcW w:w="4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320" w:type="dxa"/>
            <w:vAlign w:val="bottom"/>
          </w:tcPr>
          <w:p>
            <w:pPr>
              <w:spacing w:after="0"/>
              <w:rPr>
                <w:sz w:val="10"/>
                <w:szCs w:val="10"/>
                <w:color w:val="auto"/>
              </w:rPr>
            </w:pPr>
          </w:p>
        </w:tc>
        <w:tc>
          <w:tcPr>
            <w:tcW w:w="380" w:type="dxa"/>
            <w:vAlign w:val="bottom"/>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0"/>
                <w:szCs w:val="10"/>
                <w:color w:val="auto"/>
              </w:rPr>
            </w:pPr>
          </w:p>
        </w:tc>
      </w:tr>
      <w:tr>
        <w:trPr>
          <w:trHeight w:val="124"/>
        </w:trPr>
        <w:tc>
          <w:tcPr>
            <w:tcW w:w="43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Revenues</w:t>
            </w:r>
          </w:p>
        </w:tc>
        <w:tc>
          <w:tcPr>
            <w:tcW w:w="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right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left w:val="single" w:sz="8" w:color="CCEEFF"/>
            </w:tcBorders>
            <w:shd w:val="clear" w:color="auto" w:fill="CCEEFF"/>
          </w:tcPr>
          <w:p>
            <w:pPr>
              <w:spacing w:after="0"/>
              <w:rPr>
                <w:sz w:val="10"/>
                <w:szCs w:val="10"/>
                <w:color w:val="auto"/>
              </w:rPr>
            </w:pPr>
          </w:p>
        </w:tc>
      </w:tr>
      <w:tr>
        <w:trPr>
          <w:trHeight w:val="144"/>
        </w:trPr>
        <w:tc>
          <w:tcPr>
            <w:tcW w:w="43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Standard products business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Mixed-Signal Solutions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9,006</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5"/>
              </w:rPr>
              <w:t>$ 12,807</w:t>
            </w:r>
          </w:p>
        </w:tc>
      </w:tr>
      <w:tr>
        <w:trPr>
          <w:trHeight w:val="144"/>
        </w:trPr>
        <w:tc>
          <w:tcPr>
            <w:tcW w:w="438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Power Analog Solutions</w:t>
            </w:r>
          </w:p>
        </w:tc>
        <w:tc>
          <w:tcPr>
            <w:tcW w:w="80" w:type="dxa"/>
            <w:vAlign w:val="bottom"/>
          </w:tcPr>
          <w:p>
            <w:pPr>
              <w:spacing w:after="0"/>
              <w:rPr>
                <w:sz w:val="12"/>
                <w:szCs w:val="12"/>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w w:val="96"/>
              </w:rPr>
              <w:t>36,535</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38,707</w:t>
            </w:r>
          </w:p>
        </w:tc>
      </w:tr>
      <w:tr>
        <w:trPr>
          <w:trHeight w:val="20"/>
        </w:trPr>
        <w:tc>
          <w:tcPr>
            <w:tcW w:w="4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142"/>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standard products business</w:t>
            </w:r>
          </w:p>
        </w:tc>
        <w:tc>
          <w:tcPr>
            <w:tcW w:w="74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5"/>
              </w:rPr>
              <w:t>$ 45,541</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5"/>
              </w:rPr>
              <w:t>$ 51,514</w:t>
            </w:r>
          </w:p>
        </w:tc>
      </w:tr>
      <w:tr>
        <w:trPr>
          <w:trHeight w:val="144"/>
        </w:trPr>
        <w:tc>
          <w:tcPr>
            <w:tcW w:w="43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Transitional Fab 3 foundry services</w:t>
            </w:r>
          </w:p>
        </w:tc>
        <w:tc>
          <w:tcPr>
            <w:tcW w:w="80" w:type="dxa"/>
            <w:vAlign w:val="bottom"/>
          </w:tcPr>
          <w:p>
            <w:pPr>
              <w:spacing w:after="0"/>
              <w:rPr>
                <w:sz w:val="12"/>
                <w:szCs w:val="12"/>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3,526</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5,491</w:t>
            </w:r>
          </w:p>
        </w:tc>
      </w:tr>
      <w:tr>
        <w:trPr>
          <w:trHeight w:val="20"/>
        </w:trPr>
        <w:tc>
          <w:tcPr>
            <w:tcW w:w="4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142"/>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Total revenues</w:t>
            </w:r>
          </w:p>
        </w:tc>
        <w:tc>
          <w:tcPr>
            <w:tcW w:w="74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5"/>
              </w:rPr>
              <w:t>$ 49,067</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5"/>
              </w:rPr>
              <w:t>$ 57,005</w:t>
            </w:r>
          </w:p>
        </w:tc>
      </w:tr>
      <w:tr>
        <w:trPr>
          <w:trHeight w:val="27"/>
        </w:trPr>
        <w:tc>
          <w:tcPr>
            <w:tcW w:w="4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r>
      <w:tr>
        <w:trPr>
          <w:trHeight w:val="270"/>
        </w:trPr>
        <w:tc>
          <w:tcPr>
            <w:tcW w:w="4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72"/>
        </w:trPr>
        <w:tc>
          <w:tcPr>
            <w:tcW w:w="4380" w:type="dxa"/>
            <w:vAlign w:val="bottom"/>
          </w:tcPr>
          <w:p>
            <w:pPr>
              <w:spacing w:after="0"/>
              <w:rPr>
                <w:sz w:val="6"/>
                <w:szCs w:val="6"/>
                <w:color w:val="auto"/>
              </w:rPr>
            </w:pPr>
          </w:p>
        </w:tc>
        <w:tc>
          <w:tcPr>
            <w:tcW w:w="740" w:type="dxa"/>
            <w:vAlign w:val="bottom"/>
            <w:tcBorders>
              <w:top w:val="single" w:sz="8" w:color="auto"/>
            </w:tcBorders>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380" w:type="dxa"/>
            <w:vAlign w:val="bottom"/>
            <w:tcBorders>
              <w:top w:val="single" w:sz="8" w:color="auto"/>
            </w:tcBorders>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80" w:type="dxa"/>
            <w:vAlign w:val="bottom"/>
          </w:tcPr>
          <w:p>
            <w:pPr>
              <w:spacing w:after="0"/>
              <w:rPr>
                <w:sz w:val="6"/>
                <w:szCs w:val="6"/>
                <w:color w:val="auto"/>
              </w:rPr>
            </w:pPr>
          </w:p>
        </w:tc>
      </w:tr>
      <w:tr>
        <w:trPr>
          <w:trHeight w:val="115"/>
        </w:trPr>
        <w:tc>
          <w:tcPr>
            <w:tcW w:w="43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32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r>
      <w:tr>
        <w:trPr>
          <w:trHeight w:val="124"/>
        </w:trPr>
        <w:tc>
          <w:tcPr>
            <w:tcW w:w="4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Gross Profit</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r>
      <w:tr>
        <w:trPr>
          <w:trHeight w:val="144"/>
        </w:trPr>
        <w:tc>
          <w:tcPr>
            <w:tcW w:w="43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Standard products business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Mixed-Signal Solutions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4,019</w:t>
            </w:r>
          </w:p>
        </w:tc>
        <w:tc>
          <w:tcPr>
            <w:tcW w:w="3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2"/>
              </w:rPr>
              <w:t>$  3,868</w:t>
            </w:r>
          </w:p>
        </w:tc>
        <w:tc>
          <w:tcPr>
            <w:tcW w:w="80" w:type="dxa"/>
            <w:vAlign w:val="bottom"/>
            <w:tcBorders>
              <w:left w:val="single" w:sz="8" w:color="CCEEFF"/>
            </w:tcBorders>
            <w:shd w:val="clear" w:color="auto" w:fill="CCEEFF"/>
          </w:tcPr>
          <w:p>
            <w:pPr>
              <w:spacing w:after="0"/>
              <w:rPr>
                <w:sz w:val="12"/>
                <w:szCs w:val="12"/>
                <w:color w:val="auto"/>
              </w:rPr>
            </w:pPr>
          </w:p>
        </w:tc>
      </w:tr>
      <w:tr>
        <w:trPr>
          <w:trHeight w:val="144"/>
        </w:trPr>
        <w:tc>
          <w:tcPr>
            <w:tcW w:w="438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Power Analog Solutions</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5,634</w:t>
            </w:r>
          </w:p>
        </w:tc>
        <w:tc>
          <w:tcPr>
            <w:tcW w:w="3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10,334</w:t>
            </w:r>
          </w:p>
        </w:tc>
        <w:tc>
          <w:tcPr>
            <w:tcW w:w="80" w:type="dxa"/>
            <w:vAlign w:val="bottom"/>
          </w:tcPr>
          <w:p>
            <w:pPr>
              <w:spacing w:after="0"/>
              <w:rPr>
                <w:sz w:val="12"/>
                <w:szCs w:val="12"/>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standard products business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9,653</w:t>
            </w:r>
          </w:p>
        </w:tc>
        <w:tc>
          <w:tcPr>
            <w:tcW w:w="3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$ 14,202</w:t>
            </w:r>
          </w:p>
        </w:tc>
        <w:tc>
          <w:tcPr>
            <w:tcW w:w="80" w:type="dxa"/>
            <w:vAlign w:val="bottom"/>
            <w:tcBorders>
              <w:left w:val="single" w:sz="8" w:color="CCEEFF"/>
            </w:tcBorders>
            <w:shd w:val="clear" w:color="auto" w:fill="CCEEFF"/>
          </w:tcPr>
          <w:p>
            <w:pPr>
              <w:spacing w:after="0"/>
              <w:rPr>
                <w:sz w:val="12"/>
                <w:szCs w:val="12"/>
                <w:color w:val="auto"/>
              </w:rPr>
            </w:pPr>
          </w:p>
        </w:tc>
      </w:tr>
      <w:tr>
        <w:trPr>
          <w:trHeight w:val="144"/>
        </w:trPr>
        <w:tc>
          <w:tcPr>
            <w:tcW w:w="43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Transitional Fab 3 foundry services</w:t>
            </w:r>
          </w:p>
        </w:tc>
        <w:tc>
          <w:tcPr>
            <w:tcW w:w="8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(685)</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(2,108)</w:t>
            </w:r>
          </w:p>
        </w:tc>
      </w:tr>
      <w:tr>
        <w:trPr>
          <w:trHeight w:val="20"/>
        </w:trPr>
        <w:tc>
          <w:tcPr>
            <w:tcW w:w="4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Total gross profit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8,968</w:t>
            </w:r>
          </w:p>
        </w:tc>
        <w:tc>
          <w:tcPr>
            <w:tcW w:w="3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$ 12,094</w:t>
            </w:r>
          </w:p>
        </w:tc>
        <w:tc>
          <w:tcPr>
            <w:tcW w:w="80" w:type="dxa"/>
            <w:vAlign w:val="bottom"/>
            <w:tcBorders>
              <w:left w:val="single" w:sz="8" w:color="CCEEFF"/>
            </w:tcBorders>
            <w:shd w:val="clear" w:color="auto" w:fill="CCEEFF"/>
          </w:tcPr>
          <w:p>
            <w:pPr>
              <w:spacing w:after="0"/>
              <w:rPr>
                <w:sz w:val="12"/>
                <w:szCs w:val="12"/>
                <w:color w:val="auto"/>
              </w:rPr>
            </w:pPr>
          </w:p>
        </w:tc>
      </w:tr>
      <w:tr>
        <w:trPr>
          <w:trHeight w:val="27"/>
        </w:trPr>
        <w:tc>
          <w:tcPr>
            <w:tcW w:w="4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ind w:left="840" w:right="1179" w:firstLine="294"/>
        <w:spacing w:after="0" w:line="279" w:lineRule="auto"/>
        <w:rPr>
          <w:sz w:val="20"/>
          <w:szCs w:val="20"/>
          <w:color w:val="auto"/>
        </w:rPr>
      </w:pPr>
      <w:r>
        <w:rPr>
          <w:rFonts w:ascii="Times New Roman" w:cs="Times New Roman" w:eastAsia="Times New Roman" w:hAnsi="Times New Roman"/>
          <w:sz w:val="12"/>
          <w:szCs w:val="12"/>
          <w:color w:val="auto"/>
        </w:rPr>
        <w:t>The following is a summary of net sales — standard products business (which does not include the Transitional Fab 3 Foundry Services) by geographic region, based on the location to which the products are billed (in thousands):</w:t>
      </w:r>
    </w:p>
    <w:p>
      <w:pPr>
        <w:spacing w:after="0" w:line="124"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0" w:type="dxa"/>
            <w:vAlign w:val="bottom"/>
            <w:gridSpan w:val="4"/>
          </w:tcPr>
          <w:p>
            <w:pPr>
              <w:ind w:left="140"/>
              <w:spacing w:after="0"/>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72"/>
        </w:trPr>
        <w:tc>
          <w:tcPr>
            <w:tcW w:w="21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740" w:type="dxa"/>
            <w:vAlign w:val="bottom"/>
            <w:tcBorders>
              <w:top w:val="single" w:sz="8" w:color="auto"/>
            </w:tcBorders>
            <w:gridSpan w:val="2"/>
          </w:tcPr>
          <w:p>
            <w:pPr>
              <w:jc w:val="center"/>
              <w:ind w:right="320"/>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420" w:type="dxa"/>
            <w:vAlign w:val="bottom"/>
            <w:tcBorders>
              <w:top w:val="single" w:sz="8" w:color="auto"/>
            </w:tcBorders>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40" w:type="dxa"/>
            <w:vAlign w:val="bottom"/>
          </w:tcPr>
          <w:p>
            <w:pPr>
              <w:spacing w:after="0"/>
              <w:rPr>
                <w:sz w:val="6"/>
                <w:szCs w:val="6"/>
                <w:color w:val="auto"/>
              </w:rPr>
            </w:pPr>
          </w:p>
        </w:tc>
      </w:tr>
      <w:tr>
        <w:trPr>
          <w:trHeight w:val="115"/>
        </w:trPr>
        <w:tc>
          <w:tcPr>
            <w:tcW w:w="2100" w:type="dxa"/>
            <w:vAlign w:val="bottom"/>
          </w:tcPr>
          <w:p>
            <w:pPr>
              <w:spacing w:after="0"/>
              <w:rPr>
                <w:sz w:val="10"/>
                <w:szCs w:val="10"/>
                <w:color w:val="auto"/>
              </w:rPr>
            </w:pPr>
          </w:p>
        </w:tc>
        <w:tc>
          <w:tcPr>
            <w:tcW w:w="2700" w:type="dxa"/>
            <w:vAlign w:val="bottom"/>
            <w:gridSpan w:val="2"/>
          </w:tcPr>
          <w:p>
            <w:pPr>
              <w:jc w:val="center"/>
              <w:ind w:left="2243"/>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320" w:type="dxa"/>
            <w:vAlign w:val="bottom"/>
          </w:tcPr>
          <w:p>
            <w:pPr>
              <w:spacing w:after="0"/>
              <w:rPr>
                <w:sz w:val="10"/>
                <w:szCs w:val="10"/>
                <w:color w:val="auto"/>
              </w:rPr>
            </w:pPr>
          </w:p>
        </w:tc>
        <w:tc>
          <w:tcPr>
            <w:tcW w:w="420" w:type="dxa"/>
            <w:vAlign w:val="bottom"/>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Pr>
          <w:p>
            <w:pPr>
              <w:spacing w:after="0"/>
              <w:rPr>
                <w:sz w:val="10"/>
                <w:szCs w:val="10"/>
                <w:color w:val="auto"/>
              </w:rPr>
            </w:pPr>
          </w:p>
        </w:tc>
      </w:tr>
      <w:tr>
        <w:trPr>
          <w:trHeight w:val="133"/>
        </w:trPr>
        <w:tc>
          <w:tcPr>
            <w:tcW w:w="21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Korea</w:t>
            </w:r>
          </w:p>
        </w:tc>
        <w:tc>
          <w:tcPr>
            <w:tcW w:w="22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$ 18,144</w:t>
            </w:r>
          </w:p>
        </w:tc>
        <w:tc>
          <w:tcPr>
            <w:tcW w:w="3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$ 16,496</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2100" w:type="dxa"/>
            <w:vAlign w:val="bottom"/>
          </w:tcPr>
          <w:p>
            <w:pPr>
              <w:spacing w:after="0"/>
              <w:rPr>
                <w:sz w:val="20"/>
                <w:szCs w:val="20"/>
                <w:color w:val="auto"/>
              </w:rPr>
            </w:pPr>
            <w:r>
              <w:rPr>
                <w:rFonts w:ascii="Times New Roman" w:cs="Times New Roman" w:eastAsia="Times New Roman" w:hAnsi="Times New Roman"/>
                <w:sz w:val="12"/>
                <w:szCs w:val="12"/>
                <w:color w:val="auto"/>
              </w:rPr>
              <w:t>Asia Pacific (other than Korea)</w:t>
            </w:r>
          </w:p>
        </w:tc>
        <w:tc>
          <w:tcPr>
            <w:tcW w:w="302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25,665</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31,901</w:t>
            </w:r>
          </w:p>
        </w:tc>
      </w:tr>
      <w:tr>
        <w:trPr>
          <w:trHeight w:val="14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United States</w:t>
            </w:r>
          </w:p>
        </w:tc>
        <w:tc>
          <w:tcPr>
            <w:tcW w:w="3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338</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1,045</w:t>
            </w:r>
          </w:p>
        </w:tc>
      </w:tr>
      <w:tr>
        <w:trPr>
          <w:trHeight w:val="144"/>
        </w:trPr>
        <w:tc>
          <w:tcPr>
            <w:tcW w:w="2100" w:type="dxa"/>
            <w:vAlign w:val="bottom"/>
          </w:tcPr>
          <w:p>
            <w:pPr>
              <w:spacing w:after="0"/>
              <w:rPr>
                <w:sz w:val="20"/>
                <w:szCs w:val="20"/>
                <w:color w:val="auto"/>
              </w:rPr>
            </w:pPr>
            <w:r>
              <w:rPr>
                <w:rFonts w:ascii="Times New Roman" w:cs="Times New Roman" w:eastAsia="Times New Roman" w:hAnsi="Times New Roman"/>
                <w:sz w:val="12"/>
                <w:szCs w:val="12"/>
                <w:color w:val="auto"/>
              </w:rPr>
              <w:t>Europe</w:t>
            </w:r>
          </w:p>
        </w:tc>
        <w:tc>
          <w:tcPr>
            <w:tcW w:w="2280" w:type="dxa"/>
            <w:vAlign w:val="bottom"/>
          </w:tcPr>
          <w:p>
            <w:pPr>
              <w:spacing w:after="0"/>
              <w:rPr>
                <w:sz w:val="12"/>
                <w:szCs w:val="12"/>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1,394</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2,072</w:t>
            </w:r>
          </w:p>
        </w:tc>
      </w:tr>
      <w:tr>
        <w:trPr>
          <w:trHeight w:val="20"/>
        </w:trPr>
        <w:tc>
          <w:tcPr>
            <w:tcW w:w="2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9"/>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5"/>
              </w:rPr>
              <w:t>$ 45,541</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5"/>
              </w:rPr>
              <w:t>$ 51,514</w:t>
            </w:r>
          </w:p>
        </w:tc>
      </w:tr>
      <w:tr>
        <w:trPr>
          <w:trHeight w:val="252"/>
        </w:trPr>
        <w:tc>
          <w:tcPr>
            <w:tcW w:w="2100" w:type="dxa"/>
            <w:vAlign w:val="bottom"/>
          </w:tcPr>
          <w:p>
            <w:pPr>
              <w:spacing w:after="0"/>
              <w:rPr>
                <w:sz w:val="21"/>
                <w:szCs w:val="21"/>
                <w:color w:val="auto"/>
              </w:rPr>
            </w:pPr>
          </w:p>
        </w:tc>
        <w:tc>
          <w:tcPr>
            <w:tcW w:w="2280" w:type="dxa"/>
            <w:vAlign w:val="bottom"/>
          </w:tcPr>
          <w:p>
            <w:pPr>
              <w:jc w:val="right"/>
              <w:ind w:right="1483"/>
              <w:spacing w:after="0"/>
              <w:rPr>
                <w:sz w:val="20"/>
                <w:szCs w:val="20"/>
                <w:color w:val="auto"/>
              </w:rPr>
            </w:pPr>
            <w:r>
              <w:rPr>
                <w:rFonts w:ascii="Times New Roman" w:cs="Times New Roman" w:eastAsia="Times New Roman" w:hAnsi="Times New Roman"/>
                <w:sz w:val="12"/>
                <w:szCs w:val="12"/>
                <w:color w:val="auto"/>
              </w:rPr>
              <w:t>17</w:t>
            </w:r>
          </w:p>
        </w:tc>
        <w:tc>
          <w:tcPr>
            <w:tcW w:w="4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9019"/>
          </w:cols>
          <w:pgMar w:left="1440" w:top="242" w:right="1440" w:bottom="1440" w:gutter="0" w:footer="0" w:header="0"/>
        </w:sectPr>
      </w:pPr>
    </w:p>
    <w:bookmarkStart w:id="17" w:name="page18"/>
    <w:bookmarkEnd w:id="17"/>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For the three months ended March 31, 2024 and 2023, of the Company’s net sales — standard products business in Asia Pacific (other than Korea), net sales — standard products business in China and Hong Kong together represented 73.0% and 57.9%, respectively, and net sales — standard products business in Vietnam represented 5.8% and 17.8%, respectively.</w:t>
      </w:r>
    </w:p>
    <w:p>
      <w:pPr>
        <w:spacing w:after="0" w:line="119" w:lineRule="exact"/>
        <w:rPr>
          <w:sz w:val="20"/>
          <w:szCs w:val="20"/>
          <w:color w:val="auto"/>
        </w:rPr>
      </w:pPr>
    </w:p>
    <w:p>
      <w:pPr>
        <w:ind w:left="840" w:right="899" w:firstLine="294"/>
        <w:spacing w:after="0" w:line="279" w:lineRule="auto"/>
        <w:rPr>
          <w:sz w:val="20"/>
          <w:szCs w:val="20"/>
          <w:color w:val="auto"/>
        </w:rPr>
      </w:pPr>
      <w:r>
        <w:rPr>
          <w:rFonts w:ascii="Times New Roman" w:cs="Times New Roman" w:eastAsia="Times New Roman" w:hAnsi="Times New Roman"/>
          <w:sz w:val="12"/>
          <w:szCs w:val="12"/>
          <w:color w:val="auto"/>
        </w:rPr>
        <w:t>Net sales from the Company’s top ten largest customers in the standard products business (which does not include the Transitional Fab 3 Foundry Services) accounted for 74% and 71% for the three months ended March 31, 2024 and 2023, respectively.</w:t>
      </w:r>
    </w:p>
    <w:p>
      <w:pPr>
        <w:spacing w:after="0" w:line="111" w:lineRule="exact"/>
        <w:rPr>
          <w:sz w:val="20"/>
          <w:szCs w:val="20"/>
          <w:color w:val="auto"/>
        </w:rPr>
      </w:pPr>
    </w:p>
    <w:p>
      <w:pPr>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For the three months ended March 31, 2024, the Company had one customer that represented 24.7% of its net sales — standard products business. For the three months ended March 31, 2023, the Company had two customers that represented 16.4% and 13.7% of its net sales — standard products business, respectively.</w:t>
      </w:r>
    </w:p>
    <w:p>
      <w:pPr>
        <w:spacing w:after="0" w:line="119" w:lineRule="exact"/>
        <w:rPr>
          <w:sz w:val="20"/>
          <w:szCs w:val="20"/>
          <w:color w:val="auto"/>
        </w:rPr>
      </w:pPr>
    </w:p>
    <w:p>
      <w:pPr>
        <w:ind w:left="840" w:right="899" w:firstLine="294"/>
        <w:spacing w:after="0" w:line="260" w:lineRule="auto"/>
        <w:rPr>
          <w:sz w:val="20"/>
          <w:szCs w:val="20"/>
          <w:color w:val="auto"/>
        </w:rPr>
      </w:pPr>
      <w:r>
        <w:rPr>
          <w:rFonts w:ascii="Times New Roman" w:cs="Times New Roman" w:eastAsia="Times New Roman" w:hAnsi="Times New Roman"/>
          <w:sz w:val="12"/>
          <w:szCs w:val="12"/>
          <w:color w:val="auto"/>
        </w:rPr>
        <w:t>As of March 31, 2024, one customer of the Company’s standard products business accounted for 42.1% of its accounts receivable — standard products business (which does not include the Transitional Fab 3 Foundry Services). As of December 31, 2023, three customers of the Company’s standard products business accounted for 34.9%, 14.4% and 13.9% of its accounts receivable — standard products business (which does not include the Transitional Fab 3 Foundry Services), respectively.</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9019"/>
          </w:cols>
          <w:pgMar w:left="1440" w:top="246" w:right="1440" w:bottom="1440" w:gutter="0" w:footer="0" w:header="0"/>
        </w:sectPr>
      </w:pPr>
    </w:p>
    <w:bookmarkStart w:id="18" w:name="page19"/>
    <w:bookmarkEnd w:id="18"/>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13. Accumulated Other Comprehensive Loss</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Accumulated other comprehensive loss consists of the following as of March 31, 2024 and December 31, 2023, respectively (in thousands):</w:t>
      </w:r>
    </w:p>
    <w:p>
      <w:pPr>
        <w:spacing w:after="0" w:line="146"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6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416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0"/>
                <w:szCs w:val="10"/>
                <w:b w:val="1"/>
                <w:bCs w:val="1"/>
                <w:color w:val="auto"/>
              </w:rPr>
              <w:t>2024</w:t>
            </w:r>
          </w:p>
        </w:tc>
        <w:tc>
          <w:tcPr>
            <w:tcW w:w="3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r>
      <w:tr>
        <w:trPr>
          <w:trHeight w:val="133"/>
        </w:trPr>
        <w:tc>
          <w:tcPr>
            <w:tcW w:w="4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Foreign currency translation adjustments</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3"/>
              </w:rPr>
              <w:t>$(18,845)</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w w:val="82"/>
              </w:rPr>
              <w:t>(15,348)</w:t>
            </w:r>
          </w:p>
        </w:tc>
        <w:tc>
          <w:tcPr>
            <w:tcW w:w="80" w:type="dxa"/>
            <w:vAlign w:val="bottom"/>
            <w:shd w:val="clear" w:color="auto" w:fill="CCEEFF"/>
          </w:tcPr>
          <w:p>
            <w:pPr>
              <w:spacing w:after="0"/>
              <w:rPr>
                <w:sz w:val="11"/>
                <w:szCs w:val="11"/>
                <w:color w:val="auto"/>
              </w:rPr>
            </w:pPr>
          </w:p>
        </w:tc>
      </w:tr>
      <w:tr>
        <w:trPr>
          <w:trHeight w:val="144"/>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Derivative adjustments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691</w:t>
            </w:r>
          </w:p>
        </w:tc>
      </w:tr>
      <w:tr>
        <w:trPr>
          <w:trHeight w:val="20"/>
        </w:trPr>
        <w:tc>
          <w:tcPr>
            <w:tcW w:w="4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(18,700)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(14,657)</w:t>
            </w:r>
          </w:p>
        </w:tc>
      </w:tr>
      <w:tr>
        <w:trPr>
          <w:trHeight w:val="27"/>
        </w:trPr>
        <w:tc>
          <w:tcPr>
            <w:tcW w:w="4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Changes in accumulated other comprehensive loss for the three months ended March 31, 2024 and 2023 are as follows (in thousands):</w:t>
      </w:r>
    </w:p>
    <w:p>
      <w:pPr>
        <w:spacing w:after="0" w:line="146"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15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5"/>
          </w:tcPr>
          <w:p>
            <w:pPr>
              <w:jc w:val="center"/>
              <w:ind w:right="238"/>
              <w:spacing w:after="0"/>
              <w:rPr>
                <w:sz w:val="20"/>
                <w:szCs w:val="20"/>
                <w:color w:val="auto"/>
              </w:rPr>
            </w:pPr>
            <w:r>
              <w:rPr>
                <w:rFonts w:ascii="Times New Roman" w:cs="Times New Roman" w:eastAsia="Times New Roman" w:hAnsi="Times New Roman"/>
                <w:sz w:val="10"/>
                <w:szCs w:val="10"/>
                <w:b w:val="1"/>
                <w:bCs w:val="1"/>
                <w:color w:val="auto"/>
                <w:w w:val="95"/>
              </w:rPr>
              <w:t>Foreign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5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5"/>
          </w:tcPr>
          <w:p>
            <w:pPr>
              <w:jc w:val="center"/>
              <w:ind w:right="238"/>
              <w:spacing w:after="0" w:line="99" w:lineRule="exact"/>
              <w:rPr>
                <w:sz w:val="20"/>
                <w:szCs w:val="20"/>
                <w:color w:val="auto"/>
              </w:rPr>
            </w:pPr>
            <w:r>
              <w:rPr>
                <w:rFonts w:ascii="Times New Roman" w:cs="Times New Roman" w:eastAsia="Times New Roman" w:hAnsi="Times New Roman"/>
                <w:sz w:val="10"/>
                <w:szCs w:val="10"/>
                <w:b w:val="1"/>
                <w:bCs w:val="1"/>
                <w:color w:val="auto"/>
                <w:w w:val="93"/>
              </w:rPr>
              <w:t>currency</w:t>
            </w:r>
          </w:p>
        </w:tc>
        <w:tc>
          <w:tcPr>
            <w:tcW w:w="120" w:type="dxa"/>
            <w:vAlign w:val="bottom"/>
          </w:tcPr>
          <w:p>
            <w:pPr>
              <w:spacing w:after="0"/>
              <w:rPr>
                <w:sz w:val="8"/>
                <w:szCs w:val="8"/>
                <w:color w:val="auto"/>
              </w:rPr>
            </w:pPr>
          </w:p>
        </w:tc>
        <w:tc>
          <w:tcPr>
            <w:tcW w:w="700" w:type="dxa"/>
            <w:vAlign w:val="bottom"/>
            <w:gridSpan w:val="4"/>
            <w:vMerge w:val="restart"/>
          </w:tcPr>
          <w:p>
            <w:pPr>
              <w:jc w:val="right"/>
              <w:ind w:right="198"/>
              <w:spacing w:after="0"/>
              <w:rPr>
                <w:sz w:val="20"/>
                <w:szCs w:val="20"/>
                <w:color w:val="auto"/>
              </w:rPr>
            </w:pPr>
            <w:r>
              <w:rPr>
                <w:rFonts w:ascii="Times New Roman" w:cs="Times New Roman" w:eastAsia="Times New Roman" w:hAnsi="Times New Roman"/>
                <w:sz w:val="10"/>
                <w:szCs w:val="10"/>
                <w:b w:val="1"/>
                <w:bCs w:val="1"/>
                <w:color w:val="auto"/>
                <w:w w:val="98"/>
              </w:rPr>
              <w:t>Derivative</w:t>
            </w: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4"/>
              </w:rPr>
              <w:t>Three Months Ended March 31, 2024</w:t>
            </w:r>
          </w:p>
        </w:tc>
        <w:tc>
          <w:tcPr>
            <w:tcW w:w="214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gridSpan w:val="6"/>
          </w:tcPr>
          <w:p>
            <w:pPr>
              <w:jc w:val="center"/>
              <w:ind w:right="198"/>
              <w:spacing w:after="0" w:line="99" w:lineRule="exact"/>
              <w:rPr>
                <w:sz w:val="20"/>
                <w:szCs w:val="20"/>
                <w:color w:val="auto"/>
              </w:rPr>
            </w:pPr>
            <w:r>
              <w:rPr>
                <w:rFonts w:ascii="Times New Roman" w:cs="Times New Roman" w:eastAsia="Times New Roman" w:hAnsi="Times New Roman"/>
                <w:sz w:val="10"/>
                <w:szCs w:val="10"/>
                <w:b w:val="1"/>
                <w:bCs w:val="1"/>
                <w:color w:val="auto"/>
                <w:w w:val="98"/>
              </w:rPr>
              <w:t>translation</w:t>
            </w:r>
          </w:p>
        </w:tc>
        <w:tc>
          <w:tcPr>
            <w:tcW w:w="120" w:type="dxa"/>
            <w:vAlign w:val="bottom"/>
          </w:tcPr>
          <w:p>
            <w:pPr>
              <w:spacing w:after="0"/>
              <w:rPr>
                <w:sz w:val="8"/>
                <w:szCs w:val="8"/>
                <w:color w:val="auto"/>
              </w:rPr>
            </w:pPr>
          </w:p>
        </w:tc>
        <w:tc>
          <w:tcPr>
            <w:tcW w:w="70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vMerge w:val="restart"/>
          </w:tcPr>
          <w:p>
            <w:pPr>
              <w:jc w:val="right"/>
              <w:ind w:right="15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6"/>
        </w:trPr>
        <w:tc>
          <w:tcPr>
            <w:tcW w:w="1540" w:type="dxa"/>
            <w:vAlign w:val="bottom"/>
            <w:tcBorders>
              <w:bottom w:val="single" w:sz="8" w:color="auto"/>
            </w:tcBorders>
            <w:vMerge w:val="continue"/>
          </w:tcPr>
          <w:p>
            <w:pPr>
              <w:spacing w:after="0"/>
              <w:rPr>
                <w:sz w:val="10"/>
                <w:szCs w:val="10"/>
                <w:color w:val="auto"/>
              </w:rPr>
            </w:pPr>
          </w:p>
        </w:tc>
        <w:tc>
          <w:tcPr>
            <w:tcW w:w="2140" w:type="dxa"/>
            <w:vAlign w:val="bottom"/>
            <w:vMerge w:val="continue"/>
          </w:tcPr>
          <w:p>
            <w:pPr>
              <w:spacing w:after="0"/>
              <w:rPr>
                <w:sz w:val="10"/>
                <w:szCs w:val="10"/>
                <w:color w:val="auto"/>
              </w:rPr>
            </w:pPr>
          </w:p>
        </w:tc>
        <w:tc>
          <w:tcPr>
            <w:tcW w:w="1020" w:type="dxa"/>
            <w:vAlign w:val="bottom"/>
            <w:gridSpan w:val="7"/>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5"/>
              </w:rPr>
              <w:t>adjustments</w:t>
            </w:r>
          </w:p>
        </w:tc>
        <w:tc>
          <w:tcPr>
            <w:tcW w:w="820" w:type="dxa"/>
            <w:vAlign w:val="bottom"/>
            <w:gridSpan w:val="5"/>
          </w:tcPr>
          <w:p>
            <w:pPr>
              <w:jc w:val="right"/>
              <w:ind w:right="158"/>
              <w:spacing w:after="0" w:line="107" w:lineRule="exact"/>
              <w:rPr>
                <w:sz w:val="20"/>
                <w:szCs w:val="20"/>
                <w:color w:val="auto"/>
              </w:rPr>
            </w:pPr>
            <w:r>
              <w:rPr>
                <w:rFonts w:ascii="Times New Roman" w:cs="Times New Roman" w:eastAsia="Times New Roman" w:hAnsi="Times New Roman"/>
                <w:sz w:val="10"/>
                <w:szCs w:val="10"/>
                <w:b w:val="1"/>
                <w:bCs w:val="1"/>
                <w:color w:val="auto"/>
              </w:rPr>
              <w:t>adjustments</w:t>
            </w:r>
          </w:p>
        </w:tc>
        <w:tc>
          <w:tcPr>
            <w:tcW w:w="14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8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Beginning balance</w:t>
            </w:r>
          </w:p>
        </w:tc>
        <w:tc>
          <w:tcPr>
            <w:tcW w:w="2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(15,348</w:t>
            </w:r>
          </w:p>
        </w:tc>
        <w:tc>
          <w:tcPr>
            <w:tcW w:w="100" w:type="dxa"/>
            <w:vAlign w:val="bottom"/>
            <w:tcBorders>
              <w:top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left w:val="single" w:sz="8" w:color="CCEEFF"/>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691</w:t>
            </w: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(14,657</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Other comprehensive loss before reclassifications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1"/>
              </w:rPr>
              <w:t>(3,497)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Amounts reclassified from accumulated other comprehensive loss</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18"/>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current-period other comprehensive loss</w:t>
            </w:r>
          </w:p>
        </w:tc>
        <w:tc>
          <w:tcPr>
            <w:tcW w:w="2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1"/>
              </w:rPr>
              <w:t>(3,497)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Ending balance</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4"/>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(18,845)</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(18,700)</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15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gridSpan w:val="3"/>
          </w:tcPr>
          <w:p>
            <w:pPr>
              <w:jc w:val="center"/>
              <w:ind w:right="178"/>
              <w:spacing w:after="0"/>
              <w:rPr>
                <w:sz w:val="20"/>
                <w:szCs w:val="20"/>
                <w:color w:val="auto"/>
              </w:rPr>
            </w:pPr>
            <w:r>
              <w:rPr>
                <w:rFonts w:ascii="Times New Roman" w:cs="Times New Roman" w:eastAsia="Times New Roman" w:hAnsi="Times New Roman"/>
                <w:sz w:val="10"/>
                <w:szCs w:val="10"/>
                <w:b w:val="1"/>
                <w:bCs w:val="1"/>
                <w:color w:val="auto"/>
                <w:w w:val="95"/>
              </w:rPr>
              <w:t>Foreign</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5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3"/>
          </w:tcPr>
          <w:p>
            <w:pPr>
              <w:jc w:val="center"/>
              <w:ind w:right="178"/>
              <w:spacing w:after="0" w:line="99" w:lineRule="exact"/>
              <w:rPr>
                <w:sz w:val="20"/>
                <w:szCs w:val="20"/>
                <w:color w:val="auto"/>
              </w:rPr>
            </w:pPr>
            <w:r>
              <w:rPr>
                <w:rFonts w:ascii="Times New Roman" w:cs="Times New Roman" w:eastAsia="Times New Roman" w:hAnsi="Times New Roman"/>
                <w:sz w:val="10"/>
                <w:szCs w:val="10"/>
                <w:b w:val="1"/>
                <w:bCs w:val="1"/>
                <w:color w:val="auto"/>
                <w:w w:val="93"/>
              </w:rPr>
              <w:t>currency</w:t>
            </w:r>
          </w:p>
        </w:tc>
        <w:tc>
          <w:tcPr>
            <w:tcW w:w="120" w:type="dxa"/>
            <w:vAlign w:val="bottom"/>
          </w:tcPr>
          <w:p>
            <w:pPr>
              <w:spacing w:after="0"/>
              <w:rPr>
                <w:sz w:val="8"/>
                <w:szCs w:val="8"/>
                <w:color w:val="auto"/>
              </w:rPr>
            </w:pPr>
          </w:p>
        </w:tc>
        <w:tc>
          <w:tcPr>
            <w:tcW w:w="700" w:type="dxa"/>
            <w:vAlign w:val="bottom"/>
            <w:gridSpan w:val="4"/>
            <w:vMerge w:val="restart"/>
          </w:tcPr>
          <w:p>
            <w:pPr>
              <w:jc w:val="right"/>
              <w:ind w:right="158"/>
              <w:spacing w:after="0"/>
              <w:rPr>
                <w:sz w:val="20"/>
                <w:szCs w:val="20"/>
                <w:color w:val="auto"/>
              </w:rPr>
            </w:pPr>
            <w:r>
              <w:rPr>
                <w:rFonts w:ascii="Times New Roman" w:cs="Times New Roman" w:eastAsia="Times New Roman" w:hAnsi="Times New Roman"/>
                <w:sz w:val="10"/>
                <w:szCs w:val="10"/>
                <w:b w:val="1"/>
                <w:bCs w:val="1"/>
                <w:color w:val="auto"/>
              </w:rPr>
              <w:t>Derivative</w:t>
            </w: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4"/>
              </w:rPr>
              <w:t>Three Months Ended March 31, 2023</w:t>
            </w:r>
          </w:p>
        </w:tc>
        <w:tc>
          <w:tcPr>
            <w:tcW w:w="214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4"/>
          </w:tcPr>
          <w:p>
            <w:pPr>
              <w:jc w:val="center"/>
              <w:ind w:right="118"/>
              <w:spacing w:after="0" w:line="99" w:lineRule="exact"/>
              <w:rPr>
                <w:sz w:val="20"/>
                <w:szCs w:val="20"/>
                <w:color w:val="auto"/>
              </w:rPr>
            </w:pPr>
            <w:r>
              <w:rPr>
                <w:rFonts w:ascii="Times New Roman" w:cs="Times New Roman" w:eastAsia="Times New Roman" w:hAnsi="Times New Roman"/>
                <w:sz w:val="10"/>
                <w:szCs w:val="10"/>
                <w:b w:val="1"/>
                <w:bCs w:val="1"/>
                <w:color w:val="auto"/>
                <w:w w:val="94"/>
              </w:rPr>
              <w:t>translation</w:t>
            </w:r>
          </w:p>
        </w:tc>
        <w:tc>
          <w:tcPr>
            <w:tcW w:w="120" w:type="dxa"/>
            <w:vAlign w:val="bottom"/>
          </w:tcPr>
          <w:p>
            <w:pPr>
              <w:spacing w:after="0"/>
              <w:rPr>
                <w:sz w:val="8"/>
                <w:szCs w:val="8"/>
                <w:color w:val="auto"/>
              </w:rPr>
            </w:pPr>
          </w:p>
        </w:tc>
        <w:tc>
          <w:tcPr>
            <w:tcW w:w="70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vMerge w:val="restart"/>
          </w:tcPr>
          <w:p>
            <w:pPr>
              <w:jc w:val="right"/>
              <w:ind w:right="15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6"/>
        </w:trPr>
        <w:tc>
          <w:tcPr>
            <w:tcW w:w="1540" w:type="dxa"/>
            <w:vAlign w:val="bottom"/>
            <w:tcBorders>
              <w:bottom w:val="single" w:sz="8" w:color="auto"/>
            </w:tcBorders>
            <w:vMerge w:val="continue"/>
          </w:tcPr>
          <w:p>
            <w:pPr>
              <w:spacing w:after="0"/>
              <w:rPr>
                <w:sz w:val="10"/>
                <w:szCs w:val="10"/>
                <w:color w:val="auto"/>
              </w:rPr>
            </w:pPr>
          </w:p>
        </w:tc>
        <w:tc>
          <w:tcPr>
            <w:tcW w:w="21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5"/>
          </w:tcPr>
          <w:p>
            <w:pPr>
              <w:jc w:val="center"/>
              <w:ind w:right="58"/>
              <w:spacing w:after="0" w:line="107" w:lineRule="exact"/>
              <w:rPr>
                <w:sz w:val="20"/>
                <w:szCs w:val="20"/>
                <w:color w:val="auto"/>
              </w:rPr>
            </w:pPr>
            <w:r>
              <w:rPr>
                <w:rFonts w:ascii="Times New Roman" w:cs="Times New Roman" w:eastAsia="Times New Roman" w:hAnsi="Times New Roman"/>
                <w:sz w:val="10"/>
                <w:szCs w:val="10"/>
                <w:b w:val="1"/>
                <w:bCs w:val="1"/>
                <w:color w:val="auto"/>
                <w:w w:val="95"/>
              </w:rPr>
              <w:t>adjustments</w:t>
            </w:r>
          </w:p>
        </w:tc>
        <w:tc>
          <w:tcPr>
            <w:tcW w:w="120" w:type="dxa"/>
            <w:vAlign w:val="bottom"/>
          </w:tcPr>
          <w:p>
            <w:pPr>
              <w:spacing w:after="0"/>
              <w:rPr>
                <w:sz w:val="10"/>
                <w:szCs w:val="10"/>
                <w:color w:val="auto"/>
              </w:rPr>
            </w:pPr>
          </w:p>
        </w:tc>
        <w:tc>
          <w:tcPr>
            <w:tcW w:w="700" w:type="dxa"/>
            <w:vAlign w:val="bottom"/>
            <w:gridSpan w:val="4"/>
          </w:tcPr>
          <w:p>
            <w:pPr>
              <w:jc w:val="right"/>
              <w:ind w:right="118"/>
              <w:spacing w:after="0" w:line="107" w:lineRule="exact"/>
              <w:rPr>
                <w:sz w:val="20"/>
                <w:szCs w:val="20"/>
                <w:color w:val="auto"/>
              </w:rPr>
            </w:pPr>
            <w:r>
              <w:rPr>
                <w:rFonts w:ascii="Times New Roman" w:cs="Times New Roman" w:eastAsia="Times New Roman" w:hAnsi="Times New Roman"/>
                <w:sz w:val="10"/>
                <w:szCs w:val="10"/>
                <w:b w:val="1"/>
                <w:bCs w:val="1"/>
                <w:color w:val="auto"/>
                <w:w w:val="99"/>
              </w:rPr>
              <w:t>adjustments</w:t>
            </w:r>
          </w:p>
        </w:tc>
        <w:tc>
          <w:tcPr>
            <w:tcW w:w="14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8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Beginning balance</w:t>
            </w:r>
          </w:p>
        </w:tc>
        <w:tc>
          <w:tcPr>
            <w:tcW w:w="2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(11,328</w:t>
            </w:r>
          </w:p>
        </w:tc>
        <w:tc>
          <w:tcPr>
            <w:tcW w:w="140" w:type="dxa"/>
            <w:vAlign w:val="bottom"/>
            <w:tcBorders>
              <w:top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left w:val="single" w:sz="8" w:color="CCEEFF"/>
              <w:bottom w:val="single" w:sz="8" w:color="auto"/>
            </w:tcBorders>
            <w:shd w:val="clear" w:color="auto" w:fill="CCEEFF"/>
          </w:tcPr>
          <w:p>
            <w:pPr>
              <w:jc w:val="right"/>
              <w:ind w:right="14"/>
              <w:spacing w:after="0" w:line="122"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top w:val="single" w:sz="8" w:color="auto"/>
              <w:bottom w:val="single" w:sz="8" w:color="auto"/>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(1,225</w:t>
            </w:r>
          </w:p>
        </w:tc>
        <w:tc>
          <w:tcPr>
            <w:tcW w:w="160" w:type="dxa"/>
            <w:vAlign w:val="bottom"/>
            <w:tcBorders>
              <w:top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(12,553</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Other comprehensive loss before reclassifications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(1,908)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(1,135)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Amounts reclassified from accumulated other comprehensive loss</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current-period other comprehensive loss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(1,908)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Ending balance</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(13,236)</w:t>
            </w: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(1,757)</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(14,993)</w:t>
            </w:r>
          </w:p>
        </w:tc>
        <w:tc>
          <w:tcPr>
            <w:tcW w:w="0" w:type="dxa"/>
            <w:vAlign w:val="bottom"/>
          </w:tcPr>
          <w:p>
            <w:pPr>
              <w:spacing w:after="0"/>
              <w:rPr>
                <w:sz w:val="1"/>
                <w:szCs w:val="1"/>
                <w:color w:val="auto"/>
              </w:rPr>
            </w:pPr>
          </w:p>
        </w:tc>
      </w:tr>
      <w:tr>
        <w:trPr>
          <w:trHeight w:val="252"/>
        </w:trPr>
        <w:tc>
          <w:tcPr>
            <w:tcW w:w="3680" w:type="dxa"/>
            <w:vAlign w:val="bottom"/>
            <w:gridSpan w:val="2"/>
          </w:tcPr>
          <w:p>
            <w:pPr>
              <w:ind w:left="3020"/>
              <w:spacing w:after="0"/>
              <w:rPr>
                <w:sz w:val="20"/>
                <w:szCs w:val="20"/>
                <w:color w:val="auto"/>
              </w:rPr>
            </w:pPr>
            <w:r>
              <w:rPr>
                <w:rFonts w:ascii="Times New Roman" w:cs="Times New Roman" w:eastAsia="Times New Roman" w:hAnsi="Times New Roman"/>
                <w:sz w:val="12"/>
                <w:szCs w:val="12"/>
                <w:color w:val="auto"/>
              </w:rPr>
              <w:t>19</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2" w:right="1440" w:bottom="1440" w:gutter="0" w:footer="0" w:header="0"/>
        </w:sectPr>
      </w:pPr>
    </w:p>
    <w:bookmarkStart w:id="19" w:name="page20"/>
    <w:bookmarkEnd w:id="19"/>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14. Stock Repurchases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Expanded Stock Repurchase Program</w:t>
      </w:r>
    </w:p>
    <w:p>
      <w:pPr>
        <w:spacing w:after="0" w:line="82" w:lineRule="exact"/>
        <w:rPr>
          <w:sz w:val="20"/>
          <w:szCs w:val="20"/>
          <w:color w:val="auto"/>
        </w:rPr>
      </w:pPr>
    </w:p>
    <w:p>
      <w:pPr>
        <w:jc w:val="both"/>
        <w:ind w:left="840" w:right="1059" w:firstLine="294"/>
        <w:spacing w:after="0" w:line="260" w:lineRule="auto"/>
        <w:rPr>
          <w:sz w:val="20"/>
          <w:szCs w:val="20"/>
          <w:color w:val="auto"/>
        </w:rPr>
      </w:pPr>
      <w:r>
        <w:rPr>
          <w:rFonts w:ascii="Times New Roman" w:cs="Times New Roman" w:eastAsia="Times New Roman" w:hAnsi="Times New Roman"/>
          <w:sz w:val="12"/>
          <w:szCs w:val="12"/>
          <w:color w:val="auto"/>
        </w:rPr>
        <w:t>On August 31, 2022, the Board of Directors authorized an expansion of the Company’s previously announced stock repurchase program from $75 million to $87.5 million of its common stock. The Company has already repurchased shares worth $37.5 million under the program through an accelerated stock repurchase agreement on December 21, 2021 with JPMorgan Chase Bank, National Association. The remaining $50 million of the expanded $87.5 million program was planned to be repurchased in the open market or through privately negotiated transactions.</w:t>
      </w:r>
    </w:p>
    <w:p>
      <w:pPr>
        <w:spacing w:after="0" w:line="122" w:lineRule="exact"/>
        <w:rPr>
          <w:sz w:val="20"/>
          <w:szCs w:val="20"/>
          <w:color w:val="auto"/>
        </w:rPr>
      </w:pPr>
    </w:p>
    <w:p>
      <w:pPr>
        <w:ind w:left="840" w:right="1019" w:firstLine="294"/>
        <w:spacing w:after="0" w:line="279" w:lineRule="auto"/>
        <w:rPr>
          <w:sz w:val="20"/>
          <w:szCs w:val="20"/>
          <w:color w:val="auto"/>
        </w:rPr>
      </w:pPr>
      <w:r>
        <w:rPr>
          <w:rFonts w:ascii="Times New Roman" w:cs="Times New Roman" w:eastAsia="Times New Roman" w:hAnsi="Times New Roman"/>
          <w:sz w:val="12"/>
          <w:szCs w:val="12"/>
          <w:color w:val="auto"/>
        </w:rPr>
        <w:t>From September 2022 to December 2022, the Company repurchased 1,235,650 shares of its common stock in the open market for an aggregate purchase price of $12.5 million and a weighted average price per share of $10.13 under the stock repurchase program.</w:t>
      </w:r>
    </w:p>
    <w:p>
      <w:pPr>
        <w:spacing w:after="0" w:line="111" w:lineRule="exact"/>
        <w:rPr>
          <w:sz w:val="20"/>
          <w:szCs w:val="20"/>
          <w:color w:val="auto"/>
        </w:rPr>
      </w:pPr>
    </w:p>
    <w:p>
      <w:pPr>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During the first half of 2023, the Company repurchased 3,705,443 shares of its common stock in the open market for an aggregate purchase price of $37.4 million and a weighted average price per share of $10.10 under the expanded stock repurchase program. As of the end of June 2023, the Company had completed the repurchase of its common stock under its expanded stock repurchase program.</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New Stock Repurchase Program</w:t>
      </w:r>
    </w:p>
    <w:p>
      <w:pPr>
        <w:spacing w:after="0" w:line="82" w:lineRule="exact"/>
        <w:rPr>
          <w:sz w:val="20"/>
          <w:szCs w:val="20"/>
          <w:color w:val="auto"/>
        </w:rPr>
      </w:pPr>
    </w:p>
    <w:p>
      <w:pPr>
        <w:ind w:left="840" w:right="879" w:firstLine="294"/>
        <w:spacing w:after="0" w:line="279" w:lineRule="auto"/>
        <w:rPr>
          <w:sz w:val="20"/>
          <w:szCs w:val="20"/>
          <w:color w:val="auto"/>
        </w:rPr>
      </w:pPr>
      <w:r>
        <w:rPr>
          <w:rFonts w:ascii="Times New Roman" w:cs="Times New Roman" w:eastAsia="Times New Roman" w:hAnsi="Times New Roman"/>
          <w:sz w:val="12"/>
          <w:szCs w:val="12"/>
          <w:color w:val="auto"/>
        </w:rPr>
        <w:t>On July 19, 2023, the Board of Directors authorized a new $50 million stock buyback program. Purchases have been and will be made in the open market or in privately negotiated transactions, depending upon market conditions and other factors.</w:t>
      </w:r>
    </w:p>
    <w:p>
      <w:pPr>
        <w:spacing w:after="0" w:line="111" w:lineRule="exact"/>
        <w:rPr>
          <w:sz w:val="20"/>
          <w:szCs w:val="20"/>
          <w:color w:val="auto"/>
        </w:rPr>
      </w:pPr>
    </w:p>
    <w:p>
      <w:pPr>
        <w:ind w:left="840" w:right="1179" w:firstLine="294"/>
        <w:spacing w:after="0" w:line="279" w:lineRule="auto"/>
        <w:rPr>
          <w:sz w:val="20"/>
          <w:szCs w:val="20"/>
          <w:color w:val="auto"/>
        </w:rPr>
      </w:pPr>
      <w:r>
        <w:rPr>
          <w:rFonts w:ascii="Times New Roman" w:cs="Times New Roman" w:eastAsia="Times New Roman" w:hAnsi="Times New Roman"/>
          <w:sz w:val="12"/>
          <w:szCs w:val="12"/>
          <w:color w:val="auto"/>
        </w:rPr>
        <w:t>From August 2023 to December 2023, the Company repurchased 1,730,173 shares of its common stock in the open market for an aggregate purchase price of $13.6 million and a weighted average price per share of $7.84 under the new stock repurchase program.</w:t>
      </w:r>
    </w:p>
    <w:p>
      <w:pPr>
        <w:spacing w:after="0" w:line="111" w:lineRule="exact"/>
        <w:rPr>
          <w:sz w:val="20"/>
          <w:szCs w:val="20"/>
          <w:color w:val="auto"/>
        </w:rPr>
      </w:pPr>
    </w:p>
    <w:p>
      <w:pPr>
        <w:ind w:left="840" w:right="859" w:firstLine="294"/>
        <w:spacing w:after="0" w:line="279" w:lineRule="auto"/>
        <w:rPr>
          <w:sz w:val="20"/>
          <w:szCs w:val="20"/>
          <w:color w:val="auto"/>
        </w:rPr>
      </w:pPr>
      <w:r>
        <w:rPr>
          <w:rFonts w:ascii="Times New Roman" w:cs="Times New Roman" w:eastAsia="Times New Roman" w:hAnsi="Times New Roman"/>
          <w:sz w:val="12"/>
          <w:szCs w:val="12"/>
          <w:color w:val="auto"/>
        </w:rPr>
        <w:t>During the first quarter of 2024, the Company repurchased 626,279 shares of its common stock in the open market for an aggregate purchase price of $4.1 million and a weighted average price per share of $6.57 under the new stock repurchase program.</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9019"/>
          </w:cols>
          <w:pgMar w:left="1440" w:top="242" w:right="1440" w:bottom="1440" w:gutter="0" w:footer="0" w:header="0"/>
        </w:sectPr>
      </w:pPr>
    </w:p>
    <w:bookmarkStart w:id="20" w:name="page21"/>
    <w:bookmarkEnd w:id="20"/>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15. Loss Per Share</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following table illustrates the computation of basic and diluted loss per common share for the three months ended March 31, 2024 and 2023:</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6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72"/>
        </w:trPr>
        <w:tc>
          <w:tcPr>
            <w:tcW w:w="3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tcPr>
          <w:p>
            <w:pPr>
              <w:jc w:val="center"/>
              <w:ind w:right="580"/>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220" w:type="dxa"/>
            <w:vAlign w:val="bottom"/>
          </w:tcPr>
          <w:p>
            <w:pPr>
              <w:spacing w:after="0"/>
              <w:rPr>
                <w:sz w:val="6"/>
                <w:szCs w:val="6"/>
                <w:color w:val="auto"/>
              </w:rPr>
            </w:pPr>
          </w:p>
        </w:tc>
        <w:tc>
          <w:tcPr>
            <w:tcW w:w="680" w:type="dxa"/>
            <w:vAlign w:val="bottom"/>
          </w:tcPr>
          <w:p>
            <w:pPr>
              <w:jc w:val="center"/>
              <w:ind w:right="163"/>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80" w:type="dxa"/>
            <w:vAlign w:val="bottom"/>
          </w:tcPr>
          <w:p>
            <w:pPr>
              <w:spacing w:after="0"/>
              <w:rPr>
                <w:sz w:val="6"/>
                <w:szCs w:val="6"/>
                <w:color w:val="auto"/>
              </w:rPr>
            </w:pPr>
          </w:p>
        </w:tc>
      </w:tr>
      <w:tr>
        <w:trPr>
          <w:trHeight w:val="115"/>
        </w:trPr>
        <w:tc>
          <w:tcPr>
            <w:tcW w:w="3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0"/>
                <w:szCs w:val="10"/>
                <w:color w:val="auto"/>
              </w:rPr>
            </w:pPr>
          </w:p>
        </w:tc>
      </w:tr>
      <w:tr>
        <w:trPr>
          <w:trHeight w:val="88"/>
        </w:trPr>
        <w:tc>
          <w:tcPr>
            <w:tcW w:w="3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40" w:type="dxa"/>
            <w:vAlign w:val="bottom"/>
            <w:gridSpan w:val="4"/>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(In thousands of U.S. dollars, except share data)</w:t>
            </w:r>
          </w:p>
        </w:tc>
        <w:tc>
          <w:tcPr>
            <w:tcW w:w="80" w:type="dxa"/>
            <w:vAlign w:val="bottom"/>
          </w:tcPr>
          <w:p>
            <w:pPr>
              <w:spacing w:after="0"/>
              <w:rPr>
                <w:sz w:val="7"/>
                <w:szCs w:val="7"/>
                <w:color w:val="auto"/>
              </w:rPr>
            </w:pPr>
          </w:p>
        </w:tc>
      </w:tr>
      <w:tr>
        <w:trPr>
          <w:trHeight w:val="14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Basic Loss per Share</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(15,417)</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(21,470)</w:t>
            </w:r>
          </w:p>
        </w:tc>
      </w:tr>
      <w:tr>
        <w:trPr>
          <w:trHeight w:val="32"/>
        </w:trPr>
        <w:tc>
          <w:tcPr>
            <w:tcW w:w="3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weighted average common stock outstanding</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38,544,781</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43,390,832</w:t>
            </w:r>
          </w:p>
        </w:tc>
      </w:tr>
      <w:tr>
        <w:trPr>
          <w:trHeight w:val="144"/>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Basic loss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(0.40)</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(0.49)</w:t>
            </w:r>
          </w:p>
        </w:tc>
      </w:tr>
      <w:tr>
        <w:trPr>
          <w:trHeight w:val="14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Diluted Loss per Share</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(15,417)</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(21,470)</w:t>
            </w:r>
          </w:p>
        </w:tc>
      </w:tr>
      <w:tr>
        <w:trPr>
          <w:trHeight w:val="32"/>
        </w:trPr>
        <w:tc>
          <w:tcPr>
            <w:tcW w:w="3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weighted average common stock outstanding</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38,544,781</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43,390,832</w:t>
            </w:r>
          </w:p>
        </w:tc>
      </w:tr>
      <w:tr>
        <w:trPr>
          <w:trHeight w:val="144"/>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Net effect of dilutive equity awards</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2"/>
                <w:szCs w:val="12"/>
                <w:color w:val="auto"/>
                <w:w w:val="88"/>
              </w:rPr>
              <w:t>— </w:t>
            </w:r>
          </w:p>
        </w:tc>
        <w:tc>
          <w:tcPr>
            <w:tcW w:w="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tcPr>
          <w:p>
            <w:pPr>
              <w:spacing w:after="0"/>
              <w:rPr>
                <w:sz w:val="12"/>
                <w:szCs w:val="12"/>
                <w:color w:val="auto"/>
              </w:rPr>
            </w:pPr>
          </w:p>
        </w:tc>
      </w:tr>
      <w:tr>
        <w:trPr>
          <w:trHeight w:val="14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weighted average common stock outstanding</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38,544,781</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43,390,832</w:t>
            </w:r>
          </w:p>
        </w:tc>
      </w:tr>
      <w:tr>
        <w:trPr>
          <w:trHeight w:val="155"/>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Diluted loss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(0.40)</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(0.49)</w:t>
            </w:r>
          </w:p>
        </w:tc>
      </w:tr>
    </w:tbl>
    <w:p>
      <w:pPr>
        <w:spacing w:after="0" w:line="122" w:lineRule="exact"/>
        <w:rPr>
          <w:sz w:val="20"/>
          <w:szCs w:val="20"/>
          <w:color w:val="auto"/>
        </w:rPr>
      </w:pPr>
    </w:p>
    <w:p>
      <w:pPr>
        <w:ind w:left="840" w:right="879" w:firstLine="294"/>
        <w:spacing w:after="0" w:line="265" w:lineRule="auto"/>
        <w:rPr>
          <w:sz w:val="20"/>
          <w:szCs w:val="20"/>
          <w:color w:val="auto"/>
        </w:rPr>
      </w:pPr>
      <w:r>
        <w:rPr>
          <w:rFonts w:ascii="Times New Roman" w:cs="Times New Roman" w:eastAsia="Times New Roman" w:hAnsi="Times New Roman"/>
          <w:sz w:val="12"/>
          <w:szCs w:val="12"/>
          <w:color w:val="auto"/>
        </w:rPr>
        <w:t>Diluted loss per share adjusts basic loss per share for the potentially dilutive impact of stock options and restricted stock units. As the Company has reported loss for the three months ended March 31, 2024 and 2023, all potentially dilutive securities are antidilutive and accordingly not considered, therefore basic net loss per share equals diluted net loss per share.</w:t>
      </w:r>
    </w:p>
    <w:p>
      <w:pPr>
        <w:spacing w:after="0" w:line="119" w:lineRule="exact"/>
        <w:rPr>
          <w:sz w:val="20"/>
          <w:szCs w:val="20"/>
          <w:color w:val="auto"/>
        </w:rPr>
      </w:pPr>
    </w:p>
    <w:p>
      <w:pPr>
        <w:ind w:left="840" w:right="1019" w:firstLine="294"/>
        <w:spacing w:after="0" w:line="279" w:lineRule="auto"/>
        <w:rPr>
          <w:sz w:val="20"/>
          <w:szCs w:val="20"/>
          <w:color w:val="auto"/>
        </w:rPr>
      </w:pPr>
      <w:r>
        <w:rPr>
          <w:rFonts w:ascii="Times New Roman" w:cs="Times New Roman" w:eastAsia="Times New Roman" w:hAnsi="Times New Roman"/>
          <w:sz w:val="12"/>
          <w:szCs w:val="12"/>
          <w:color w:val="auto"/>
        </w:rPr>
        <w:t>The following outstanding instruments were excluded from the computation of diluted loss per share, as they have an anti-dilutive effect on the calculation:</w:t>
      </w:r>
    </w:p>
    <w:p>
      <w:pPr>
        <w:spacing w:after="0" w:line="124"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19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72"/>
        </w:trPr>
        <w:tc>
          <w:tcPr>
            <w:tcW w:w="19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580" w:type="dxa"/>
            <w:vAlign w:val="bottom"/>
            <w:tcBorders>
              <w:top w:val="single" w:sz="8" w:color="auto"/>
            </w:tcBorders>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520" w:type="dxa"/>
            <w:vAlign w:val="bottom"/>
            <w:tcBorders>
              <w:top w:val="single" w:sz="8" w:color="auto"/>
            </w:tcBorders>
          </w:tcPr>
          <w:p>
            <w:pPr>
              <w:ind w:left="40"/>
              <w:spacing w:after="0" w:line="72" w:lineRule="exact"/>
              <w:rPr>
                <w:sz w:val="20"/>
                <w:szCs w:val="20"/>
                <w:color w:val="auto"/>
              </w:rPr>
            </w:pPr>
            <w:r>
              <w:rPr>
                <w:rFonts w:ascii="Times New Roman" w:cs="Times New Roman" w:eastAsia="Times New Roman" w:hAnsi="Times New Roman"/>
                <w:sz w:val="8"/>
                <w:szCs w:val="8"/>
                <w:b w:val="1"/>
                <w:bCs w:val="1"/>
                <w:color w:val="auto"/>
              </w:rPr>
              <w:t>March 31,</w:t>
            </w:r>
          </w:p>
        </w:tc>
        <w:tc>
          <w:tcPr>
            <w:tcW w:w="40" w:type="dxa"/>
            <w:vAlign w:val="bottom"/>
          </w:tcPr>
          <w:p>
            <w:pPr>
              <w:spacing w:after="0"/>
              <w:rPr>
                <w:sz w:val="6"/>
                <w:szCs w:val="6"/>
                <w:color w:val="auto"/>
              </w:rPr>
            </w:pPr>
          </w:p>
        </w:tc>
      </w:tr>
      <w:tr>
        <w:trPr>
          <w:trHeight w:val="115"/>
        </w:trPr>
        <w:tc>
          <w:tcPr>
            <w:tcW w:w="1900" w:type="dxa"/>
            <w:vAlign w:val="bottom"/>
          </w:tcPr>
          <w:p>
            <w:pPr>
              <w:spacing w:after="0"/>
              <w:rPr>
                <w:sz w:val="10"/>
                <w:szCs w:val="10"/>
                <w:color w:val="auto"/>
              </w:rPr>
            </w:pPr>
          </w:p>
        </w:tc>
        <w:tc>
          <w:tcPr>
            <w:tcW w:w="2980" w:type="dxa"/>
            <w:vAlign w:val="bottom"/>
            <w:gridSpan w:val="2"/>
          </w:tcPr>
          <w:p>
            <w:pPr>
              <w:jc w:val="right"/>
              <w:ind w:right="70"/>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Pr>
          <w:p>
            <w:pPr>
              <w:spacing w:after="0"/>
              <w:rPr>
                <w:sz w:val="10"/>
                <w:szCs w:val="10"/>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Pr>
          <w:p>
            <w:pPr>
              <w:spacing w:after="0"/>
              <w:rPr>
                <w:sz w:val="10"/>
                <w:szCs w:val="10"/>
                <w:color w:val="auto"/>
              </w:rPr>
            </w:pPr>
          </w:p>
        </w:tc>
      </w:tr>
      <w:tr>
        <w:trPr>
          <w:trHeight w:val="133"/>
        </w:trPr>
        <w:tc>
          <w:tcPr>
            <w:tcW w:w="19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Options</w:t>
            </w:r>
          </w:p>
        </w:tc>
        <w:tc>
          <w:tcPr>
            <w:tcW w:w="25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757,858</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w w:val="95"/>
              </w:rPr>
              <w:t>1,116,158</w:t>
            </w:r>
          </w:p>
        </w:tc>
        <w:tc>
          <w:tcPr>
            <w:tcW w:w="40" w:type="dxa"/>
            <w:vAlign w:val="bottom"/>
            <w:tcBorders>
              <w:top w:val="single" w:sz="8" w:color="CCEEFF"/>
            </w:tcBorders>
            <w:shd w:val="clear" w:color="auto" w:fill="CCEEFF"/>
          </w:tcPr>
          <w:p>
            <w:pPr>
              <w:spacing w:after="0"/>
              <w:rPr>
                <w:sz w:val="11"/>
                <w:szCs w:val="11"/>
                <w:color w:val="auto"/>
              </w:rPr>
            </w:pPr>
          </w:p>
        </w:tc>
      </w:tr>
      <w:tr>
        <w:trPr>
          <w:trHeight w:val="155"/>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Restricted Stock Units</w:t>
            </w:r>
          </w:p>
        </w:tc>
        <w:tc>
          <w:tcPr>
            <w:tcW w:w="31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922,307</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1,434,827</w:t>
            </w:r>
          </w:p>
        </w:tc>
      </w:tr>
      <w:tr>
        <w:trPr>
          <w:trHeight w:val="232"/>
        </w:trPr>
        <w:tc>
          <w:tcPr>
            <w:tcW w:w="1900" w:type="dxa"/>
            <w:vAlign w:val="bottom"/>
          </w:tcPr>
          <w:p>
            <w:pPr>
              <w:spacing w:after="0"/>
              <w:rPr>
                <w:sz w:val="20"/>
                <w:szCs w:val="20"/>
                <w:color w:val="auto"/>
              </w:rPr>
            </w:pPr>
          </w:p>
        </w:tc>
        <w:tc>
          <w:tcPr>
            <w:tcW w:w="2540" w:type="dxa"/>
            <w:vAlign w:val="bottom"/>
          </w:tcPr>
          <w:p>
            <w:pPr>
              <w:jc w:val="right"/>
              <w:ind w:right="1544"/>
              <w:spacing w:after="0"/>
              <w:rPr>
                <w:sz w:val="20"/>
                <w:szCs w:val="20"/>
                <w:color w:val="auto"/>
              </w:rPr>
            </w:pPr>
            <w:r>
              <w:rPr>
                <w:rFonts w:ascii="Times New Roman" w:cs="Times New Roman" w:eastAsia="Times New Roman" w:hAnsi="Times New Roman"/>
                <w:sz w:val="12"/>
                <w:szCs w:val="12"/>
                <w:color w:val="auto"/>
              </w:rPr>
              <w:t>21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9019"/>
          </w:cols>
          <w:pgMar w:left="1440" w:top="242" w:right="1440" w:bottom="1440" w:gutter="0" w:footer="0" w:header="0"/>
        </w:sectPr>
      </w:pPr>
    </w:p>
    <w:bookmarkStart w:id="21" w:name="page22"/>
    <w:bookmarkEnd w:id="21"/>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16. Commitments and Contingencies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Advances to Suppliers</w:t>
      </w:r>
    </w:p>
    <w:p>
      <w:pPr>
        <w:spacing w:after="0" w:line="82" w:lineRule="exact"/>
        <w:rPr>
          <w:sz w:val="20"/>
          <w:szCs w:val="20"/>
          <w:color w:val="auto"/>
        </w:rPr>
      </w:pPr>
    </w:p>
    <w:p>
      <w:pPr>
        <w:ind w:left="840" w:right="1019" w:firstLine="294"/>
        <w:spacing w:after="0" w:line="265" w:lineRule="auto"/>
        <w:rPr>
          <w:sz w:val="20"/>
          <w:szCs w:val="20"/>
          <w:color w:val="auto"/>
        </w:rPr>
      </w:pPr>
      <w:r>
        <w:rPr>
          <w:rFonts w:ascii="Times New Roman" w:cs="Times New Roman" w:eastAsia="Times New Roman" w:hAnsi="Times New Roman"/>
          <w:sz w:val="12"/>
          <w:szCs w:val="12"/>
          <w:color w:val="auto"/>
        </w:rPr>
        <w:t>The Company, from time to time, may make advances in form of prepayments or deposits to suppliers, including external foundries, to meet its planned production. The Company recorded advances of $3,030 thousand and $3,883 thousand as other current assets as of March 31, 2024 and December 31, 2023, respectively.</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17. Subsequent Events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Derivative contracts</w:t>
      </w:r>
    </w:p>
    <w:p>
      <w:pPr>
        <w:spacing w:after="0" w:line="82" w:lineRule="exact"/>
        <w:rPr>
          <w:sz w:val="20"/>
          <w:szCs w:val="20"/>
          <w:color w:val="auto"/>
        </w:rPr>
      </w:pPr>
    </w:p>
    <w:p>
      <w:pPr>
        <w:ind w:left="840" w:right="899" w:firstLine="294"/>
        <w:spacing w:after="0" w:line="279" w:lineRule="auto"/>
        <w:rPr>
          <w:sz w:val="20"/>
          <w:szCs w:val="20"/>
          <w:color w:val="auto"/>
        </w:rPr>
      </w:pPr>
      <w:r>
        <w:rPr>
          <w:rFonts w:ascii="Times New Roman" w:cs="Times New Roman" w:eastAsia="Times New Roman" w:hAnsi="Times New Roman"/>
          <w:sz w:val="12"/>
          <w:szCs w:val="12"/>
          <w:color w:val="auto"/>
        </w:rPr>
        <w:t>In April 2024, the Company and NFIK entered into derivative contracts of zero cost collars for the period from October 2024 to March 2025. The total notional amounts are $18,000 thousand.</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9019"/>
          </w:cols>
          <w:pgMar w:left="1440" w:top="242"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FORWARD LOOKING STATEMENTS</w:t>
      </w:r>
    </w:p>
    <w:p>
      <w:pPr>
        <w:spacing w:after="0" w:line="154"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This Quarterly Report on Form 10-Q (this “Report”)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28" w:lineRule="exact"/>
        <w:rPr>
          <w:sz w:val="20"/>
          <w:szCs w:val="20"/>
          <w:color w:val="auto"/>
        </w:rPr>
      </w:pPr>
    </w:p>
    <w:p>
      <w:pPr>
        <w:ind w:left="840" w:right="879" w:firstLine="294"/>
        <w:spacing w:after="0" w:line="254" w:lineRule="auto"/>
        <w:rPr>
          <w:sz w:val="20"/>
          <w:szCs w:val="20"/>
          <w:color w:val="auto"/>
        </w:rPr>
      </w:pPr>
      <w:r>
        <w:rPr>
          <w:rFonts w:ascii="Times New Roman" w:cs="Times New Roman" w:eastAsia="Times New Roman" w:hAnsi="Times New Roman"/>
          <w:sz w:val="12"/>
          <w:szCs w:val="12"/>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for our fiscal year ended December 31, 2023 filed on March 8, 2024 (“2023 Form 10-K”).</w:t>
      </w:r>
    </w:p>
    <w:p>
      <w:pPr>
        <w:spacing w:after="0" w:line="126" w:lineRule="exact"/>
        <w:rPr>
          <w:sz w:val="20"/>
          <w:szCs w:val="20"/>
          <w:color w:val="auto"/>
        </w:rPr>
      </w:pPr>
    </w:p>
    <w:p>
      <w:pPr>
        <w:ind w:left="840" w:right="1139" w:firstLine="294"/>
        <w:spacing w:after="0" w:line="265" w:lineRule="auto"/>
        <w:rPr>
          <w:sz w:val="20"/>
          <w:szCs w:val="20"/>
          <w:color w:val="auto"/>
        </w:rPr>
      </w:pPr>
      <w:r>
        <w:rPr>
          <w:rFonts w:ascii="Times New Roman" w:cs="Times New Roman" w:eastAsia="Times New Roman" w:hAnsi="Times New Roman"/>
          <w:sz w:val="12"/>
          <w:szCs w:val="12"/>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19" w:lineRule="exact"/>
        <w:rPr>
          <w:sz w:val="20"/>
          <w:szCs w:val="20"/>
          <w:color w:val="auto"/>
        </w:rPr>
      </w:pPr>
    </w:p>
    <w:p>
      <w:pPr>
        <w:ind w:left="840" w:right="959" w:firstLine="294"/>
        <w:spacing w:after="0" w:line="279" w:lineRule="auto"/>
        <w:rPr>
          <w:sz w:val="20"/>
          <w:szCs w:val="20"/>
          <w:color w:val="auto"/>
        </w:rPr>
      </w:pPr>
      <w:r>
        <w:rPr>
          <w:rFonts w:ascii="Times New Roman" w:cs="Times New Roman" w:eastAsia="Times New Roman" w:hAnsi="Times New Roman"/>
          <w:sz w:val="12"/>
          <w:szCs w:val="12"/>
          <w:color w:val="auto"/>
        </w:rPr>
        <w:t>Statements made in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9019"/>
          </w:cols>
          <w:pgMar w:left="1440" w:top="242" w:right="1440" w:bottom="1440" w:gutter="0" w:footer="0" w:header="0"/>
        </w:sectPr>
      </w:pPr>
    </w:p>
    <w:bookmarkStart w:id="23" w:name="page24"/>
    <w:bookmarkEnd w:id="23"/>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2.</w:t>
      </w:r>
      <w:r>
        <w:rPr>
          <w:sz w:val="20"/>
          <w:szCs w:val="20"/>
          <w:color w:val="auto"/>
        </w:rPr>
        <w:tab/>
      </w:r>
      <w:r>
        <w:rPr>
          <w:rFonts w:ascii="Times New Roman" w:cs="Times New Roman" w:eastAsia="Times New Roman" w:hAnsi="Times New Roman"/>
          <w:sz w:val="12"/>
          <w:szCs w:val="12"/>
          <w:b w:val="1"/>
          <w:bCs w:val="1"/>
          <w:color w:val="auto"/>
        </w:rPr>
        <w:t>Management’s Discussion and Analysis of Financial Condition and Results of Operations</w:t>
      </w:r>
    </w:p>
    <w:p>
      <w:pPr>
        <w:spacing w:after="0" w:line="80" w:lineRule="exact"/>
        <w:rPr>
          <w:sz w:val="20"/>
          <w:szCs w:val="20"/>
          <w:color w:val="auto"/>
        </w:rPr>
      </w:pPr>
    </w:p>
    <w:p>
      <w:pPr>
        <w:ind w:left="840" w:right="1019" w:firstLine="294"/>
        <w:spacing w:after="0" w:line="283" w:lineRule="auto"/>
        <w:rPr>
          <w:sz w:val="20"/>
          <w:szCs w:val="20"/>
          <w:color w:val="auto"/>
        </w:rPr>
      </w:pPr>
      <w:r>
        <w:rPr>
          <w:rFonts w:ascii="Times New Roman" w:cs="Times New Roman" w:eastAsia="Times New Roman" w:hAnsi="Times New Roman"/>
          <w:sz w:val="12"/>
          <w:szCs w:val="12"/>
          <w:i w:val="1"/>
          <w:iCs w:val="1"/>
          <w:color w:val="auto"/>
        </w:rPr>
        <w:t>The following discussion and analysis should be read in conjunction with the unaudited consolidated financial statements and the related notes included elsewhere in this Report.</w:t>
      </w:r>
    </w:p>
    <w:p>
      <w:pPr>
        <w:spacing w:after="0" w:line="1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We are a designer and manufacturer of analog and mixed-signal semiconductor platform solutions for communication, Internet of Things (“IoT”), consumer, computing, industrial and automotive applications. We have a proven record with more than 40 years of operating history, a portfolio of approximately 1,100 registered patents and pending applications and extensive engineering and manufacturing process expertise.</w:t>
      </w:r>
    </w:p>
    <w:p>
      <w:pPr>
        <w:spacing w:after="0" w:line="119" w:lineRule="exact"/>
        <w:rPr>
          <w:sz w:val="20"/>
          <w:szCs w:val="20"/>
          <w:color w:val="auto"/>
        </w:rPr>
      </w:pPr>
    </w:p>
    <w:p>
      <w:pPr>
        <w:ind w:left="840" w:right="979" w:firstLine="294"/>
        <w:spacing w:after="0" w:line="279" w:lineRule="auto"/>
        <w:rPr>
          <w:sz w:val="20"/>
          <w:szCs w:val="20"/>
          <w:color w:val="auto"/>
        </w:rPr>
      </w:pPr>
      <w:r>
        <w:rPr>
          <w:rFonts w:ascii="Times New Roman" w:cs="Times New Roman" w:eastAsia="Times New Roman" w:hAnsi="Times New Roman"/>
          <w:sz w:val="12"/>
          <w:szCs w:val="12"/>
          <w:color w:val="auto"/>
        </w:rPr>
        <w:t>On May 30, 2023, we announced a plan to regroup the business lines in our standard products business, originally grouped as Display Solutions and Power Solutions business lines, into the following two business lines to better align our product strategies (the “Reorganization”):</w:t>
      </w:r>
    </w:p>
    <w:p>
      <w:pPr>
        <w:spacing w:after="0" w:line="48" w:lineRule="exact"/>
        <w:rPr>
          <w:sz w:val="20"/>
          <w:szCs w:val="20"/>
          <w:color w:val="auto"/>
        </w:rPr>
      </w:pPr>
    </w:p>
    <w:p>
      <w:pPr>
        <w:ind w:left="1480" w:right="1019" w:hanging="360"/>
        <w:spacing w:after="0" w:line="279" w:lineRule="auto"/>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display integrated circuit (“IC”) and power IC businesses, which are fabless, became the Mixed-Signal Solutions (“MSS”) business line; and</w:t>
      </w:r>
    </w:p>
    <w:p>
      <w:pPr>
        <w:spacing w:after="0" w:line="48" w:lineRule="exact"/>
        <w:rPr>
          <w:rFonts w:ascii="Times New Roman" w:cs="Times New Roman" w:eastAsia="Times New Roman" w:hAnsi="Times New Roman"/>
          <w:sz w:val="12"/>
          <w:szCs w:val="12"/>
          <w:color w:val="auto"/>
        </w:rPr>
      </w:pPr>
    </w:p>
    <w:p>
      <w:pPr>
        <w:ind w:left="1480" w:right="879" w:hanging="360"/>
        <w:spacing w:after="0" w:line="279" w:lineRule="auto"/>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power discrete business, which is an integrated device manufacturing (“IDM”) business, became the Power Analog Solutions (“PAS”) business line.</w:t>
      </w:r>
    </w:p>
    <w:p>
      <w:pPr>
        <w:spacing w:after="0" w:line="111" w:lineRule="exact"/>
        <w:rPr>
          <w:sz w:val="20"/>
          <w:szCs w:val="20"/>
          <w:color w:val="auto"/>
        </w:rPr>
      </w:pPr>
    </w:p>
    <w:p>
      <w:pPr>
        <w:ind w:left="840" w:right="839" w:firstLine="294"/>
        <w:spacing w:after="0" w:line="260" w:lineRule="auto"/>
        <w:rPr>
          <w:sz w:val="20"/>
          <w:szCs w:val="20"/>
          <w:color w:val="auto"/>
        </w:rPr>
      </w:pPr>
      <w:r>
        <w:rPr>
          <w:rFonts w:ascii="Times New Roman" w:cs="Times New Roman" w:eastAsia="Times New Roman" w:hAnsi="Times New Roman"/>
          <w:sz w:val="12"/>
          <w:szCs w:val="12"/>
          <w:color w:val="auto"/>
        </w:rPr>
        <w:t>On January 10, 2024, we transferred the MSS business line into a newly formed Korean limited liability company named “Magnachip Mixed-Signal, Ltd.” Following the Reorganization, our MSS business line is primarily operated by Magnachip Mixed-Signal, Ltd., and our PAS business line is primarily operated by Magnachip Semiconductor, Ltd., our already existing Korean operating entity. Both entities are indirect wholly owned subsidiaries of the Company.</w:t>
      </w:r>
    </w:p>
    <w:p>
      <w:pPr>
        <w:spacing w:after="0" w:line="122" w:lineRule="exact"/>
        <w:rPr>
          <w:sz w:val="20"/>
          <w:szCs w:val="20"/>
          <w:color w:val="auto"/>
        </w:rPr>
      </w:pPr>
    </w:p>
    <w:p>
      <w:pPr>
        <w:ind w:left="840" w:right="899" w:firstLine="294"/>
        <w:spacing w:after="0" w:line="254" w:lineRule="auto"/>
        <w:rPr>
          <w:sz w:val="20"/>
          <w:szCs w:val="20"/>
          <w:color w:val="auto"/>
        </w:rPr>
      </w:pPr>
      <w:r>
        <w:rPr>
          <w:rFonts w:ascii="Times New Roman" w:cs="Times New Roman" w:eastAsia="Times New Roman" w:hAnsi="Times New Roman"/>
          <w:sz w:val="12"/>
          <w:szCs w:val="12"/>
          <w:color w:val="auto"/>
        </w:rPr>
        <w:t>Our MSS business line consist of display IC and power IC businesses. Our display IC products provide flat panel display solutions to major suppliers of large and small flat panel displays. These products include source and gate drivers and timing controllers that cover flat panel displays used in an array of applications, applied with liquid crystal display (“LCD”), organic light emitting diodes (“OLED”) or micro light emitting diode (“Micro LED”). Since 2007, we have designed and manufactured OLED display driver IC products. Our current portfolio of OLED solutions address various resolutions, ranging from HD (High Definition) to UHD (Ultra High Definition), for a wide range of applications, including smartphones, televisions, automotive and IT applications, such as monitors, notebook PCs and tablet PCs, as well as AR/VRs. Our power IC products provide power IC solutions to major television suppliers and large panel display suppliers. These products include AC-DC/DC-DC converters, LED drivers, regulators, power management integrated circuits (“PMICs”) and level shifter for a range of devices, including televisions, wearable devices, notebooks, tablet PCs and others consumer electronics, as well as automotive applications.</w:t>
      </w:r>
    </w:p>
    <w:p>
      <w:pPr>
        <w:spacing w:after="0" w:line="126" w:lineRule="exact"/>
        <w:rPr>
          <w:sz w:val="20"/>
          <w:szCs w:val="20"/>
          <w:color w:val="auto"/>
        </w:rPr>
      </w:pPr>
    </w:p>
    <w:p>
      <w:pPr>
        <w:ind w:left="840" w:right="979" w:firstLine="294"/>
        <w:spacing w:after="0" w:line="257" w:lineRule="auto"/>
        <w:rPr>
          <w:sz w:val="20"/>
          <w:szCs w:val="20"/>
          <w:color w:val="auto"/>
        </w:rPr>
      </w:pPr>
      <w:r>
        <w:rPr>
          <w:rFonts w:ascii="Times New Roman" w:cs="Times New Roman" w:eastAsia="Times New Roman" w:hAnsi="Times New Roman"/>
          <w:sz w:val="12"/>
          <w:szCs w:val="12"/>
          <w:color w:val="auto"/>
        </w:rPr>
        <w:t>Our PAS business line produces power management semiconductor products, including power discrete solutions for power management in communication, consumer, computing, servers, automotive and industrial applications. These products include metal oxide semiconductor field effect transistors (“MOSFETs”) and insulated-gate bipolar transistors (“IGBTs”) for a range of devices, including televisions, smartphones, mobile phones, wearable devices, desktop PCs, notebook PCs, tablet PCs, other consumer electronics, as well as automotive and industrial applications such as power suppliers, e-bikes, solar inverters, LED lighting and motor drives.</w:t>
      </w:r>
    </w:p>
    <w:p>
      <w:pPr>
        <w:spacing w:after="0" w:line="125" w:lineRule="exact"/>
        <w:rPr>
          <w:sz w:val="20"/>
          <w:szCs w:val="20"/>
          <w:color w:val="auto"/>
        </w:rPr>
      </w:pPr>
    </w:p>
    <w:p>
      <w:pPr>
        <w:ind w:left="840" w:right="879" w:firstLine="294"/>
        <w:spacing w:after="0" w:line="256" w:lineRule="auto"/>
        <w:rPr>
          <w:sz w:val="20"/>
          <w:szCs w:val="20"/>
          <w:color w:val="auto"/>
        </w:rPr>
      </w:pPr>
      <w:r>
        <w:rPr>
          <w:rFonts w:ascii="Times New Roman" w:cs="Times New Roman" w:eastAsia="Times New Roman" w:hAnsi="Times New Roman"/>
          <w:sz w:val="12"/>
          <w:szCs w:val="12"/>
          <w:color w:val="auto"/>
        </w:rPr>
        <w:t>Our wide variety of analog and mixed-signal semiconductor products combined with our mature technology platform allow us to address multiple high-growth end markets and rapidly develop and introduce new products and services in response to market demands. Our design center in Korea and substantial global manufacturing operations place us at the core of the global electronics device supply chain. We believe this enables us to quickly and efficiently respond to our customers’ needs, and allows us to better serve and capture additional demand from existing and new customers. Certain of our OLED display driver IC and power IC products are produced using external foundries. Through a strategic cooperation with external foundries, we manage to ensure outsourcing wafers at competitive price and produce quality products.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9019"/>
          </w:cols>
          <w:pgMar w:left="1440" w:top="242" w:right="1440" w:bottom="1440" w:gutter="0" w:footer="0" w:header="0"/>
        </w:sectPr>
      </w:pPr>
    </w:p>
    <w:bookmarkStart w:id="24" w:name="page25"/>
    <w:bookmarkEnd w:id="24"/>
    <w:p>
      <w:pPr>
        <w:ind w:left="840" w:right="919" w:firstLine="294"/>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w:t>
      </w:r>
    </w:p>
    <w:p>
      <w:pPr>
        <w:spacing w:after="0" w:line="122" w:lineRule="exact"/>
        <w:rPr>
          <w:sz w:val="20"/>
          <w:szCs w:val="20"/>
          <w:color w:val="auto"/>
        </w:rPr>
      </w:pPr>
    </w:p>
    <w:p>
      <w:pPr>
        <w:ind w:left="840" w:right="899" w:firstLine="294"/>
        <w:spacing w:after="0" w:line="257" w:lineRule="auto"/>
        <w:rPr>
          <w:sz w:val="20"/>
          <w:szCs w:val="20"/>
          <w:color w:val="auto"/>
        </w:rPr>
      </w:pPr>
      <w:r>
        <w:rPr>
          <w:rFonts w:ascii="Times New Roman" w:cs="Times New Roman" w:eastAsia="Times New Roman" w:hAnsi="Times New Roman"/>
          <w:sz w:val="12"/>
          <w:szCs w:val="12"/>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25" w:lineRule="exact"/>
        <w:rPr>
          <w:sz w:val="20"/>
          <w:szCs w:val="20"/>
          <w:color w:val="auto"/>
        </w:rPr>
      </w:pPr>
    </w:p>
    <w:p>
      <w:pPr>
        <w:ind w:left="840" w:right="879" w:firstLine="294"/>
        <w:spacing w:after="0" w:line="255" w:lineRule="auto"/>
        <w:rPr>
          <w:sz w:val="20"/>
          <w:szCs w:val="20"/>
          <w:color w:val="auto"/>
        </w:rPr>
      </w:pPr>
      <w:r>
        <w:rPr>
          <w:rFonts w:ascii="Times New Roman" w:cs="Times New Roman" w:eastAsia="Times New Roman" w:hAnsi="Times New Roman"/>
          <w:sz w:val="12"/>
          <w:szCs w:val="12"/>
          <w:color w:val="auto"/>
        </w:rPr>
        <w:t>Demand for our products and services is driven by overall demand for communication, IoT, consumer, industrial and automotive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126" w:lineRule="exact"/>
        <w:rPr>
          <w:sz w:val="20"/>
          <w:szCs w:val="20"/>
          <w:color w:val="auto"/>
        </w:rPr>
      </w:pPr>
    </w:p>
    <w:p>
      <w:pPr>
        <w:ind w:left="840" w:right="859" w:firstLine="294"/>
        <w:spacing w:after="0" w:line="256" w:lineRule="auto"/>
        <w:rPr>
          <w:sz w:val="20"/>
          <w:szCs w:val="20"/>
          <w:color w:val="auto"/>
        </w:rPr>
      </w:pPr>
      <w:r>
        <w:rPr>
          <w:rFonts w:ascii="Times New Roman" w:cs="Times New Roman" w:eastAsia="Times New Roman" w:hAnsi="Times New Roman"/>
          <w:sz w:val="12"/>
          <w:szCs w:val="12"/>
          <w:color w:val="auto"/>
        </w:rPr>
        <w:t>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25" w:lineRule="exact"/>
        <w:rPr>
          <w:sz w:val="20"/>
          <w:szCs w:val="20"/>
          <w:color w:val="auto"/>
        </w:rPr>
      </w:pPr>
    </w:p>
    <w:p>
      <w:pPr>
        <w:ind w:left="840" w:right="959" w:firstLine="294"/>
        <w:spacing w:after="0" w:line="256" w:lineRule="auto"/>
        <w:rPr>
          <w:sz w:val="20"/>
          <w:szCs w:val="20"/>
          <w:color w:val="auto"/>
        </w:rPr>
      </w:pPr>
      <w:r>
        <w:rPr>
          <w:rFonts w:ascii="Times New Roman" w:cs="Times New Roman" w:eastAsia="Times New Roman" w:hAnsi="Times New Roman"/>
          <w:sz w:val="12"/>
          <w:szCs w:val="12"/>
          <w:color w:val="auto"/>
        </w:rPr>
        <w:t>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w:t>
      </w:r>
    </w:p>
    <w:p>
      <w:pPr>
        <w:spacing w:after="0" w:line="125" w:lineRule="exact"/>
        <w:rPr>
          <w:sz w:val="20"/>
          <w:szCs w:val="20"/>
          <w:color w:val="auto"/>
        </w:rPr>
      </w:pPr>
    </w:p>
    <w:p>
      <w:pPr>
        <w:ind w:left="840" w:right="859" w:firstLine="294"/>
        <w:spacing w:after="0" w:line="253" w:lineRule="auto"/>
        <w:rPr>
          <w:sz w:val="20"/>
          <w:szCs w:val="20"/>
          <w:color w:val="auto"/>
        </w:rPr>
      </w:pPr>
      <w:r>
        <w:rPr>
          <w:rFonts w:ascii="Times New Roman" w:cs="Times New Roman" w:eastAsia="Times New Roman" w:hAnsi="Times New Roman"/>
          <w:sz w:val="12"/>
          <w:szCs w:val="12"/>
          <w:color w:val="auto"/>
        </w:rPr>
        <w:t>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and 8-inch wafer capacity, such as OLED display driver IC and power IC products. We believe this balanced capital investment strategy enables us to optimize our capital investments and facilitates more diversified product and service offerings.</w:t>
      </w:r>
    </w:p>
    <w:p>
      <w:pPr>
        <w:spacing w:after="0" w:line="129" w:lineRule="exact"/>
        <w:rPr>
          <w:sz w:val="20"/>
          <w:szCs w:val="20"/>
          <w:color w:val="auto"/>
        </w:rPr>
      </w:pPr>
    </w:p>
    <w:p>
      <w:pPr>
        <w:ind w:left="840" w:right="859" w:firstLine="294"/>
        <w:spacing w:after="0" w:line="253" w:lineRule="auto"/>
        <w:rPr>
          <w:sz w:val="20"/>
          <w:szCs w:val="20"/>
          <w:color w:val="auto"/>
        </w:rPr>
      </w:pPr>
      <w:r>
        <w:rPr>
          <w:rFonts w:ascii="Times New Roman" w:cs="Times New Roman" w:eastAsia="Times New Roman" w:hAnsi="Times New Roman"/>
          <w:sz w:val="12"/>
          <w:szCs w:val="12"/>
          <w:color w:val="auto"/>
        </w:rPr>
        <w:t>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external 12-inch foundries starting in the second half of 2015 and we have started outsourcing 8-inch wafer for OLED TV ICs and power ICs after the sale of our fabrication facility located in Cheongju, Korea in 2020. This additional source of manufacturing is an increasingly important part of our supply chain management. By outsourcing manufacturing of OLED display driver IC and power IC products to external foundries, we are able to adapt dynamically to changing customer requirements and address growing markets without substantial capital investments by us. However, relying on external foundries exposes us to the risk of being unable to secure manufacturing capacity, particularly during the global shortage of foundry services. Although we work strategically with external foundries to ensure long-term wafer capacity, if these efforts are at any time unsuccessful, our ability to deliver products to our customers may be negatively impacted, which would adversely affect our relationship with customers and opportunities to secure new design-wins.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9019"/>
          </w:cols>
          <w:pgMar w:left="1440" w:top="246" w:right="1440" w:bottom="1440" w:gutter="0" w:footer="0" w:header="0"/>
        </w:sectPr>
      </w:pPr>
    </w:p>
    <w:bookmarkStart w:id="25" w:name="page26"/>
    <w:bookmarkEnd w:id="25"/>
    <w:p>
      <w:pPr>
        <w:ind w:left="840" w:right="959" w:firstLine="294"/>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9019"/>
          </w:cols>
          <w:pgMar w:left="1440" w:top="246" w:right="1440" w:bottom="1440" w:gutter="0" w:footer="0" w:header="0"/>
        </w:sectPr>
      </w:pPr>
    </w:p>
    <w:bookmarkStart w:id="26" w:name="page27"/>
    <w:bookmarkEnd w:id="26"/>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Recent Developments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Loan Agreement</w:t>
      </w:r>
    </w:p>
    <w:p>
      <w:pPr>
        <w:spacing w:after="0" w:line="82" w:lineRule="exact"/>
        <w:rPr>
          <w:sz w:val="20"/>
          <w:szCs w:val="20"/>
          <w:color w:val="auto"/>
        </w:rPr>
      </w:pPr>
    </w:p>
    <w:p>
      <w:pPr>
        <w:ind w:left="840" w:right="979" w:firstLine="294"/>
        <w:spacing w:after="0" w:line="291" w:lineRule="auto"/>
        <w:rPr>
          <w:sz w:val="20"/>
          <w:szCs w:val="20"/>
          <w:color w:val="auto"/>
        </w:rPr>
      </w:pPr>
      <w:r>
        <w:rPr>
          <w:rFonts w:ascii="Times New Roman" w:cs="Times New Roman" w:eastAsia="Times New Roman" w:hAnsi="Times New Roman"/>
          <w:sz w:val="11"/>
          <w:szCs w:val="11"/>
          <w:color w:val="auto"/>
        </w:rPr>
        <w:t>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Kun-Pledge (Mortgage) Agreement (the “Pledge Agreement”) with KDB pursuant to which MSK pledged its real property and buildings located in Gumi, Korea (“Fab 3 properties”) in favor of KDB.</w:t>
      </w:r>
    </w:p>
    <w:p>
      <w:pPr>
        <w:spacing w:after="0" w:line="107" w:lineRule="exact"/>
        <w:rPr>
          <w:sz w:val="20"/>
          <w:szCs w:val="20"/>
          <w:color w:val="auto"/>
        </w:rPr>
      </w:pPr>
    </w:p>
    <w:p>
      <w:pPr>
        <w:ind w:left="840" w:right="879" w:firstLine="294"/>
        <w:spacing w:after="0" w:line="327" w:lineRule="auto"/>
        <w:rPr>
          <w:sz w:val="20"/>
          <w:szCs w:val="20"/>
          <w:color w:val="auto"/>
        </w:rPr>
      </w:pPr>
      <w:r>
        <w:rPr>
          <w:rFonts w:ascii="Times New Roman" w:cs="Times New Roman" w:eastAsia="Times New Roman" w:hAnsi="Times New Roman"/>
          <w:sz w:val="11"/>
          <w:szCs w:val="11"/>
          <w:color w:val="auto"/>
        </w:rPr>
        <w:t>The Loan Agreement provides for a working capital term loan (the “Term Loan”) of KRW 40,000,000,000 (approximately $29.8 million based on the KRW/USD exchange rate of 1,340.7:1 as of March 26, 2024 as quoted by KEB Hana Bank), which was funded in full to MSK on March 26, 2024.</w:t>
      </w:r>
    </w:p>
    <w:p>
      <w:pPr>
        <w:spacing w:after="0" w:line="87"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The Term Loan bears interest at a variable rate equal to the 3-month CD rate quoted by KDB, plus 1.21%, which rate is adjusted quarterly. The initial interest rate on the Term Loan was 4.86% per annum. The Term Loan requires monthly interest-only payments and matures on March 26, 2027, at which time the full principal balance will be due and payable. All obligations of MSK under the Loan Agreement and the Term Loan are secured by the Fab 3 properties pursuant to the Pledge Agreement.</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New Stock Repurchase Program</w:t>
      </w:r>
    </w:p>
    <w:p>
      <w:pPr>
        <w:spacing w:after="0" w:line="82" w:lineRule="exact"/>
        <w:rPr>
          <w:sz w:val="20"/>
          <w:szCs w:val="20"/>
          <w:color w:val="auto"/>
        </w:rPr>
      </w:pPr>
    </w:p>
    <w:p>
      <w:pPr>
        <w:ind w:left="840" w:right="859" w:firstLine="294"/>
        <w:spacing w:after="0" w:line="279" w:lineRule="auto"/>
        <w:rPr>
          <w:sz w:val="20"/>
          <w:szCs w:val="20"/>
          <w:color w:val="auto"/>
        </w:rPr>
      </w:pPr>
      <w:r>
        <w:rPr>
          <w:rFonts w:ascii="Times New Roman" w:cs="Times New Roman" w:eastAsia="Times New Roman" w:hAnsi="Times New Roman"/>
          <w:sz w:val="12"/>
          <w:szCs w:val="12"/>
          <w:color w:val="auto"/>
        </w:rPr>
        <w:t>On July 19, 2023, our Board of Directors authorized a new $50 million stock buyback program. Purchases have been and will be made in the open market or in privately negotiated transactions, depending upon market conditions and other factors.</w:t>
      </w:r>
    </w:p>
    <w:p>
      <w:pPr>
        <w:spacing w:after="0" w:line="111" w:lineRule="exact"/>
        <w:rPr>
          <w:sz w:val="20"/>
          <w:szCs w:val="20"/>
          <w:color w:val="auto"/>
        </w:rPr>
      </w:pPr>
    </w:p>
    <w:p>
      <w:pPr>
        <w:ind w:left="840" w:right="899" w:firstLine="294"/>
        <w:spacing w:after="0" w:line="279" w:lineRule="auto"/>
        <w:rPr>
          <w:sz w:val="20"/>
          <w:szCs w:val="20"/>
          <w:color w:val="auto"/>
        </w:rPr>
      </w:pPr>
      <w:r>
        <w:rPr>
          <w:rFonts w:ascii="Times New Roman" w:cs="Times New Roman" w:eastAsia="Times New Roman" w:hAnsi="Times New Roman"/>
          <w:sz w:val="12"/>
          <w:szCs w:val="12"/>
          <w:color w:val="auto"/>
        </w:rPr>
        <w:t>From August 2023 to December 2023, we repurchased 1,730,173 shares of our common stock in the open market for an aggregate purchase price of $13.6 million and a weighted average price per share of $7.84 under the new stock repurchase program.</w:t>
      </w:r>
    </w:p>
    <w:p>
      <w:pPr>
        <w:spacing w:after="0" w:line="111" w:lineRule="exact"/>
        <w:rPr>
          <w:sz w:val="20"/>
          <w:szCs w:val="20"/>
          <w:color w:val="auto"/>
        </w:rPr>
      </w:pPr>
    </w:p>
    <w:p>
      <w:pPr>
        <w:ind w:left="840" w:right="1179" w:firstLine="294"/>
        <w:spacing w:after="0" w:line="279" w:lineRule="auto"/>
        <w:rPr>
          <w:sz w:val="20"/>
          <w:szCs w:val="20"/>
          <w:color w:val="auto"/>
        </w:rPr>
      </w:pPr>
      <w:r>
        <w:rPr>
          <w:rFonts w:ascii="Times New Roman" w:cs="Times New Roman" w:eastAsia="Times New Roman" w:hAnsi="Times New Roman"/>
          <w:sz w:val="12"/>
          <w:szCs w:val="12"/>
          <w:color w:val="auto"/>
        </w:rPr>
        <w:t>During the first quarter of 2024, we repurchased 626,279 shares of our common stock in the open market for an aggregate purchase price of $4.1 million and a weighted average price per share of $6.57 under the new stock repurchase program.</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Macroeconomic Industry Conditions</w:t>
      </w:r>
    </w:p>
    <w:p>
      <w:pPr>
        <w:spacing w:after="0" w:line="82" w:lineRule="exact"/>
        <w:rPr>
          <w:sz w:val="20"/>
          <w:szCs w:val="20"/>
          <w:color w:val="auto"/>
        </w:rPr>
      </w:pPr>
    </w:p>
    <w:p>
      <w:pPr>
        <w:ind w:left="840" w:right="919" w:firstLine="294"/>
        <w:spacing w:after="0" w:line="256" w:lineRule="auto"/>
        <w:rPr>
          <w:sz w:val="20"/>
          <w:szCs w:val="20"/>
          <w:color w:val="auto"/>
        </w:rPr>
      </w:pPr>
      <w:r>
        <w:rPr>
          <w:rFonts w:ascii="Times New Roman" w:cs="Times New Roman" w:eastAsia="Times New Roman" w:hAnsi="Times New Roman"/>
          <w:sz w:val="12"/>
          <w:szCs w:val="12"/>
          <w:color w:val="auto"/>
        </w:rPr>
        <w:t>The semiconductor industry continues to face a number of macroeconomic challenges, including rising inflation, increased interest rates, supply chain disruptions, inventory corrections, shifting customer and end-user demand, fluctuations in currency rates, and geopolitical tensions, including without limitation ongoing conflicts involving Russia and Ukraine and Israel and Hamas including sustained military action and conflict in the Red Sea and recent escalations between Iran and Israel, any one of and all of which may cause volatility and unpredictability in the market for semiconductor products and end-user demand. The length and severity of these macroeconomic events and their overall impact on our business, results of operations and financial condition remain uncertain.</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Developments in Export Control Regulations</w:t>
      </w:r>
    </w:p>
    <w:p>
      <w:pPr>
        <w:spacing w:after="0" w:line="82" w:lineRule="exact"/>
        <w:rPr>
          <w:sz w:val="20"/>
          <w:szCs w:val="20"/>
          <w:color w:val="auto"/>
        </w:rPr>
      </w:pPr>
    </w:p>
    <w:p>
      <w:pPr>
        <w:ind w:left="840" w:right="859" w:firstLine="294"/>
        <w:spacing w:after="0" w:line="253" w:lineRule="auto"/>
        <w:rPr>
          <w:sz w:val="20"/>
          <w:szCs w:val="20"/>
          <w:color w:val="auto"/>
        </w:rPr>
      </w:pPr>
      <w:r>
        <w:rPr>
          <w:rFonts w:ascii="Times New Roman" w:cs="Times New Roman" w:eastAsia="Times New Roman" w:hAnsi="Times New Roman"/>
          <w:sz w:val="12"/>
          <w:szCs w:val="12"/>
          <w:color w:val="auto"/>
        </w:rPr>
        <w:t>On October 7, 2022, the Bureau of Industry and Security (BIS) of the U.S. Department of Commerce published changes to U.S. export control regulations (U.S. Export Regulations), including new restrictions on Chinese entities’ ability to obtain advanced computing chips, develop and maintain supercomputers, and manufacture advanced semiconductors. Further, on October 12, 2022, a new rule went into effect requiring U.S. persons to obtain a license prior to engaging in certain activities that could “support” certain end-uses and end-users, including those related to weapons of mass destruction. Additionally, on October 21, 2022, BIS brought into effect a series of new Foreign Direct Product (FDP) rules and various new controls on advanced computing items, significantly expanding the scope of items that are subject to export control under the U.S. Export Regulations. More recently, on October 25, 2023, BIS published additional rules, which went into effect on November 17, 2023 to expand, clarify, and correct the rules published in October 2022. A further corrected and clarified version of these rules went into effect on April 4, 2024. Based on our understanding of the U.S. Export Regulations and related rules currently in effect, we do not anticipate that they will have a material impact on our current business, but we will continue reviewing and assessing these rules and regulations and their potential impact on our business. Additional changes to the U.S. Export Regulations are expected, but the scope or timing of such changes is unknown. We will continue to monitor such developments, including potential additional trade restrictions, and other regulatory or policy changes by the U.S. and foreign governments.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9019"/>
          </w:cols>
          <w:pgMar w:left="1440" w:top="242" w:right="1440" w:bottom="1440" w:gutter="0" w:footer="0" w:header="0"/>
        </w:sectPr>
      </w:pPr>
    </w:p>
    <w:bookmarkStart w:id="27" w:name="page28"/>
    <w:bookmarkEnd w:id="27"/>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Explanation and Reconciliation of Non-U.S. GAAP Measures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Adjusted EBITDA, Adjusted Operating Income (Loss) and Adjusted Net Income (Loss)</w:t>
      </w:r>
    </w:p>
    <w:p>
      <w:pPr>
        <w:spacing w:after="0" w:line="82" w:lineRule="exact"/>
        <w:rPr>
          <w:sz w:val="20"/>
          <w:szCs w:val="20"/>
          <w:color w:val="auto"/>
        </w:rPr>
      </w:pPr>
    </w:p>
    <w:p>
      <w:pPr>
        <w:ind w:left="840" w:right="959" w:firstLine="294"/>
        <w:spacing w:after="0" w:line="280" w:lineRule="auto"/>
        <w:rPr>
          <w:sz w:val="20"/>
          <w:szCs w:val="20"/>
          <w:color w:val="auto"/>
        </w:rPr>
      </w:pPr>
      <w:r>
        <w:rPr>
          <w:rFonts w:ascii="Times New Roman" w:cs="Times New Roman" w:eastAsia="Times New Roman" w:hAnsi="Times New Roman"/>
          <w:sz w:val="11"/>
          <w:szCs w:val="11"/>
          <w:color w:val="auto"/>
        </w:rPr>
        <w:t>We use the terms Adjusted EBITDA, Adjusted Operating Income (Loss) and Adjusted Net Income (Loss) (including on a per share basis) in this Report. Adjusted EBITDA, as we define it, is a non-U.S. GAAP measure. We define Adjusted EBITDA for the periods indicated as EBITDA (as defined below), adjusted to exclude (i) equity-based compensation expense, (ii) foreign currency loss, net, (iii) derivative valuation loss (gain), net and</w:t>
      </w:r>
    </w:p>
    <w:p>
      <w:pPr>
        <w:ind w:left="840" w:right="1059" w:hanging="8"/>
        <w:spacing w:after="0" w:line="260" w:lineRule="auto"/>
        <w:tabs>
          <w:tab w:leader="none" w:pos="1043"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early termination charges. EBITDA for the periods indicated is defined as net income (loss) before interest income, interest expense, income tax benefit, and depreciation and amortization.</w:t>
      </w:r>
    </w:p>
    <w:p>
      <w:pPr>
        <w:spacing w:after="0" w:line="122" w:lineRule="exact"/>
        <w:rPr>
          <w:sz w:val="20"/>
          <w:szCs w:val="20"/>
          <w:color w:val="auto"/>
        </w:rPr>
      </w:pPr>
    </w:p>
    <w:p>
      <w:pPr>
        <w:ind w:left="840" w:right="839" w:firstLine="294"/>
        <w:spacing w:after="0" w:line="279" w:lineRule="auto"/>
        <w:rPr>
          <w:sz w:val="20"/>
          <w:szCs w:val="20"/>
          <w:color w:val="auto"/>
        </w:rPr>
      </w:pPr>
      <w:r>
        <w:rPr>
          <w:rFonts w:ascii="Times New Roman" w:cs="Times New Roman" w:eastAsia="Times New Roman" w:hAnsi="Times New Roman"/>
          <w:sz w:val="12"/>
          <w:szCs w:val="12"/>
          <w:color w:val="auto"/>
        </w:rPr>
        <w:t>See the footnotes to the table below for further information regarding these items. We present Adjusted EBITDA as a supplemental measure of our performance because:</w:t>
      </w:r>
    </w:p>
    <w:p>
      <w:pPr>
        <w:spacing w:after="0" w:line="48" w:lineRule="exact"/>
        <w:rPr>
          <w:sz w:val="20"/>
          <w:szCs w:val="20"/>
          <w:color w:val="auto"/>
        </w:rPr>
      </w:pPr>
    </w:p>
    <w:p>
      <w:pPr>
        <w:ind w:left="1120" w:right="879" w:hanging="216"/>
        <w:spacing w:after="0" w:line="265" w:lineRule="auto"/>
        <w:tabs>
          <w:tab w:leader="none" w:pos="11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55" w:lineRule="exact"/>
        <w:rPr>
          <w:rFonts w:ascii="Times New Roman" w:cs="Times New Roman" w:eastAsia="Times New Roman" w:hAnsi="Times New Roman"/>
          <w:sz w:val="12"/>
          <w:szCs w:val="12"/>
          <w:color w:val="auto"/>
        </w:rPr>
      </w:pPr>
    </w:p>
    <w:p>
      <w:pPr>
        <w:ind w:left="1120" w:right="939" w:hanging="216"/>
        <w:spacing w:after="0" w:line="265" w:lineRule="auto"/>
        <w:tabs>
          <w:tab w:leader="none" w:pos="11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w:t>
      </w:r>
    </w:p>
    <w:p>
      <w:pPr>
        <w:spacing w:after="0" w:line="55" w:lineRule="exact"/>
        <w:rPr>
          <w:rFonts w:ascii="Times New Roman" w:cs="Times New Roman" w:eastAsia="Times New Roman" w:hAnsi="Times New Roman"/>
          <w:sz w:val="12"/>
          <w:szCs w:val="12"/>
          <w:color w:val="auto"/>
        </w:rPr>
      </w:pPr>
    </w:p>
    <w:p>
      <w:pPr>
        <w:ind w:left="1120" w:right="1479" w:hanging="216"/>
        <w:spacing w:after="0" w:line="279" w:lineRule="auto"/>
        <w:tabs>
          <w:tab w:leader="none" w:pos="11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believe that Adjusted EBITDA is useful for investors, among other reasons, to assess a company’s period-to-period core operating performance and to understand and assess the manner in which management analyzes operating performance.</w:t>
      </w:r>
    </w:p>
    <w:p>
      <w:pPr>
        <w:spacing w:after="0" w:line="111"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use Adjusted EBITDA in a number of ways, including:</w:t>
      </w:r>
    </w:p>
    <w:p>
      <w:pPr>
        <w:spacing w:after="0" w:line="87" w:lineRule="exact"/>
        <w:rPr>
          <w:rFonts w:ascii="Times New Roman" w:cs="Times New Roman" w:eastAsia="Times New Roman" w:hAnsi="Times New Roman"/>
          <w:sz w:val="12"/>
          <w:szCs w:val="12"/>
          <w:color w:val="auto"/>
        </w:rPr>
      </w:pPr>
    </w:p>
    <w:p>
      <w:pPr>
        <w:ind w:left="1120" w:hanging="216"/>
        <w:spacing w:after="0"/>
        <w:tabs>
          <w:tab w:leader="none" w:pos="11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planning purposes, including the preparation of our annual operating budget;</w:t>
      </w:r>
    </w:p>
    <w:p>
      <w:pPr>
        <w:spacing w:after="0" w:line="87" w:lineRule="exact"/>
        <w:rPr>
          <w:rFonts w:ascii="Times New Roman" w:cs="Times New Roman" w:eastAsia="Times New Roman" w:hAnsi="Times New Roman"/>
          <w:sz w:val="12"/>
          <w:szCs w:val="12"/>
          <w:color w:val="auto"/>
        </w:rPr>
      </w:pPr>
    </w:p>
    <w:p>
      <w:pPr>
        <w:ind w:left="1120" w:hanging="216"/>
        <w:spacing w:after="0"/>
        <w:tabs>
          <w:tab w:leader="none" w:pos="11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evaluate the effectiveness of our enterprise level business strategies;</w:t>
      </w:r>
    </w:p>
    <w:p>
      <w:pPr>
        <w:spacing w:after="0" w:line="87" w:lineRule="exact"/>
        <w:rPr>
          <w:rFonts w:ascii="Times New Roman" w:cs="Times New Roman" w:eastAsia="Times New Roman" w:hAnsi="Times New Roman"/>
          <w:sz w:val="12"/>
          <w:szCs w:val="12"/>
          <w:color w:val="auto"/>
        </w:rPr>
      </w:pPr>
    </w:p>
    <w:p>
      <w:pPr>
        <w:ind w:left="1120" w:hanging="216"/>
        <w:spacing w:after="0"/>
        <w:tabs>
          <w:tab w:leader="none" w:pos="11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communications with our Board of Directors concerning our consolidated financial performance; and</w:t>
      </w:r>
    </w:p>
    <w:p>
      <w:pPr>
        <w:spacing w:after="0" w:line="87" w:lineRule="exact"/>
        <w:rPr>
          <w:rFonts w:ascii="Times New Roman" w:cs="Times New Roman" w:eastAsia="Times New Roman" w:hAnsi="Times New Roman"/>
          <w:sz w:val="12"/>
          <w:szCs w:val="12"/>
          <w:color w:val="auto"/>
        </w:rPr>
      </w:pPr>
    </w:p>
    <w:p>
      <w:pPr>
        <w:ind w:left="1120" w:hanging="216"/>
        <w:spacing w:after="0"/>
        <w:tabs>
          <w:tab w:leader="none" w:pos="11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certain of our compensation plans as a performance measure for determining incentive compensation payments.</w:t>
      </w:r>
    </w:p>
    <w:p>
      <w:pPr>
        <w:spacing w:after="0" w:line="150"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net income (loss) or any other performance measure derived in accordance with U.S. GAAP, or as an alternative to cash flows from operating activities as a measure of liquidity. A reconciliation of net loss to Adjusted EBITDA is as follows:</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4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20" w:type="dxa"/>
            <w:vAlign w:val="bottom"/>
            <w:gridSpan w:val="3"/>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Three Months</w:t>
            </w: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Three Months</w:t>
            </w:r>
          </w:p>
        </w:tc>
        <w:tc>
          <w:tcPr>
            <w:tcW w:w="0" w:type="dxa"/>
            <w:vAlign w:val="bottom"/>
          </w:tcPr>
          <w:p>
            <w:pPr>
              <w:spacing w:after="0"/>
              <w:rPr>
                <w:sz w:val="1"/>
                <w:szCs w:val="1"/>
                <w:color w:val="auto"/>
              </w:rPr>
            </w:pPr>
          </w:p>
        </w:tc>
      </w:tr>
      <w:tr>
        <w:trPr>
          <w:trHeight w:val="99"/>
        </w:trPr>
        <w:tc>
          <w:tcPr>
            <w:tcW w:w="24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tcPr>
          <w:p>
            <w:pPr>
              <w:jc w:val="center"/>
              <w:ind w:right="500"/>
              <w:spacing w:after="0" w:line="99" w:lineRule="exact"/>
              <w:rPr>
                <w:sz w:val="20"/>
                <w:szCs w:val="20"/>
                <w:color w:val="auto"/>
              </w:rPr>
            </w:pPr>
            <w:r>
              <w:rPr>
                <w:rFonts w:ascii="Times New Roman" w:cs="Times New Roman" w:eastAsia="Times New Roman" w:hAnsi="Times New Roman"/>
                <w:sz w:val="10"/>
                <w:szCs w:val="10"/>
                <w:b w:val="1"/>
                <w:bCs w:val="1"/>
                <w:color w:val="auto"/>
                <w:w w:val="93"/>
              </w:rPr>
              <w:t>Ended</w:t>
            </w:r>
          </w:p>
        </w:tc>
        <w:tc>
          <w:tcPr>
            <w:tcW w:w="60" w:type="dxa"/>
            <w:vAlign w:val="bottom"/>
          </w:tcPr>
          <w:p>
            <w:pPr>
              <w:spacing w:after="0"/>
              <w:rPr>
                <w:sz w:val="8"/>
                <w:szCs w:val="8"/>
                <w:color w:val="auto"/>
              </w:rPr>
            </w:pPr>
          </w:p>
        </w:tc>
        <w:tc>
          <w:tcPr>
            <w:tcW w:w="6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3"/>
              </w:rPr>
              <w:t>Ended</w:t>
            </w:r>
          </w:p>
        </w:tc>
        <w:tc>
          <w:tcPr>
            <w:tcW w:w="0" w:type="dxa"/>
            <w:vAlign w:val="bottom"/>
          </w:tcPr>
          <w:p>
            <w:pPr>
              <w:spacing w:after="0"/>
              <w:rPr>
                <w:sz w:val="1"/>
                <w:szCs w:val="1"/>
                <w:color w:val="auto"/>
              </w:rPr>
            </w:pPr>
          </w:p>
        </w:tc>
      </w:tr>
      <w:tr>
        <w:trPr>
          <w:trHeight w:val="99"/>
        </w:trPr>
        <w:tc>
          <w:tcPr>
            <w:tcW w:w="24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tcPr>
          <w:p>
            <w:pPr>
              <w:jc w:val="center"/>
              <w:ind w:right="500"/>
              <w:spacing w:after="0" w:line="99" w:lineRule="exact"/>
              <w:rPr>
                <w:sz w:val="20"/>
                <w:szCs w:val="20"/>
                <w:color w:val="auto"/>
              </w:rPr>
            </w:pPr>
            <w:r>
              <w:rPr>
                <w:rFonts w:ascii="Times New Roman" w:cs="Times New Roman" w:eastAsia="Times New Roman" w:hAnsi="Times New Roman"/>
                <w:sz w:val="10"/>
                <w:szCs w:val="10"/>
                <w:b w:val="1"/>
                <w:bCs w:val="1"/>
                <w:color w:val="auto"/>
                <w:w w:val="95"/>
              </w:rPr>
              <w:t>March 31,</w:t>
            </w:r>
          </w:p>
        </w:tc>
        <w:tc>
          <w:tcPr>
            <w:tcW w:w="60" w:type="dxa"/>
            <w:vAlign w:val="bottom"/>
          </w:tcPr>
          <w:p>
            <w:pPr>
              <w:spacing w:after="0"/>
              <w:rPr>
                <w:sz w:val="8"/>
                <w:szCs w:val="8"/>
                <w:color w:val="auto"/>
              </w:rPr>
            </w:pPr>
          </w:p>
        </w:tc>
        <w:tc>
          <w:tcPr>
            <w:tcW w:w="6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5"/>
              </w:rPr>
              <w:t>March 31,</w:t>
            </w:r>
          </w:p>
        </w:tc>
        <w:tc>
          <w:tcPr>
            <w:tcW w:w="0" w:type="dxa"/>
            <w:vAlign w:val="bottom"/>
          </w:tcPr>
          <w:p>
            <w:pPr>
              <w:spacing w:after="0"/>
              <w:rPr>
                <w:sz w:val="1"/>
                <w:szCs w:val="1"/>
                <w:color w:val="auto"/>
              </w:rPr>
            </w:pPr>
          </w:p>
        </w:tc>
      </w:tr>
      <w:tr>
        <w:trPr>
          <w:trHeight w:val="115"/>
        </w:trPr>
        <w:tc>
          <w:tcPr>
            <w:tcW w:w="24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4"/>
          </w:tcPr>
          <w:p>
            <w:pPr>
              <w:ind w:left="320"/>
              <w:spacing w:after="0" w:line="88" w:lineRule="exact"/>
              <w:rPr>
                <w:sz w:val="20"/>
                <w:szCs w:val="20"/>
                <w:color w:val="auto"/>
              </w:rPr>
            </w:pPr>
            <w:r>
              <w:rPr>
                <w:rFonts w:ascii="Times New Roman" w:cs="Times New Roman" w:eastAsia="Times New Roman" w:hAnsi="Times New Roman"/>
                <w:sz w:val="10"/>
                <w:szCs w:val="10"/>
                <w:b w:val="1"/>
                <w:bCs w:val="1"/>
                <w:color w:val="auto"/>
              </w:rPr>
              <w:t>(Dollars in millions)</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(15.4)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(21.5)</w:t>
            </w:r>
          </w:p>
        </w:tc>
        <w:tc>
          <w:tcPr>
            <w:tcW w:w="0" w:type="dxa"/>
            <w:vAlign w:val="bottom"/>
          </w:tcPr>
          <w:p>
            <w:pPr>
              <w:spacing w:after="0"/>
              <w:rPr>
                <w:sz w:val="1"/>
                <w:szCs w:val="1"/>
                <w:color w:val="auto"/>
              </w:rPr>
            </w:pPr>
          </w:p>
        </w:tc>
      </w:tr>
      <w:tr>
        <w:trPr>
          <w:trHeight w:val="144"/>
        </w:trPr>
        <w:tc>
          <w:tcPr>
            <w:tcW w:w="24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Interest income</w:t>
            </w: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Interest expense</w:t>
            </w:r>
          </w:p>
        </w:tc>
        <w:tc>
          <w:tcPr>
            <w:tcW w:w="1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0.2</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44"/>
        </w:trPr>
        <w:tc>
          <w:tcPr>
            <w:tcW w:w="24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Income tax benefit</w:t>
            </w: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4.1</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20"/>
                <w:szCs w:val="20"/>
                <w:color w:val="auto"/>
              </w:rPr>
            </w:pPr>
            <w:r>
              <w:rPr>
                <w:rFonts w:ascii="Times New Roman" w:cs="Times New Roman" w:eastAsia="Times New Roman" w:hAnsi="Times New Roman"/>
                <w:sz w:val="12"/>
                <w:szCs w:val="12"/>
                <w:color w:val="auto"/>
              </w:rPr>
              <w:t>EBITDA</w:t>
            </w: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(14.3)</w:t>
            </w:r>
          </w:p>
        </w:tc>
        <w:tc>
          <w:tcPr>
            <w:tcW w:w="6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(20.9)</w:t>
            </w: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w:t>
            </w:r>
          </w:p>
        </w:tc>
        <w:tc>
          <w:tcPr>
            <w:tcW w:w="1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Equity-based compensation expense(a)</w:t>
            </w: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Foreign currency loss, net(b)</w:t>
            </w:r>
          </w:p>
        </w:tc>
        <w:tc>
          <w:tcPr>
            <w:tcW w:w="1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5.0</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44"/>
        </w:trPr>
        <w:tc>
          <w:tcPr>
            <w:tcW w:w="24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Derivative valuation loss, net(c)</w:t>
            </w: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(0.0)</w:t>
            </w: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Early termination charges(d)</w:t>
            </w:r>
          </w:p>
        </w:tc>
        <w:tc>
          <w:tcPr>
            <w:tcW w:w="1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2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(8.4)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(7.9)</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480" w:type="dxa"/>
            <w:vAlign w:val="bottom"/>
          </w:tcPr>
          <w:p>
            <w:pPr>
              <w:jc w:val="right"/>
              <w:ind w:right="1000"/>
              <w:spacing w:after="0"/>
              <w:rPr>
                <w:sz w:val="20"/>
                <w:szCs w:val="20"/>
                <w:color w:val="auto"/>
              </w:rPr>
            </w:pPr>
            <w:r>
              <w:rPr>
                <w:rFonts w:ascii="Times New Roman" w:cs="Times New Roman" w:eastAsia="Times New Roman" w:hAnsi="Times New Roman"/>
                <w:sz w:val="12"/>
                <w:szCs w:val="12"/>
                <w:color w:val="auto"/>
              </w:rPr>
              <w:t>28</w:t>
            </w:r>
          </w:p>
        </w:tc>
        <w:tc>
          <w:tcPr>
            <w:tcW w:w="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2" w:right="1440" w:bottom="1440" w:gutter="0" w:footer="0" w:header="0"/>
        </w:sectPr>
      </w:pPr>
    </w:p>
    <w:bookmarkStart w:id="28" w:name="page29"/>
    <w:bookmarkEnd w:id="28"/>
    <w:p>
      <w:pPr>
        <w:ind w:left="1120" w:right="839" w:hanging="288"/>
        <w:spacing w:after="0" w:line="255" w:lineRule="auto"/>
        <w:tabs>
          <w:tab w:leader="none" w:pos="11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ind w:left="1120" w:right="919" w:hanging="288"/>
        <w:spacing w:after="0" w:line="250" w:lineRule="auto"/>
        <w:tabs>
          <w:tab w:leader="none" w:pos="11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1" w:lineRule="exact"/>
        <w:rPr>
          <w:rFonts w:ascii="Times New Roman" w:cs="Times New Roman" w:eastAsia="Times New Roman" w:hAnsi="Times New Roman"/>
          <w:sz w:val="12"/>
          <w:szCs w:val="12"/>
          <w:color w:val="auto"/>
        </w:rPr>
      </w:pPr>
    </w:p>
    <w:p>
      <w:pPr>
        <w:ind w:left="1120" w:right="879" w:hanging="288"/>
        <w:spacing w:after="0" w:line="250" w:lineRule="auto"/>
        <w:tabs>
          <w:tab w:leader="none" w:pos="11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Times New Roman" w:cs="Times New Roman" w:eastAsia="Times New Roman" w:hAnsi="Times New Roman"/>
          <w:sz w:val="12"/>
          <w:szCs w:val="12"/>
          <w:color w:val="auto"/>
        </w:rPr>
      </w:pPr>
    </w:p>
    <w:p>
      <w:pPr>
        <w:ind w:left="1120" w:right="1119" w:hanging="288"/>
        <w:spacing w:after="0" w:line="253" w:lineRule="auto"/>
        <w:tabs>
          <w:tab w:leader="none" w:pos="11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three months ended March 31, 2023, this adjustment eliminates the termination related charges of $8.4 million in connection with the voluntary resignation program (the “Program”) that we offered to certain employees during the first quarter of 2023. As this adjustment meaningfully impacted our operating results and are not expected to represent an ongoing operating expense or income to us, we believe our operating performance results are more usefully compared if this adjustment is excluded.</w:t>
      </w:r>
    </w:p>
    <w:p>
      <w:pPr>
        <w:spacing w:after="0" w:line="55" w:lineRule="exact"/>
        <w:rPr>
          <w:rFonts w:ascii="Times New Roman" w:cs="Times New Roman" w:eastAsia="Times New Roman" w:hAnsi="Times New Roman"/>
          <w:sz w:val="12"/>
          <w:szCs w:val="12"/>
          <w:color w:val="auto"/>
        </w:rPr>
      </w:pPr>
    </w:p>
    <w:p>
      <w:pPr>
        <w:ind w:left="1120" w:right="959"/>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has limitations as an analytical tool, and you should not consider it in isolation, or as a substitute for analysis of our results as reported under U.S. GAAP. Some of these limitations are:</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does not reflect our cash expenditures, or future requirements, for capital expenditures or contractual commitments;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does not reflect changes in, or cash requirements for, our working capital needs;</w:t>
      </w:r>
    </w:p>
    <w:p>
      <w:pPr>
        <w:spacing w:after="0" w:line="87" w:lineRule="exact"/>
        <w:rPr>
          <w:rFonts w:ascii="Times New Roman" w:cs="Times New Roman" w:eastAsia="Times New Roman" w:hAnsi="Times New Roman"/>
          <w:sz w:val="12"/>
          <w:szCs w:val="12"/>
          <w:color w:val="auto"/>
        </w:rPr>
      </w:pPr>
    </w:p>
    <w:p>
      <w:pPr>
        <w:ind w:left="1480" w:right="1019" w:hanging="288"/>
        <w:spacing w:after="0" w:line="279" w:lineRule="auto"/>
        <w:tabs>
          <w:tab w:leader="none" w:pos="148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does not reflect the interest expense, or the cash requirements necessary to service interest or principal payments, on our debt;</w:t>
      </w:r>
    </w:p>
    <w:p>
      <w:pPr>
        <w:spacing w:after="0" w:line="48" w:lineRule="exact"/>
        <w:rPr>
          <w:rFonts w:ascii="Times New Roman" w:cs="Times New Roman" w:eastAsia="Times New Roman" w:hAnsi="Times New Roman"/>
          <w:sz w:val="12"/>
          <w:szCs w:val="12"/>
          <w:color w:val="auto"/>
        </w:rPr>
      </w:pPr>
    </w:p>
    <w:p>
      <w:pPr>
        <w:ind w:left="1480" w:right="939" w:hanging="288"/>
        <w:spacing w:after="0" w:line="279" w:lineRule="auto"/>
        <w:tabs>
          <w:tab w:leader="none" w:pos="148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48" w:lineRule="exact"/>
        <w:rPr>
          <w:rFonts w:ascii="Times New Roman" w:cs="Times New Roman" w:eastAsia="Times New Roman" w:hAnsi="Times New Roman"/>
          <w:sz w:val="12"/>
          <w:szCs w:val="12"/>
          <w:color w:val="auto"/>
        </w:rPr>
      </w:pPr>
    </w:p>
    <w:p>
      <w:pPr>
        <w:ind w:left="1480" w:right="1039" w:hanging="288"/>
        <w:spacing w:after="0" w:line="279" w:lineRule="auto"/>
        <w:tabs>
          <w:tab w:leader="none" w:pos="148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does not consider the potentially dilutive impact of issuing equity-based compensation to our management team and employees;</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does not reflect the costs of holding certain assets and liabilities in foreign currencies; and</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companies in our industry may calculate Adjusted EBITDA differently than we do, limiting its usefulness as a comparative measure.</w:t>
      </w:r>
    </w:p>
    <w:p>
      <w:pPr>
        <w:spacing w:after="0" w:line="78" w:lineRule="exact"/>
        <w:rPr>
          <w:sz w:val="20"/>
          <w:szCs w:val="20"/>
          <w:color w:val="auto"/>
        </w:rPr>
      </w:pPr>
    </w:p>
    <w:p>
      <w:pPr>
        <w:ind w:left="1120" w:right="859"/>
        <w:spacing w:after="0" w:line="265" w:lineRule="auto"/>
        <w:rPr>
          <w:sz w:val="20"/>
          <w:szCs w:val="20"/>
          <w:color w:val="auto"/>
        </w:rPr>
      </w:pPr>
      <w:r>
        <w:rPr>
          <w:rFonts w:ascii="Times New Roman" w:cs="Times New Roman" w:eastAsia="Times New Roman" w:hAnsi="Times New Roman"/>
          <w:sz w:val="12"/>
          <w:szCs w:val="12"/>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9019"/>
          </w:cols>
          <w:pgMar w:left="1440" w:top="246" w:right="1440" w:bottom="1440" w:gutter="0" w:footer="0" w:header="0"/>
        </w:sectPr>
      </w:pPr>
    </w:p>
    <w:bookmarkStart w:id="29" w:name="page30"/>
    <w:bookmarkEnd w:id="29"/>
    <w:p>
      <w:pPr>
        <w:ind w:left="840" w:right="959" w:firstLine="294"/>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We present Adjusted Operating Income (Loss) as supplemental measures of our performance. We prepare Adjusted Operating Income (Loss) by adjusting operating income (loss) to eliminate the impact of equity-based compensation expenses and other items that may be either one time or recurring that we do not consider to be indicative of our core ongoing operating performance. We believe that Adjusted Operating Income (Loss) is useful to investors to provide a supplemental way to understand our underlying operating performance and allows investors to monitor and understand changes in our ability to generate income (loss) from ongoing business operations.</w:t>
      </w:r>
    </w:p>
    <w:p>
      <w:pPr>
        <w:spacing w:after="0" w:line="125" w:lineRule="exact"/>
        <w:rPr>
          <w:sz w:val="20"/>
          <w:szCs w:val="20"/>
          <w:color w:val="auto"/>
        </w:rPr>
      </w:pPr>
    </w:p>
    <w:p>
      <w:pPr>
        <w:ind w:left="840" w:right="859" w:firstLine="294"/>
        <w:spacing w:after="0" w:line="256" w:lineRule="auto"/>
        <w:rPr>
          <w:sz w:val="20"/>
          <w:szCs w:val="20"/>
          <w:color w:val="auto"/>
        </w:rPr>
      </w:pPr>
      <w:r>
        <w:rPr>
          <w:rFonts w:ascii="Times New Roman" w:cs="Times New Roman" w:eastAsia="Times New Roman" w:hAnsi="Times New Roman"/>
          <w:sz w:val="12"/>
          <w:szCs w:val="12"/>
          <w:color w:val="auto"/>
        </w:rPr>
        <w:t>Adjusted Operating Income (Loss) is not a measure defined in accordance with U.S. GAAP and should not be construed as an alternative to operating income (loss) or any other performance measure derived in accordance with U.S. GAAP. We encourage you to evaluate each adjustment and the reasons we consider them appropriate. Other companies in our industry may calculate Adjusted Operating Income (Loss) differently than we do, limiting its usefulness as a comparative measure. In addition, in evaluating Adjusted Operating Income (Loss), you should be aware that in the future we may incur expenses similar to the adjustments in this presentation. We define Adjusted Operating Income (Loss) for the periods indicated as operating income (loss) adjusted to exclude (i) equity-based compensation expense and (ii) early termination charges.</w:t>
      </w:r>
    </w:p>
    <w:p>
      <w:pPr>
        <w:spacing w:after="0" w:line="125" w:lineRule="exact"/>
        <w:rPr>
          <w:sz w:val="20"/>
          <w:szCs w:val="20"/>
          <w:color w:val="auto"/>
        </w:rPr>
      </w:pPr>
    </w:p>
    <w:p>
      <w:pPr>
        <w:ind w:left="840" w:right="111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summarizes the adjustments to operating loss that we make in order to calculate Adjusted Operating Loss for the periods indicated:</w:t>
      </w:r>
    </w:p>
    <w:p>
      <w:pPr>
        <w:spacing w:after="0" w:line="108"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1020" w:type="dxa"/>
            <w:vAlign w:val="bottom"/>
            <w:gridSpan w:val="3"/>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Three Months</w:t>
            </w: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Three Months</w:t>
            </w:r>
          </w:p>
        </w:tc>
      </w:tr>
      <w:tr>
        <w:trPr>
          <w:trHeight w:val="99"/>
        </w:trPr>
        <w:tc>
          <w:tcPr>
            <w:tcW w:w="390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tcPr>
          <w:p>
            <w:pPr>
              <w:jc w:val="center"/>
              <w:ind w:right="500"/>
              <w:spacing w:after="0" w:line="99" w:lineRule="exact"/>
              <w:rPr>
                <w:sz w:val="20"/>
                <w:szCs w:val="20"/>
                <w:color w:val="auto"/>
              </w:rPr>
            </w:pPr>
            <w:r>
              <w:rPr>
                <w:rFonts w:ascii="Times New Roman" w:cs="Times New Roman" w:eastAsia="Times New Roman" w:hAnsi="Times New Roman"/>
                <w:sz w:val="10"/>
                <w:szCs w:val="10"/>
                <w:b w:val="1"/>
                <w:bCs w:val="1"/>
                <w:color w:val="auto"/>
                <w:w w:val="93"/>
              </w:rPr>
              <w:t>Ended</w:t>
            </w:r>
          </w:p>
        </w:tc>
        <w:tc>
          <w:tcPr>
            <w:tcW w:w="60" w:type="dxa"/>
            <w:vAlign w:val="bottom"/>
          </w:tcPr>
          <w:p>
            <w:pPr>
              <w:spacing w:after="0"/>
              <w:rPr>
                <w:sz w:val="8"/>
                <w:szCs w:val="8"/>
                <w:color w:val="auto"/>
              </w:rPr>
            </w:pPr>
          </w:p>
        </w:tc>
        <w:tc>
          <w:tcPr>
            <w:tcW w:w="6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3"/>
              </w:rPr>
              <w:t>Ended</w:t>
            </w:r>
          </w:p>
        </w:tc>
      </w:tr>
      <w:tr>
        <w:trPr>
          <w:trHeight w:val="99"/>
        </w:trPr>
        <w:tc>
          <w:tcPr>
            <w:tcW w:w="390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tcPr>
          <w:p>
            <w:pPr>
              <w:jc w:val="center"/>
              <w:ind w:right="500"/>
              <w:spacing w:after="0" w:line="99" w:lineRule="exact"/>
              <w:rPr>
                <w:sz w:val="20"/>
                <w:szCs w:val="20"/>
                <w:color w:val="auto"/>
              </w:rPr>
            </w:pPr>
            <w:r>
              <w:rPr>
                <w:rFonts w:ascii="Times New Roman" w:cs="Times New Roman" w:eastAsia="Times New Roman" w:hAnsi="Times New Roman"/>
                <w:sz w:val="10"/>
                <w:szCs w:val="10"/>
                <w:b w:val="1"/>
                <w:bCs w:val="1"/>
                <w:color w:val="auto"/>
                <w:w w:val="95"/>
              </w:rPr>
              <w:t>March 31,</w:t>
            </w:r>
          </w:p>
        </w:tc>
        <w:tc>
          <w:tcPr>
            <w:tcW w:w="60" w:type="dxa"/>
            <w:vAlign w:val="bottom"/>
          </w:tcPr>
          <w:p>
            <w:pPr>
              <w:spacing w:after="0"/>
              <w:rPr>
                <w:sz w:val="8"/>
                <w:szCs w:val="8"/>
                <w:color w:val="auto"/>
              </w:rPr>
            </w:pPr>
          </w:p>
        </w:tc>
        <w:tc>
          <w:tcPr>
            <w:tcW w:w="6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5"/>
              </w:rPr>
              <w:t>March 31,</w:t>
            </w:r>
          </w:p>
        </w:tc>
      </w:tr>
      <w:tr>
        <w:trPr>
          <w:trHeight w:val="115"/>
        </w:trPr>
        <w:tc>
          <w:tcPr>
            <w:tcW w:w="39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80" w:type="dxa"/>
            <w:vAlign w:val="bottom"/>
          </w:tcPr>
          <w:p>
            <w:pPr>
              <w:spacing w:after="0"/>
              <w:rPr>
                <w:sz w:val="10"/>
                <w:szCs w:val="10"/>
                <w:color w:val="auto"/>
              </w:rPr>
            </w:pPr>
          </w:p>
        </w:tc>
      </w:tr>
      <w:tr>
        <w:trPr>
          <w:trHeight w:val="88"/>
        </w:trPr>
        <w:tc>
          <w:tcPr>
            <w:tcW w:w="390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4"/>
          </w:tcPr>
          <w:p>
            <w:pPr>
              <w:ind w:left="320"/>
              <w:spacing w:after="0" w:line="88" w:lineRule="exact"/>
              <w:rPr>
                <w:sz w:val="20"/>
                <w:szCs w:val="20"/>
                <w:color w:val="auto"/>
              </w:rPr>
            </w:pPr>
            <w:r>
              <w:rPr>
                <w:rFonts w:ascii="Times New Roman" w:cs="Times New Roman" w:eastAsia="Times New Roman" w:hAnsi="Times New Roman"/>
                <w:sz w:val="10"/>
                <w:szCs w:val="10"/>
                <w:b w:val="1"/>
                <w:bCs w:val="1"/>
                <w:color w:val="auto"/>
              </w:rPr>
              <w:t>(Dollars in millions)</w:t>
            </w:r>
          </w:p>
        </w:tc>
        <w:tc>
          <w:tcPr>
            <w:tcW w:w="80" w:type="dxa"/>
            <w:vAlign w:val="bottom"/>
          </w:tcPr>
          <w:p>
            <w:pPr>
              <w:spacing w:after="0"/>
              <w:rPr>
                <w:sz w:val="7"/>
                <w:szCs w:val="7"/>
                <w:color w:val="auto"/>
              </w:rPr>
            </w:pPr>
          </w:p>
        </w:tc>
      </w:tr>
      <w:tr>
        <w:trPr>
          <w:trHeight w:val="14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(13.5)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(21.8)</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Adjustments:</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Equity-based compensation expense(a)</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w:t>
            </w:r>
          </w:p>
        </w:tc>
      </w:tr>
      <w:tr>
        <w:trPr>
          <w:trHeight w:val="144"/>
        </w:trPr>
        <w:tc>
          <w:tcPr>
            <w:tcW w:w="39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Early termination charges(b)</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8.4</w:t>
            </w:r>
          </w:p>
        </w:tc>
      </w:tr>
      <w:tr>
        <w:trPr>
          <w:trHeight w:val="20"/>
        </w:trPr>
        <w:tc>
          <w:tcPr>
            <w:tcW w:w="3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Operating Loss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(12.6)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(12.2)</w:t>
            </w:r>
          </w:p>
        </w:tc>
      </w:tr>
      <w:tr>
        <w:trPr>
          <w:trHeight w:val="27"/>
        </w:trPr>
        <w:tc>
          <w:tcPr>
            <w:tcW w:w="3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79" w:lineRule="exact"/>
        <w:rPr>
          <w:sz w:val="20"/>
          <w:szCs w:val="20"/>
          <w:color w:val="auto"/>
        </w:rPr>
      </w:pPr>
    </w:p>
    <w:p>
      <w:pPr>
        <w:ind w:left="1120" w:right="839" w:hanging="288"/>
        <w:spacing w:after="0" w:line="255" w:lineRule="auto"/>
        <w:tabs>
          <w:tab w:leader="none" w:pos="11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ind w:left="1120" w:right="879" w:hanging="288"/>
        <w:spacing w:after="0" w:line="253" w:lineRule="auto"/>
        <w:tabs>
          <w:tab w:leader="none" w:pos="11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three months ended March 31, 2023, this adjustment eliminates the termination related charges of $8.4 million in connection with the Program that we offered to certain employees during the first quarter of 2023. As this adjustment meaningfully impacted our operating results and are not expected to represent an ongoing operating expense or income to us, we believe our operating performance results are more usefully compared if this adjustment is excluded.</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ectPr>
          <w:pgSz w:w="11900" w:h="16838" w:orient="portrait"/>
          <w:cols w:equalWidth="0" w:num="1">
            <w:col w:w="9019"/>
          </w:cols>
          <w:pgMar w:left="1440" w:top="246" w:right="1440" w:bottom="1440" w:gutter="0" w:footer="0" w:header="0"/>
        </w:sectPr>
      </w:pPr>
    </w:p>
    <w:bookmarkStart w:id="30" w:name="page31"/>
    <w:bookmarkEnd w:id="30"/>
    <w:p>
      <w:pPr>
        <w:ind w:left="840" w:right="899" w:firstLine="294"/>
        <w:spacing w:after="0" w:line="286" w:lineRule="auto"/>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We present Adjusted Net Income (Loss) (including on a per share basis) as a further supplemental measure of our performance. We prepare Adjusted Net Income (Loss) (including on a per share basis) by adjusting net income (loss) to eliminate the impact of a number of non-cash expenses and other items that may be either one time or recurring that we do not consider to be indicative of our core ongoing operating performance. We believe that Adjusted Net Income (Loss) (including on a per share basis) is particularly useful because it reflects the impact of our asset base and capital structure on our operating performance. We present Adjusted Net Income (Loss) (including on a per share basis) for a number of reasons, including:</w:t>
      </w:r>
    </w:p>
    <w:p>
      <w:pPr>
        <w:spacing w:after="0" w:line="47" w:lineRule="exact"/>
        <w:rPr>
          <w:sz w:val="20"/>
          <w:szCs w:val="20"/>
          <w:color w:val="auto"/>
        </w:rPr>
      </w:pPr>
    </w:p>
    <w:p>
      <w:pPr>
        <w:ind w:left="1480" w:right="979" w:hanging="288"/>
        <w:spacing w:after="0" w:line="265" w:lineRule="auto"/>
        <w:tabs>
          <w:tab w:leader="none" w:pos="1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use Adjusted Net Income (Loss)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55" w:lineRule="exact"/>
        <w:rPr>
          <w:rFonts w:ascii="Times New Roman" w:cs="Times New Roman" w:eastAsia="Times New Roman" w:hAnsi="Times New Roman"/>
          <w:sz w:val="12"/>
          <w:szCs w:val="12"/>
          <w:color w:val="auto"/>
        </w:rPr>
      </w:pPr>
    </w:p>
    <w:p>
      <w:pPr>
        <w:ind w:left="1480" w:right="919" w:hanging="288"/>
        <w:spacing w:after="0" w:line="265" w:lineRule="auto"/>
        <w:tabs>
          <w:tab w:leader="none" w:pos="1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believe that reporting Adjusted Net Income (Loss)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19" w:lineRule="exact"/>
        <w:rPr>
          <w:sz w:val="20"/>
          <w:szCs w:val="20"/>
          <w:color w:val="auto"/>
        </w:rPr>
      </w:pPr>
    </w:p>
    <w:p>
      <w:pPr>
        <w:ind w:left="840" w:right="899" w:firstLine="294"/>
        <w:spacing w:after="0" w:line="254" w:lineRule="auto"/>
        <w:rPr>
          <w:sz w:val="20"/>
          <w:szCs w:val="20"/>
          <w:color w:val="auto"/>
        </w:rPr>
      </w:pPr>
      <w:r>
        <w:rPr>
          <w:rFonts w:ascii="Times New Roman" w:cs="Times New Roman" w:eastAsia="Times New Roman" w:hAnsi="Times New Roman"/>
          <w:sz w:val="12"/>
          <w:szCs w:val="12"/>
          <w:color w:val="auto"/>
        </w:rPr>
        <w:t>Adjusted Net Income (Loss) (including on a per share basis) is not a measure defined in accordance with U.S. GAAP and should not be construed as an alternative to net income (loss) or any other performance measure derived in accordance with U.S. GAAP, or as an alternative to cash flows from operating activities as a measure of liquidity. We encourage you to evaluate each adjustment and the reasons we consider them appropriate. Other companies in our industry may calculate Adjusted Net Income (Loss) (including on a per share basis) differently than we do, limiting its usefulness as a comparative measure. In addition, in evaluating Adjusted Net Income (Loss) (including on a per share basis), you should be aware that in the future we may incur expenses similar to the adjustments in this presentation. We define Adjusted Net Income (Loss) (including on a per share basis); for the periods indicated as net income (loss), adjusted to exclude (i) equity-based compensation expense, (ii) foreign currency loss, net, (iii) derivative valuation loss (gain), net, (iv) early termination charges and (v) income tax effect on non-GAAP adjustments.</w:t>
      </w:r>
    </w:p>
    <w:p>
      <w:pPr>
        <w:spacing w:after="0" w:line="12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following table summarizes the adjustments to net loss that we make in order to calculate Adjusted Net Loss (including on a per share basis)</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for the periods indicated:</w:t>
      </w:r>
    </w:p>
    <w:p>
      <w:pPr>
        <w:spacing w:after="0" w:line="136"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0" w:type="dxa"/>
            <w:vAlign w:val="bottom"/>
          </w:tcPr>
          <w:p>
            <w:pPr>
              <w:spacing w:after="0"/>
              <w:rPr>
                <w:sz w:val="1"/>
                <w:szCs w:val="1"/>
                <w:color w:val="auto"/>
              </w:rPr>
            </w:pPr>
          </w:p>
        </w:tc>
      </w:tr>
      <w:tr>
        <w:trPr>
          <w:trHeight w:val="99"/>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center"/>
              <w:ind w:right="512"/>
              <w:spacing w:after="0" w:line="99" w:lineRule="exact"/>
              <w:rPr>
                <w:sz w:val="20"/>
                <w:szCs w:val="20"/>
                <w:color w:val="auto"/>
              </w:rPr>
            </w:pPr>
            <w:r>
              <w:rPr>
                <w:rFonts w:ascii="Times New Roman" w:cs="Times New Roman" w:eastAsia="Times New Roman" w:hAnsi="Times New Roman"/>
                <w:sz w:val="10"/>
                <w:szCs w:val="10"/>
                <w:b w:val="1"/>
                <w:bCs w:val="1"/>
                <w:color w:val="auto"/>
                <w:w w:val="93"/>
              </w:rPr>
              <w:t>Ended</w:t>
            </w:r>
          </w:p>
        </w:tc>
        <w:tc>
          <w:tcPr>
            <w:tcW w:w="60" w:type="dxa"/>
            <w:vAlign w:val="bottom"/>
          </w:tcPr>
          <w:p>
            <w:pPr>
              <w:spacing w:after="0"/>
              <w:rPr>
                <w:sz w:val="8"/>
                <w:szCs w:val="8"/>
                <w:color w:val="auto"/>
              </w:rPr>
            </w:pPr>
          </w:p>
        </w:tc>
        <w:tc>
          <w:tcPr>
            <w:tcW w:w="62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rPr>
              <w:t>Ended</w:t>
            </w:r>
          </w:p>
        </w:tc>
        <w:tc>
          <w:tcPr>
            <w:tcW w:w="0" w:type="dxa"/>
            <w:vAlign w:val="bottom"/>
          </w:tcPr>
          <w:p>
            <w:pPr>
              <w:spacing w:after="0"/>
              <w:rPr>
                <w:sz w:val="1"/>
                <w:szCs w:val="1"/>
                <w:color w:val="auto"/>
              </w:rPr>
            </w:pPr>
          </w:p>
        </w:tc>
      </w:tr>
      <w:tr>
        <w:trPr>
          <w:trHeight w:val="99"/>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center"/>
              <w:ind w:right="512"/>
              <w:spacing w:after="0" w:line="99" w:lineRule="exact"/>
              <w:rPr>
                <w:sz w:val="20"/>
                <w:szCs w:val="20"/>
                <w:color w:val="auto"/>
              </w:rPr>
            </w:pPr>
            <w:r>
              <w:rPr>
                <w:rFonts w:ascii="Times New Roman" w:cs="Times New Roman" w:eastAsia="Times New Roman" w:hAnsi="Times New Roman"/>
                <w:sz w:val="10"/>
                <w:szCs w:val="10"/>
                <w:b w:val="1"/>
                <w:bCs w:val="1"/>
                <w:color w:val="auto"/>
                <w:w w:val="95"/>
              </w:rPr>
              <w:t>March 31,</w:t>
            </w:r>
          </w:p>
        </w:tc>
        <w:tc>
          <w:tcPr>
            <w:tcW w:w="60" w:type="dxa"/>
            <w:vAlign w:val="bottom"/>
          </w:tcPr>
          <w:p>
            <w:pPr>
              <w:spacing w:after="0"/>
              <w:rPr>
                <w:sz w:val="8"/>
                <w:szCs w:val="8"/>
                <w:color w:val="auto"/>
              </w:rPr>
            </w:pPr>
          </w:p>
        </w:tc>
        <w:tc>
          <w:tcPr>
            <w:tcW w:w="62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5"/>
              </w:rPr>
              <w:t>March 31,</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gridSpan w:val="4"/>
          </w:tcPr>
          <w:p>
            <w:pPr>
              <w:ind w:left="140"/>
              <w:spacing w:after="0" w:line="72" w:lineRule="exact"/>
              <w:rPr>
                <w:sz w:val="20"/>
                <w:szCs w:val="20"/>
                <w:color w:val="auto"/>
              </w:rPr>
            </w:pPr>
            <w:r>
              <w:rPr>
                <w:rFonts w:ascii="Times New Roman" w:cs="Times New Roman" w:eastAsia="Times New Roman" w:hAnsi="Times New Roman"/>
                <w:sz w:val="8"/>
                <w:szCs w:val="8"/>
                <w:b w:val="1"/>
                <w:bCs w:val="1"/>
                <w:color w:val="auto"/>
              </w:rPr>
              <w:t>(Dollars in millions, except per</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3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1"/>
              </w:rPr>
              <w:t>share data)</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2"/>
                <w:szCs w:val="12"/>
                <w:color w:val="auto"/>
              </w:rPr>
              <w:t>(15.4)</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(21.5)</w:t>
            </w:r>
          </w:p>
        </w:tc>
        <w:tc>
          <w:tcPr>
            <w:tcW w:w="0" w:type="dxa"/>
            <w:vAlign w:val="bottom"/>
          </w:tcPr>
          <w:p>
            <w:pPr>
              <w:spacing w:after="0"/>
              <w:rPr>
                <w:sz w:val="1"/>
                <w:szCs w:val="1"/>
                <w:color w:val="auto"/>
              </w:rPr>
            </w:pPr>
          </w:p>
        </w:tc>
      </w:tr>
      <w:tr>
        <w:trPr>
          <w:trHeight w:val="144"/>
        </w:trPr>
        <w:tc>
          <w:tcPr>
            <w:tcW w:w="3800" w:type="dxa"/>
            <w:vAlign w:val="bottom"/>
          </w:tcPr>
          <w:p>
            <w:pPr>
              <w:spacing w:after="0"/>
              <w:rPr>
                <w:sz w:val="20"/>
                <w:szCs w:val="20"/>
                <w:color w:val="auto"/>
              </w:rPr>
            </w:pPr>
            <w:r>
              <w:rPr>
                <w:rFonts w:ascii="Times New Roman" w:cs="Times New Roman" w:eastAsia="Times New Roman" w:hAnsi="Times New Roman"/>
                <w:sz w:val="12"/>
                <w:szCs w:val="12"/>
                <w:color w:val="auto"/>
              </w:rPr>
              <w:t>Adjustments: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Equity-based compensation expense(a)</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44"/>
        </w:trPr>
        <w:tc>
          <w:tcPr>
            <w:tcW w:w="38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Foreign currency loss, net(b)</w:t>
            </w:r>
          </w:p>
        </w:tc>
        <w:tc>
          <w:tcPr>
            <w:tcW w:w="80" w:type="dxa"/>
            <w:vAlign w:val="bottom"/>
          </w:tcPr>
          <w:p>
            <w:pPr>
              <w:spacing w:after="0"/>
              <w:rPr>
                <w:sz w:val="12"/>
                <w:szCs w:val="12"/>
                <w:color w:val="auto"/>
              </w:rPr>
            </w:pPr>
          </w:p>
        </w:tc>
        <w:tc>
          <w:tcPr>
            <w:tcW w:w="1020" w:type="dxa"/>
            <w:vAlign w:val="bottom"/>
            <w:gridSpan w:val="2"/>
          </w:tcPr>
          <w:p>
            <w:pPr>
              <w:jc w:val="right"/>
              <w:ind w:right="432"/>
              <w:spacing w:after="0"/>
              <w:rPr>
                <w:sz w:val="20"/>
                <w:szCs w:val="20"/>
                <w:color w:val="auto"/>
              </w:rPr>
            </w:pPr>
            <w:r>
              <w:rPr>
                <w:rFonts w:ascii="Times New Roman" w:cs="Times New Roman" w:eastAsia="Times New Roman" w:hAnsi="Times New Roman"/>
                <w:sz w:val="12"/>
                <w:szCs w:val="12"/>
                <w:color w:val="auto"/>
              </w:rPr>
              <w:t>5.0</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44"/>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Derivative valuation loss (gain), net(c)</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2"/>
                <w:szCs w:val="12"/>
                <w:color w:val="auto"/>
              </w:rPr>
              <w:t>(0.0)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38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Early termination charges(d)</w:t>
            </w:r>
          </w:p>
        </w:tc>
        <w:tc>
          <w:tcPr>
            <w:tcW w:w="80" w:type="dxa"/>
            <w:vAlign w:val="bottom"/>
          </w:tcPr>
          <w:p>
            <w:pPr>
              <w:spacing w:after="0"/>
              <w:rPr>
                <w:sz w:val="12"/>
                <w:szCs w:val="12"/>
                <w:color w:val="auto"/>
              </w:rPr>
            </w:pPr>
          </w:p>
        </w:tc>
        <w:tc>
          <w:tcPr>
            <w:tcW w:w="1020" w:type="dxa"/>
            <w:vAlign w:val="bottom"/>
            <w:gridSpan w:val="2"/>
          </w:tcPr>
          <w:p>
            <w:pPr>
              <w:jc w:val="right"/>
              <w:ind w:right="472"/>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144"/>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Income tax effect on non-GAAP adjustments(e)</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Adjusted Net Loss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392"/>
              <w:spacing w:after="0"/>
              <w:rPr>
                <w:sz w:val="20"/>
                <w:szCs w:val="20"/>
                <w:color w:val="auto"/>
              </w:rPr>
            </w:pPr>
            <w:r>
              <w:rPr>
                <w:rFonts w:ascii="Times New Roman" w:cs="Times New Roman" w:eastAsia="Times New Roman" w:hAnsi="Times New Roman"/>
                <w:sz w:val="12"/>
                <w:szCs w:val="12"/>
                <w:color w:val="auto"/>
              </w:rPr>
              <w:t>(10.9)</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(10.4)</w:t>
            </w:r>
          </w:p>
        </w:tc>
        <w:tc>
          <w:tcPr>
            <w:tcW w:w="0" w:type="dxa"/>
            <w:vAlign w:val="bottom"/>
          </w:tcPr>
          <w:p>
            <w:pPr>
              <w:spacing w:after="0"/>
              <w:rPr>
                <w:sz w:val="1"/>
                <w:szCs w:val="1"/>
                <w:color w:val="auto"/>
              </w:rPr>
            </w:pPr>
          </w:p>
        </w:tc>
      </w:tr>
      <w:tr>
        <w:trPr>
          <w:trHeight w:val="32"/>
        </w:trPr>
        <w:tc>
          <w:tcPr>
            <w:tcW w:w="3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Reported loss per share—basic</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2"/>
                <w:szCs w:val="12"/>
                <w:color w:val="auto"/>
              </w:rPr>
              <w:t>(0.40)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(0.49)</w:t>
            </w:r>
          </w:p>
        </w:tc>
        <w:tc>
          <w:tcPr>
            <w:tcW w:w="0" w:type="dxa"/>
            <w:vAlign w:val="bottom"/>
          </w:tcPr>
          <w:p>
            <w:pPr>
              <w:spacing w:after="0"/>
              <w:rPr>
                <w:sz w:val="1"/>
                <w:szCs w:val="1"/>
                <w:color w:val="auto"/>
              </w:rPr>
            </w:pPr>
          </w:p>
        </w:tc>
      </w:tr>
      <w:tr>
        <w:trPr>
          <w:trHeight w:val="144"/>
        </w:trPr>
        <w:tc>
          <w:tcPr>
            <w:tcW w:w="38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Reported loss per share—diluted</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392"/>
              <w:spacing w:after="0"/>
              <w:rPr>
                <w:sz w:val="20"/>
                <w:szCs w:val="20"/>
                <w:color w:val="auto"/>
              </w:rPr>
            </w:pPr>
            <w:r>
              <w:rPr>
                <w:rFonts w:ascii="Times New Roman" w:cs="Times New Roman" w:eastAsia="Times New Roman" w:hAnsi="Times New Roman"/>
                <w:sz w:val="12"/>
                <w:szCs w:val="12"/>
                <w:color w:val="auto"/>
              </w:rPr>
              <w:t>(0.40)</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(0.49)</w:t>
            </w:r>
          </w:p>
        </w:tc>
        <w:tc>
          <w:tcPr>
            <w:tcW w:w="0" w:type="dxa"/>
            <w:vAlign w:val="bottom"/>
          </w:tcPr>
          <w:p>
            <w:pPr>
              <w:spacing w:after="0"/>
              <w:rPr>
                <w:sz w:val="1"/>
                <w:szCs w:val="1"/>
                <w:color w:val="auto"/>
              </w:rPr>
            </w:pPr>
          </w:p>
        </w:tc>
      </w:tr>
      <w:tr>
        <w:trPr>
          <w:trHeight w:val="144"/>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Weighted average number of shares—basic</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2"/>
                <w:szCs w:val="12"/>
                <w:color w:val="auto"/>
                <w:w w:val="96"/>
              </w:rPr>
              <w:t>38,544,781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43,390,832</w:t>
            </w:r>
          </w:p>
        </w:tc>
        <w:tc>
          <w:tcPr>
            <w:tcW w:w="0" w:type="dxa"/>
            <w:vAlign w:val="bottom"/>
          </w:tcPr>
          <w:p>
            <w:pPr>
              <w:spacing w:after="0"/>
              <w:rPr>
                <w:sz w:val="1"/>
                <w:szCs w:val="1"/>
                <w:color w:val="auto"/>
              </w:rPr>
            </w:pPr>
          </w:p>
        </w:tc>
      </w:tr>
      <w:tr>
        <w:trPr>
          <w:trHeight w:val="144"/>
        </w:trPr>
        <w:tc>
          <w:tcPr>
            <w:tcW w:w="38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Weighted average number of shares—diluted</w:t>
            </w:r>
          </w:p>
        </w:tc>
        <w:tc>
          <w:tcPr>
            <w:tcW w:w="80" w:type="dxa"/>
            <w:vAlign w:val="bottom"/>
          </w:tcPr>
          <w:p>
            <w:pPr>
              <w:spacing w:after="0"/>
              <w:rPr>
                <w:sz w:val="12"/>
                <w:szCs w:val="12"/>
                <w:color w:val="auto"/>
              </w:rPr>
            </w:pPr>
          </w:p>
        </w:tc>
        <w:tc>
          <w:tcPr>
            <w:tcW w:w="1020" w:type="dxa"/>
            <w:vAlign w:val="bottom"/>
            <w:gridSpan w:val="2"/>
          </w:tcPr>
          <w:p>
            <w:pPr>
              <w:jc w:val="right"/>
              <w:ind w:right="432"/>
              <w:spacing w:after="0"/>
              <w:rPr>
                <w:sz w:val="20"/>
                <w:szCs w:val="20"/>
                <w:color w:val="auto"/>
              </w:rPr>
            </w:pPr>
            <w:r>
              <w:rPr>
                <w:rFonts w:ascii="Times New Roman" w:cs="Times New Roman" w:eastAsia="Times New Roman" w:hAnsi="Times New Roman"/>
                <w:sz w:val="12"/>
                <w:szCs w:val="12"/>
                <w:color w:val="auto"/>
                <w:w w:val="96"/>
              </w:rPr>
              <w:t>38,544,781</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6"/>
              </w:rPr>
              <w:t>43,390,832</w:t>
            </w:r>
          </w:p>
        </w:tc>
        <w:tc>
          <w:tcPr>
            <w:tcW w:w="0" w:type="dxa"/>
            <w:vAlign w:val="bottom"/>
          </w:tcPr>
          <w:p>
            <w:pPr>
              <w:spacing w:after="0"/>
              <w:rPr>
                <w:sz w:val="1"/>
                <w:szCs w:val="1"/>
                <w:color w:val="auto"/>
              </w:rPr>
            </w:pPr>
          </w:p>
        </w:tc>
      </w:tr>
      <w:tr>
        <w:trPr>
          <w:trHeight w:val="144"/>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Adjusted loss per share—basic</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2"/>
                <w:szCs w:val="12"/>
                <w:color w:val="auto"/>
              </w:rPr>
              <w:t>(0.28)</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(0.24)</w:t>
            </w:r>
          </w:p>
        </w:tc>
        <w:tc>
          <w:tcPr>
            <w:tcW w:w="0" w:type="dxa"/>
            <w:vAlign w:val="bottom"/>
          </w:tcPr>
          <w:p>
            <w:pPr>
              <w:spacing w:after="0"/>
              <w:rPr>
                <w:sz w:val="1"/>
                <w:szCs w:val="1"/>
                <w:color w:val="auto"/>
              </w:rPr>
            </w:pPr>
          </w:p>
        </w:tc>
      </w:tr>
      <w:tr>
        <w:trPr>
          <w:trHeight w:val="144"/>
        </w:trPr>
        <w:tc>
          <w:tcPr>
            <w:tcW w:w="38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Adjusted loss per share—diluted</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392"/>
              <w:spacing w:after="0"/>
              <w:rPr>
                <w:sz w:val="20"/>
                <w:szCs w:val="20"/>
                <w:color w:val="auto"/>
              </w:rPr>
            </w:pPr>
            <w:r>
              <w:rPr>
                <w:rFonts w:ascii="Times New Roman" w:cs="Times New Roman" w:eastAsia="Times New Roman" w:hAnsi="Times New Roman"/>
                <w:sz w:val="12"/>
                <w:szCs w:val="12"/>
                <w:color w:val="auto"/>
              </w:rPr>
              <w:t>(0.28)</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(0.24)</w:t>
            </w:r>
          </w:p>
        </w:tc>
        <w:tc>
          <w:tcPr>
            <w:tcW w:w="0" w:type="dxa"/>
            <w:vAlign w:val="bottom"/>
          </w:tcPr>
          <w:p>
            <w:pPr>
              <w:spacing w:after="0"/>
              <w:rPr>
                <w:sz w:val="1"/>
                <w:szCs w:val="1"/>
                <w:color w:val="auto"/>
              </w:rPr>
            </w:pPr>
          </w:p>
        </w:tc>
      </w:tr>
      <w:tr>
        <w:trPr>
          <w:trHeight w:val="144"/>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Weighted average number of shares—basic</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2"/>
                <w:szCs w:val="12"/>
                <w:color w:val="auto"/>
                <w:w w:val="96"/>
              </w:rPr>
              <w:t>38,544,781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43,390,832</w:t>
            </w:r>
          </w:p>
        </w:tc>
        <w:tc>
          <w:tcPr>
            <w:tcW w:w="0" w:type="dxa"/>
            <w:vAlign w:val="bottom"/>
          </w:tcPr>
          <w:p>
            <w:pPr>
              <w:spacing w:after="0"/>
              <w:rPr>
                <w:sz w:val="1"/>
                <w:szCs w:val="1"/>
                <w:color w:val="auto"/>
              </w:rPr>
            </w:pPr>
          </w:p>
        </w:tc>
      </w:tr>
      <w:tr>
        <w:trPr>
          <w:trHeight w:val="155"/>
        </w:trPr>
        <w:tc>
          <w:tcPr>
            <w:tcW w:w="38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Weighted average number of shares—diluted</w:t>
            </w:r>
          </w:p>
        </w:tc>
        <w:tc>
          <w:tcPr>
            <w:tcW w:w="80" w:type="dxa"/>
            <w:vAlign w:val="bottom"/>
          </w:tcPr>
          <w:p>
            <w:pPr>
              <w:spacing w:after="0"/>
              <w:rPr>
                <w:sz w:val="13"/>
                <w:szCs w:val="13"/>
                <w:color w:val="auto"/>
              </w:rPr>
            </w:pPr>
          </w:p>
        </w:tc>
        <w:tc>
          <w:tcPr>
            <w:tcW w:w="1020" w:type="dxa"/>
            <w:vAlign w:val="bottom"/>
            <w:gridSpan w:val="2"/>
          </w:tcPr>
          <w:p>
            <w:pPr>
              <w:jc w:val="right"/>
              <w:ind w:right="432"/>
              <w:spacing w:after="0"/>
              <w:rPr>
                <w:sz w:val="20"/>
                <w:szCs w:val="20"/>
                <w:color w:val="auto"/>
              </w:rPr>
            </w:pPr>
            <w:r>
              <w:rPr>
                <w:rFonts w:ascii="Times New Roman" w:cs="Times New Roman" w:eastAsia="Times New Roman" w:hAnsi="Times New Roman"/>
                <w:sz w:val="12"/>
                <w:szCs w:val="12"/>
                <w:color w:val="auto"/>
                <w:w w:val="96"/>
              </w:rPr>
              <w:t>38,544,781</w:t>
            </w: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6"/>
              </w:rPr>
              <w:t>43,390,832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55880</wp:posOffset>
            </wp:positionV>
            <wp:extent cx="51435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84" w:lineRule="exact"/>
        <w:rPr>
          <w:sz w:val="20"/>
          <w:szCs w:val="20"/>
          <w:color w:val="auto"/>
        </w:rPr>
      </w:pPr>
    </w:p>
    <w:p>
      <w:pPr>
        <w:ind w:left="1120" w:right="839" w:hanging="288"/>
        <w:spacing w:after="0" w:line="260" w:lineRule="auto"/>
        <w:tabs>
          <w:tab w:leader="none" w:pos="11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ectPr>
          <w:pgSz w:w="11900" w:h="16838" w:orient="portrait"/>
          <w:cols w:equalWidth="0" w:num="1">
            <w:col w:w="9019"/>
          </w:cols>
          <w:pgMar w:left="1440" w:top="246" w:right="1440" w:bottom="1440" w:gutter="0" w:footer="0" w:header="0"/>
        </w:sectPr>
      </w:pPr>
    </w:p>
    <w:bookmarkStart w:id="31" w:name="page32"/>
    <w:bookmarkEnd w:id="31"/>
    <w:p>
      <w:pPr>
        <w:ind w:left="1120" w:right="919" w:hanging="288"/>
        <w:spacing w:after="0" w:line="253" w:lineRule="auto"/>
        <w:tabs>
          <w:tab w:leader="none" w:pos="11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2" w:lineRule="exact"/>
        <w:rPr>
          <w:rFonts w:ascii="Times New Roman" w:cs="Times New Roman" w:eastAsia="Times New Roman" w:hAnsi="Times New Roman"/>
          <w:sz w:val="12"/>
          <w:szCs w:val="12"/>
          <w:color w:val="auto"/>
        </w:rPr>
      </w:pPr>
    </w:p>
    <w:p>
      <w:pPr>
        <w:ind w:left="1120" w:right="879" w:hanging="288"/>
        <w:spacing w:after="0" w:line="250" w:lineRule="auto"/>
        <w:tabs>
          <w:tab w:leader="none" w:pos="11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Times New Roman" w:cs="Times New Roman" w:eastAsia="Times New Roman" w:hAnsi="Times New Roman"/>
          <w:sz w:val="12"/>
          <w:szCs w:val="12"/>
          <w:color w:val="auto"/>
        </w:rPr>
      </w:pPr>
    </w:p>
    <w:p>
      <w:pPr>
        <w:ind w:left="1120" w:right="879" w:hanging="288"/>
        <w:spacing w:after="0" w:line="250" w:lineRule="auto"/>
        <w:tabs>
          <w:tab w:leader="none" w:pos="11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three months ended March 31, 2023, this adjustment eliminates the termination related charges of $8.4 million in connection with the Program that we offered to certain employees during the first quarter of 2023. As this adjustment meaningfully impacted our operating results and are not expected to represent an ongoing operating expense or income to us, we believe our operating performance results are more usefully compared if this adjustment is excluded.</w:t>
      </w:r>
    </w:p>
    <w:p>
      <w:pPr>
        <w:spacing w:after="0" w:line="1" w:lineRule="exact"/>
        <w:rPr>
          <w:rFonts w:ascii="Times New Roman" w:cs="Times New Roman" w:eastAsia="Times New Roman" w:hAnsi="Times New Roman"/>
          <w:sz w:val="12"/>
          <w:szCs w:val="12"/>
          <w:color w:val="auto"/>
        </w:rPr>
      </w:pPr>
    </w:p>
    <w:p>
      <w:pPr>
        <w:ind w:left="1120" w:right="839" w:hanging="288"/>
        <w:spacing w:after="0" w:line="253" w:lineRule="auto"/>
        <w:tabs>
          <w:tab w:leader="none" w:pos="11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three months ended March 31, 2024 and 2023, income tax effect on non-GAAP adjustments were calculated by calculating the tax expense of each jurisdiction with or without the non-GAAP adjustments. For the three months ended March 31, 2024, income tax effect on non-GAAP adjustments related to our Korean subsidiaries and the U.S. parent entity were negative $1.1 million and negative $0.3 million, respectively. For the three months ended March 31, 2023, income tax effect on non-GAAP adjustments related to our Korean subsidiary and the U.S. parent entity were negative $1.2 million and negative $0.7 million, respectively.</w:t>
      </w:r>
    </w:p>
    <w:p>
      <w:pPr>
        <w:spacing w:after="0" w:line="53" w:lineRule="exact"/>
        <w:rPr>
          <w:rFonts w:ascii="Times New Roman" w:cs="Times New Roman" w:eastAsia="Times New Roman" w:hAnsi="Times New Roman"/>
          <w:sz w:val="12"/>
          <w:szCs w:val="12"/>
          <w:color w:val="auto"/>
        </w:rPr>
      </w:pPr>
    </w:p>
    <w:p>
      <w:pPr>
        <w:ind w:left="1120" w:right="1319"/>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believe that all adjustments to net income (loss) used to calculate Adjusted Net Income (Loss) was applied consistently to the periods presented.</w:t>
      </w:r>
    </w:p>
    <w:p>
      <w:pPr>
        <w:spacing w:after="0" w:line="39" w:lineRule="exact"/>
        <w:rPr>
          <w:rFonts w:ascii="Times New Roman" w:cs="Times New Roman" w:eastAsia="Times New Roman" w:hAnsi="Times New Roman"/>
          <w:sz w:val="12"/>
          <w:szCs w:val="12"/>
          <w:color w:val="auto"/>
        </w:rPr>
      </w:pPr>
    </w:p>
    <w:p>
      <w:pPr>
        <w:ind w:left="1120" w:right="959"/>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(Loss) has limitations as an analytical tool, and you should not consider it in isolation, or as a substitute for analysis of our results as reported under U.S. GAAP. Some of these limitations are:</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(Loss) does not reflect changes in, or cash requirements for, our working capital needs;</w:t>
      </w:r>
    </w:p>
    <w:p>
      <w:pPr>
        <w:spacing w:after="0" w:line="87" w:lineRule="exact"/>
        <w:rPr>
          <w:rFonts w:ascii="Times New Roman" w:cs="Times New Roman" w:eastAsia="Times New Roman" w:hAnsi="Times New Roman"/>
          <w:sz w:val="12"/>
          <w:szCs w:val="12"/>
          <w:color w:val="auto"/>
        </w:rPr>
      </w:pPr>
    </w:p>
    <w:p>
      <w:pPr>
        <w:ind w:left="1480" w:right="1039" w:hanging="288"/>
        <w:spacing w:after="0" w:line="279" w:lineRule="auto"/>
        <w:tabs>
          <w:tab w:leader="none" w:pos="148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(Loss) does not consider the potentially dilutive impact of issuing equity-based compensation to our management team and employees;</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(Loss) does not reflect the costs of holding certain assets and liabilities in foreign currencies; and</w:t>
      </w:r>
    </w:p>
    <w:p>
      <w:pPr>
        <w:spacing w:after="0" w:line="87" w:lineRule="exact"/>
        <w:rPr>
          <w:rFonts w:ascii="Times New Roman" w:cs="Times New Roman" w:eastAsia="Times New Roman" w:hAnsi="Times New Roman"/>
          <w:sz w:val="12"/>
          <w:szCs w:val="12"/>
          <w:color w:val="auto"/>
        </w:rPr>
      </w:pPr>
    </w:p>
    <w:p>
      <w:pPr>
        <w:ind w:left="1480" w:right="859" w:hanging="288"/>
        <w:spacing w:after="0" w:line="279" w:lineRule="auto"/>
        <w:tabs>
          <w:tab w:leader="none" w:pos="148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companies in our industry may calculate Adjusted Net Income (Loss) differently than we do, limiting its usefulness as a comparative measure.</w:t>
      </w:r>
    </w:p>
    <w:p>
      <w:pPr>
        <w:spacing w:after="0" w:line="39" w:lineRule="exact"/>
        <w:rPr>
          <w:sz w:val="20"/>
          <w:szCs w:val="20"/>
          <w:color w:val="auto"/>
        </w:rPr>
      </w:pPr>
    </w:p>
    <w:p>
      <w:pPr>
        <w:ind w:left="1120" w:right="959"/>
        <w:spacing w:after="0" w:line="279" w:lineRule="auto"/>
        <w:rPr>
          <w:sz w:val="20"/>
          <w:szCs w:val="20"/>
          <w:color w:val="auto"/>
        </w:rPr>
      </w:pPr>
      <w:r>
        <w:rPr>
          <w:rFonts w:ascii="Times New Roman" w:cs="Times New Roman" w:eastAsia="Times New Roman" w:hAnsi="Times New Roman"/>
          <w:sz w:val="12"/>
          <w:szCs w:val="12"/>
          <w:color w:val="auto"/>
        </w:rPr>
        <w:t>Because of these limitations, Adjusted Net Income (Loss) should not be considered as a measure of profitability of our business. We compensate for these limitations by relying primarily on our U.S. GAAP results and using Adjusted Net Income (Loss) only as a supplement.</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ectPr>
          <w:pgSz w:w="11900" w:h="16838" w:orient="portrait"/>
          <w:cols w:equalWidth="0" w:num="1">
            <w:col w:w="9019"/>
          </w:cols>
          <w:pgMar w:left="1440" w:top="246" w:right="1440" w:bottom="1440" w:gutter="0" w:footer="0" w:header="0"/>
        </w:sectPr>
      </w:pPr>
    </w:p>
    <w:bookmarkStart w:id="32" w:name="page33"/>
    <w:bookmarkEnd w:id="32"/>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Factors Affecting Our Results of Operations</w:t>
      </w:r>
    </w:p>
    <w:p>
      <w:pPr>
        <w:spacing w:after="0" w:line="78" w:lineRule="exact"/>
        <w:rPr>
          <w:sz w:val="20"/>
          <w:szCs w:val="20"/>
          <w:color w:val="auto"/>
        </w:rPr>
      </w:pPr>
    </w:p>
    <w:p>
      <w:pPr>
        <w:ind w:left="840" w:right="939" w:firstLine="294"/>
        <w:spacing w:after="0" w:line="288" w:lineRule="auto"/>
        <w:rPr>
          <w:sz w:val="20"/>
          <w:szCs w:val="20"/>
          <w:color w:val="auto"/>
        </w:rPr>
      </w:pPr>
      <w:r>
        <w:rPr>
          <w:rFonts w:ascii="Times New Roman" w:cs="Times New Roman" w:eastAsia="Times New Roman" w:hAnsi="Times New Roman"/>
          <w:sz w:val="11"/>
          <w:szCs w:val="11"/>
          <w:b w:val="1"/>
          <w:bCs w:val="1"/>
          <w:i w:val="1"/>
          <w:iCs w:val="1"/>
          <w:color w:val="auto"/>
        </w:rPr>
        <w:t xml:space="preserve">Net Sales. </w:t>
      </w:r>
      <w:r>
        <w:rPr>
          <w:rFonts w:ascii="Times New Roman" w:cs="Times New Roman" w:eastAsia="Times New Roman" w:hAnsi="Times New Roman"/>
          <w:sz w:val="11"/>
          <w:szCs w:val="11"/>
          <w:color w:val="auto"/>
        </w:rPr>
        <w:t>We derive substantially all of our sales (net of sales returns and allowances) from our standard products business. We outsource</w:t>
      </w:r>
      <w:r>
        <w:rPr>
          <w:rFonts w:ascii="Times New Roman" w:cs="Times New Roman" w:eastAsia="Times New Roman" w:hAnsi="Times New Roman"/>
          <w:sz w:val="11"/>
          <w:szCs w:val="11"/>
          <w:b w:val="1"/>
          <w:bCs w:val="1"/>
          <w:i w:val="1"/>
          <w:iCs w:val="1"/>
          <w:color w:val="auto"/>
        </w:rPr>
        <w:t xml:space="preserve"> </w:t>
      </w:r>
      <w:r>
        <w:rPr>
          <w:rFonts w:ascii="Times New Roman" w:cs="Times New Roman" w:eastAsia="Times New Roman" w:hAnsi="Times New Roman"/>
          <w:sz w:val="11"/>
          <w:szCs w:val="11"/>
          <w:color w:val="auto"/>
        </w:rPr>
        <w:t>manufacturing of mobile OLED products to external 12-inch foundries. Our product inventory is primarily located in Korea and is available for drop shipment globally. Outside of Korea, we maintain limited product inventory, and our sales representatives generally relay orders to our fabrication facility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w:t>
      </w:r>
    </w:p>
    <w:p>
      <w:pPr>
        <w:spacing w:after="0" w:line="109" w:lineRule="exact"/>
        <w:rPr>
          <w:sz w:val="20"/>
          <w:szCs w:val="20"/>
          <w:color w:val="auto"/>
        </w:rPr>
      </w:pPr>
    </w:p>
    <w:p>
      <w:pPr>
        <w:ind w:left="840" w:right="1099" w:firstLine="294"/>
        <w:spacing w:after="0" w:line="260" w:lineRule="auto"/>
        <w:rPr>
          <w:sz w:val="20"/>
          <w:szCs w:val="20"/>
          <w:color w:val="auto"/>
        </w:rPr>
      </w:pPr>
      <w:r>
        <w:rPr>
          <w:rFonts w:ascii="Times New Roman" w:cs="Times New Roman" w:eastAsia="Times New Roman" w:hAnsi="Times New Roman"/>
          <w:sz w:val="12"/>
          <w:szCs w:val="12"/>
          <w:color w:val="auto"/>
        </w:rPr>
        <w:t>We recognize revenue when a customer obtains control of the product, which is generally upon product shipment, delivery at the customer’s location or upon customer acceptance, depending on the terms of the arrangement. For the three months ended March 31, 2024 and 2023, we sold products to 129 and 120 customers, respectively, and our net sales to our ten largest customers represented 74% and 71% of our net sales—standard products business, respectively.</w:t>
      </w:r>
    </w:p>
    <w:p>
      <w:pPr>
        <w:spacing w:after="0" w:line="122" w:lineRule="exact"/>
        <w:rPr>
          <w:sz w:val="20"/>
          <w:szCs w:val="20"/>
          <w:color w:val="auto"/>
        </w:rPr>
      </w:pPr>
    </w:p>
    <w:p>
      <w:pPr>
        <w:ind w:left="840" w:right="879" w:firstLine="294"/>
        <w:spacing w:after="0" w:line="279" w:lineRule="auto"/>
        <w:rPr>
          <w:sz w:val="20"/>
          <w:szCs w:val="20"/>
          <w:color w:val="auto"/>
        </w:rPr>
      </w:pPr>
      <w:r>
        <w:rPr>
          <w:rFonts w:ascii="Times New Roman" w:cs="Times New Roman" w:eastAsia="Times New Roman" w:hAnsi="Times New Roman"/>
          <w:sz w:val="12"/>
          <w:szCs w:val="12"/>
          <w:color w:val="auto"/>
        </w:rPr>
        <w:t>We are currently in the process of winding down the Transitional Fab 3 Foundry Services, which represented 7.2% and 9.6% of our total revenues for the three months ended March 31, 2024 and 2023, respectively.</w:t>
      </w:r>
    </w:p>
    <w:p>
      <w:pPr>
        <w:spacing w:after="0" w:line="107" w:lineRule="exact"/>
        <w:rPr>
          <w:sz w:val="20"/>
          <w:szCs w:val="20"/>
          <w:color w:val="auto"/>
        </w:rPr>
      </w:pPr>
    </w:p>
    <w:p>
      <w:pPr>
        <w:ind w:left="840" w:right="999" w:firstLine="294"/>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Gross Profit. </w:t>
      </w:r>
      <w:r>
        <w:rPr>
          <w:rFonts w:ascii="Times New Roman" w:cs="Times New Roman" w:eastAsia="Times New Roman" w:hAnsi="Times New Roman"/>
          <w:sz w:val="12"/>
          <w:szCs w:val="12"/>
          <w:color w:val="auto"/>
        </w:rPr>
        <w:t>Our overall gross profit generally fluctuates as a result of changes in overall sales volumes and in the average selling prices of our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w:t>
      </w:r>
    </w:p>
    <w:p>
      <w:pPr>
        <w:spacing w:after="0" w:line="119" w:lineRule="exact"/>
        <w:rPr>
          <w:sz w:val="20"/>
          <w:szCs w:val="20"/>
          <w:color w:val="auto"/>
        </w:rPr>
      </w:pPr>
    </w:p>
    <w:p>
      <w:pPr>
        <w:ind w:left="840" w:right="919" w:firstLine="294"/>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Average Selling Prices. </w:t>
      </w:r>
      <w:r>
        <w:rPr>
          <w:rFonts w:ascii="Times New Roman" w:cs="Times New Roman" w:eastAsia="Times New Roman" w:hAnsi="Times New Roman"/>
          <w:sz w:val="12"/>
          <w:szCs w:val="12"/>
          <w:color w:val="auto"/>
        </w:rPr>
        <w:t>Average selling prices for our products tend to be highest at the time of introduction of new products which utilize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19" w:lineRule="exact"/>
        <w:rPr>
          <w:sz w:val="20"/>
          <w:szCs w:val="20"/>
          <w:color w:val="auto"/>
        </w:rPr>
      </w:pPr>
    </w:p>
    <w:p>
      <w:pPr>
        <w:ind w:left="840" w:right="899" w:firstLine="294"/>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Material Costs. </w:t>
      </w:r>
      <w:r>
        <w:rPr>
          <w:rFonts w:ascii="Times New Roman" w:cs="Times New Roman" w:eastAsia="Times New Roman" w:hAnsi="Times New Roman"/>
          <w:sz w:val="12"/>
          <w:szCs w:val="12"/>
          <w:color w:val="auto"/>
        </w:rPr>
        <w:t>Our material costs consist of costs of raw materials, such as silicon wafers, chemicals, gases and tape and packaging supplies. We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14" w:lineRule="exact"/>
        <w:rPr>
          <w:sz w:val="20"/>
          <w:szCs w:val="20"/>
          <w:color w:val="auto"/>
        </w:rPr>
      </w:pPr>
    </w:p>
    <w:p>
      <w:pPr>
        <w:ind w:left="840" w:right="1019" w:firstLine="294"/>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Labor Costs. </w:t>
      </w:r>
      <w:r>
        <w:rPr>
          <w:rFonts w:ascii="Times New Roman" w:cs="Times New Roman" w:eastAsia="Times New Roman" w:hAnsi="Times New Roman"/>
          <w:sz w:val="12"/>
          <w:szCs w:val="12"/>
          <w:color w:val="auto"/>
        </w:rPr>
        <w:t>A significant portion of our employees are located in Korea. Under Korean labor laws, most employees and certain executive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officers with one or more years of service are entitled to severance benefits upon the termination of their employment based on their length of service and rate of pay. As of March 31, 2024, 96% of our employees were eligible for severance benefits.</w:t>
      </w:r>
    </w:p>
    <w:p>
      <w:pPr>
        <w:spacing w:after="0" w:line="114" w:lineRule="exact"/>
        <w:rPr>
          <w:sz w:val="20"/>
          <w:szCs w:val="20"/>
          <w:color w:val="auto"/>
        </w:rPr>
      </w:pPr>
    </w:p>
    <w:p>
      <w:pPr>
        <w:ind w:left="840" w:right="959" w:firstLine="294"/>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 xml:space="preserve">Depreciation Expense. </w:t>
      </w:r>
      <w:r>
        <w:rPr>
          <w:rFonts w:ascii="Times New Roman" w:cs="Times New Roman" w:eastAsia="Times New Roman" w:hAnsi="Times New Roman"/>
          <w:sz w:val="12"/>
          <w:szCs w:val="12"/>
          <w:color w:val="auto"/>
        </w:rPr>
        <w:t>We periodically evaluate the carrying values of long-lived assets, including property, plant and equipment and intangible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assets, as well as the related depreciation periods. We depreciated our property, plant and equipment using the straight-line method over the estimated useful lives of our assets. Depreciation rates vary from 30-40 years on buildings to 3-12 years for certain equipment and assets. Our evaluation of carrying values is based on various analyses including cash flow and profitability projections. If our projections indicate that future undiscounted cash flows are not sufficient to recover the carrying value of the related long-lived assets, the carrying value of the assets is impaired and will be reduced, with the reduction charged to expense so that the carrying value is equal to fair value.</w:t>
      </w:r>
    </w:p>
    <w:p>
      <w:pPr>
        <w:spacing w:after="0" w:line="121" w:lineRule="exact"/>
        <w:rPr>
          <w:sz w:val="20"/>
          <w:szCs w:val="20"/>
          <w:color w:val="auto"/>
        </w:rPr>
      </w:pPr>
    </w:p>
    <w:p>
      <w:pPr>
        <w:ind w:left="840" w:right="939" w:firstLine="294"/>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 xml:space="preserve">Selling Expenses. </w:t>
      </w:r>
      <w:r>
        <w:rPr>
          <w:rFonts w:ascii="Times New Roman" w:cs="Times New Roman" w:eastAsia="Times New Roman" w:hAnsi="Times New Roman"/>
          <w:sz w:val="12"/>
          <w:szCs w:val="12"/>
          <w:color w:val="auto"/>
        </w:rPr>
        <w:t>We sell our products worldwide through a direct sales force as well as a network of sales agents and representatives to OEMs,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17" w:lineRule="exact"/>
        <w:rPr>
          <w:sz w:val="20"/>
          <w:szCs w:val="20"/>
          <w:color w:val="auto"/>
        </w:rPr>
      </w:pPr>
    </w:p>
    <w:p>
      <w:pPr>
        <w:ind w:left="840" w:right="979" w:firstLine="294"/>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General and Administrative Expenses. </w:t>
      </w:r>
      <w:r>
        <w:rPr>
          <w:rFonts w:ascii="Times New Roman" w:cs="Times New Roman" w:eastAsia="Times New Roman" w:hAnsi="Times New Roman"/>
          <w:sz w:val="12"/>
          <w:szCs w:val="12"/>
          <w:color w:val="auto"/>
        </w:rPr>
        <w:t>General and administrative expenses consist of the costs of various corporate operations, including</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finance, legal, human resources and other administrative functions. These expenses primarily consist of payroll-related expenses, consulting and other professional fees and office facility-related expenses.</w:t>
      </w:r>
    </w:p>
    <w:p>
      <w:pPr>
        <w:spacing w:after="0" w:line="114" w:lineRule="exact"/>
        <w:rPr>
          <w:sz w:val="20"/>
          <w:szCs w:val="20"/>
          <w:color w:val="auto"/>
        </w:rPr>
      </w:pPr>
    </w:p>
    <w:p>
      <w:pPr>
        <w:ind w:left="840" w:right="979" w:firstLine="294"/>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 xml:space="preserve">Research and Development. </w:t>
      </w:r>
      <w:r>
        <w:rPr>
          <w:rFonts w:ascii="Times New Roman" w:cs="Times New Roman" w:eastAsia="Times New Roman" w:hAnsi="Times New Roman"/>
          <w:sz w:val="12"/>
          <w:szCs w:val="12"/>
          <w:color w:val="auto"/>
        </w:rPr>
        <w:t>The rapid technological change and product obsolescence that characterize our industry require us to make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9019"/>
          </w:cols>
          <w:pgMar w:left="1440" w:top="242" w:right="1440" w:bottom="1440" w:gutter="0" w:footer="0" w:header="0"/>
        </w:sectPr>
      </w:pPr>
    </w:p>
    <w:bookmarkStart w:id="33" w:name="page34"/>
    <w:bookmarkEnd w:id="33"/>
    <w:p>
      <w:pPr>
        <w:ind w:left="840" w:right="979"/>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IC business are material and design-related costs for OLED display driver IC product development involving 28-nanometer or finer processes. The majority of research and development expenses of our power IC business are material and design-related costs for power IC products. Power IC uses standard BCD process technologies which can be sourced from multiple foundries. The majority of research and development expenses of our power discrete business are certain equipment, material and design-related costs for power discrete products.</w:t>
      </w:r>
    </w:p>
    <w:p>
      <w:pPr>
        <w:spacing w:after="0" w:line="121" w:lineRule="exact"/>
        <w:rPr>
          <w:sz w:val="20"/>
          <w:szCs w:val="20"/>
          <w:color w:val="auto"/>
        </w:rPr>
      </w:pPr>
    </w:p>
    <w:p>
      <w:pPr>
        <w:ind w:left="840" w:right="859" w:firstLine="294"/>
        <w:spacing w:after="0" w:line="253" w:lineRule="auto"/>
        <w:rPr>
          <w:sz w:val="20"/>
          <w:szCs w:val="20"/>
          <w:color w:val="auto"/>
        </w:rPr>
      </w:pPr>
      <w:r>
        <w:rPr>
          <w:rFonts w:ascii="Times New Roman" w:cs="Times New Roman" w:eastAsia="Times New Roman" w:hAnsi="Times New Roman"/>
          <w:sz w:val="12"/>
          <w:szCs w:val="12"/>
          <w:b w:val="1"/>
          <w:bCs w:val="1"/>
          <w:i w:val="1"/>
          <w:iCs w:val="1"/>
          <w:color w:val="auto"/>
        </w:rPr>
        <w:t xml:space="preserve">Impact of Foreign Currency Exchange Rates on Reported Results of Operations. </w:t>
      </w:r>
      <w:r>
        <w:rPr>
          <w:rFonts w:ascii="Times New Roman" w:cs="Times New Roman" w:eastAsia="Times New Roman" w:hAnsi="Times New Roman"/>
          <w:sz w:val="12"/>
          <w:szCs w:val="12"/>
          <w:color w:val="auto"/>
        </w:rPr>
        <w:t>Historically, a portion of our revenues and cost of sales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greater than the majority of our operating expenses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one of our Korean subsidiaries, Magnachip Semiconductor, Ltd. or MSK, which is denominated in U.S. dollars. As of March 31, 2024, the outstanding intercompany loan balance including accrued interest between MSK and our Dutch subsidiary was $258.3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27" w:lineRule="exact"/>
        <w:rPr>
          <w:sz w:val="20"/>
          <w:szCs w:val="20"/>
          <w:color w:val="auto"/>
        </w:rPr>
      </w:pPr>
    </w:p>
    <w:p>
      <w:pPr>
        <w:ind w:left="840" w:right="899" w:firstLine="294"/>
        <w:spacing w:after="0" w:line="255" w:lineRule="auto"/>
        <w:rPr>
          <w:sz w:val="20"/>
          <w:szCs w:val="20"/>
          <w:color w:val="auto"/>
        </w:rPr>
      </w:pPr>
      <w:r>
        <w:rPr>
          <w:rFonts w:ascii="Times New Roman" w:cs="Times New Roman" w:eastAsia="Times New Roman" w:hAnsi="Times New Roman"/>
          <w:sz w:val="12"/>
          <w:szCs w:val="12"/>
          <w:color w:val="auto"/>
        </w:rPr>
        <w:t>From time to time, we may engage in exchange rate hedging activities in an effort to mitigate the impact of exchange rate fluctuations. Our Korean subsidiary, Magnachip Semiconductor, Ltd.,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22" w:lineRule="exact"/>
        <w:rPr>
          <w:sz w:val="20"/>
          <w:szCs w:val="20"/>
          <w:color w:val="auto"/>
        </w:rPr>
      </w:pPr>
    </w:p>
    <w:p>
      <w:pPr>
        <w:ind w:left="840" w:right="859" w:firstLine="294"/>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Foreign Currency Gain or Loss. </w:t>
      </w:r>
      <w:r>
        <w:rPr>
          <w:rFonts w:ascii="Times New Roman" w:cs="Times New Roman" w:eastAsia="Times New Roman" w:hAnsi="Times New Roman"/>
          <w:sz w:val="12"/>
          <w:szCs w:val="12"/>
          <w:color w:val="auto"/>
        </w:rPr>
        <w:t>Foreign currency translation gains or losses on transactions by us or our subsidiaries in a currency other than our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Magnachip Semiconductor, Ltd., that are denominated in U.S. dollars. This gain or loss results from fluctuations in the exchange rate between the Korean won and U.S. dollar.</w:t>
      </w:r>
    </w:p>
    <w:p>
      <w:pPr>
        <w:spacing w:after="0" w:line="119" w:lineRule="exact"/>
        <w:rPr>
          <w:sz w:val="20"/>
          <w:szCs w:val="20"/>
          <w:color w:val="auto"/>
        </w:rPr>
      </w:pPr>
    </w:p>
    <w:p>
      <w:pPr>
        <w:ind w:left="840" w:right="859" w:firstLine="294"/>
        <w:spacing w:after="0" w:line="256" w:lineRule="auto"/>
        <w:rPr>
          <w:sz w:val="20"/>
          <w:szCs w:val="20"/>
          <w:color w:val="auto"/>
        </w:rPr>
      </w:pPr>
      <w:r>
        <w:rPr>
          <w:rFonts w:ascii="Times New Roman" w:cs="Times New Roman" w:eastAsia="Times New Roman" w:hAnsi="Times New Roman"/>
          <w:sz w:val="12"/>
          <w:szCs w:val="12"/>
          <w:b w:val="1"/>
          <w:bCs w:val="1"/>
          <w:i w:val="1"/>
          <w:iCs w:val="1"/>
          <w:color w:val="auto"/>
        </w:rPr>
        <w:t xml:space="preserve">Income Taxes. </w:t>
      </w:r>
      <w:r>
        <w:rPr>
          <w:rFonts w:ascii="Times New Roman" w:cs="Times New Roman" w:eastAsia="Times New Roman" w:hAnsi="Times New Roman"/>
          <w:sz w:val="12"/>
          <w:szCs w:val="12"/>
          <w:color w:val="auto"/>
        </w:rPr>
        <w:t>We record our income taxes in each of the tax jurisdictions in which we operate. This process involves using an asset and liability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26" w:lineRule="exact"/>
        <w:rPr>
          <w:sz w:val="20"/>
          <w:szCs w:val="20"/>
          <w:color w:val="auto"/>
        </w:rPr>
      </w:pPr>
    </w:p>
    <w:p>
      <w:pPr>
        <w:ind w:left="840" w:right="859" w:firstLine="294"/>
        <w:spacing w:after="0" w:line="300" w:lineRule="auto"/>
        <w:rPr>
          <w:sz w:val="20"/>
          <w:szCs w:val="20"/>
          <w:color w:val="auto"/>
        </w:rPr>
      </w:pPr>
      <w:r>
        <w:rPr>
          <w:rFonts w:ascii="Times New Roman" w:cs="Times New Roman" w:eastAsia="Times New Roman" w:hAnsi="Times New Roman"/>
          <w:sz w:val="11"/>
          <w:szCs w:val="11"/>
          <w:color w:val="auto"/>
        </w:rPr>
        <w:t>We are subject to income-or non-income-based tax examinations by tax authorities of the U.S., Korea and multiple other foreign jurisdictions for all open tax years. Significant estimates and judgments are required in determining our worldwide provision for income-or non-income based taxes. Some of these estimates are based on interpretations of existing tax laws or regulations. The ultimate amount of tax liability may be uncertain as a result.</w:t>
      </w:r>
    </w:p>
    <w:p>
      <w:pPr>
        <w:spacing w:after="0" w:line="98" w:lineRule="exact"/>
        <w:rPr>
          <w:sz w:val="20"/>
          <w:szCs w:val="20"/>
          <w:color w:val="auto"/>
        </w:rPr>
      </w:pPr>
    </w:p>
    <w:p>
      <w:pPr>
        <w:ind w:left="840" w:right="1079" w:firstLine="294"/>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 xml:space="preserve">Capital Expenditures. </w:t>
      </w:r>
      <w:r>
        <w:rPr>
          <w:rFonts w:ascii="Times New Roman" w:cs="Times New Roman" w:eastAsia="Times New Roman" w:hAnsi="Times New Roman"/>
          <w:sz w:val="12"/>
          <w:szCs w:val="12"/>
          <w:color w:val="auto"/>
        </w:rPr>
        <w:t>We primarily invest in manufacturing equipment, software design tools and other tangible assets mainly for fabrication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34</w:t>
      </w:r>
    </w:p>
    <w:p>
      <w:pPr>
        <w:sectPr>
          <w:pgSz w:w="11900" w:h="16838" w:orient="portrait"/>
          <w:cols w:equalWidth="0" w:num="1">
            <w:col w:w="9019"/>
          </w:cols>
          <w:pgMar w:left="1440" w:top="246" w:right="1440" w:bottom="1440" w:gutter="0" w:footer="0" w:header="0"/>
        </w:sectPr>
      </w:pPr>
    </w:p>
    <w:bookmarkStart w:id="34" w:name="page35"/>
    <w:bookmarkEnd w:id="34"/>
    <w:p>
      <w:pPr>
        <w:ind w:left="840" w:right="839" w:firstLine="294"/>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 xml:space="preserve">Inventories. </w:t>
      </w:r>
      <w:r>
        <w:rPr>
          <w:rFonts w:ascii="Times New Roman" w:cs="Times New Roman" w:eastAsia="Times New Roman" w:hAnsi="Times New Roman"/>
          <w:sz w:val="12"/>
          <w:szCs w:val="12"/>
          <w:color w:val="auto"/>
        </w:rPr>
        <w:t>We monitor our inventory levels in light of product development changes and market expectations. We may be required to take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ectPr>
          <w:pgSz w:w="11900" w:h="16838" w:orient="portrait"/>
          <w:cols w:equalWidth="0" w:num="1">
            <w:col w:w="9019"/>
          </w:cols>
          <w:pgMar w:left="1440" w:top="242" w:right="1440" w:bottom="1440" w:gutter="0" w:footer="0" w:header="0"/>
        </w:sectPr>
      </w:pPr>
    </w:p>
    <w:bookmarkStart w:id="35" w:name="page36"/>
    <w:bookmarkEnd w:id="35"/>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Results of Operations – Comparison of Three Months Ended March 31, 2024 and 2023</w:t>
      </w:r>
    </w:p>
    <w:p>
      <w:pPr>
        <w:spacing w:after="0" w:line="82" w:lineRule="exact"/>
        <w:rPr>
          <w:sz w:val="20"/>
          <w:szCs w:val="20"/>
          <w:color w:val="auto"/>
        </w:rPr>
      </w:pPr>
    </w:p>
    <w:p>
      <w:pPr>
        <w:ind w:left="840" w:right="899" w:firstLine="294"/>
        <w:spacing w:after="0" w:line="256" w:lineRule="auto"/>
        <w:rPr>
          <w:sz w:val="20"/>
          <w:szCs w:val="20"/>
          <w:color w:val="auto"/>
        </w:rPr>
      </w:pPr>
      <w:r>
        <w:rPr>
          <w:rFonts w:ascii="Times New Roman" w:cs="Times New Roman" w:eastAsia="Times New Roman" w:hAnsi="Times New Roman"/>
          <w:sz w:val="12"/>
          <w:szCs w:val="12"/>
          <w:color w:val="auto"/>
        </w:rPr>
        <w:t>In previous reporting periods, we categorized revenues from two business lines in our standard products business: the Display Solutions business line and the Power Solutions business line. As part of the Reorganization, we regrouped our standard products business into the Mixed-Signal Solutions business line, which comprises the display IC and power IC businesses, and the Power Analog Solutions business line, which comprises the power discrete business. Accordingly, effective as of the first quarter of fiscal 2024, we categorize our standard product business revenue by those two regrouped business lines. Certain reclassifications have been made to the prior period revenue presentation to conform to the current period revenue presentation.</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following table sets forth consolidated results of operations for the three months ended March 31, 2024 and 2023:</w:t>
      </w:r>
    </w:p>
    <w:p>
      <w:pPr>
        <w:spacing w:after="0" w:line="14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5"/>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300" w:type="dxa"/>
            <w:vAlign w:val="bottom"/>
          </w:tcPr>
          <w:p>
            <w:pPr>
              <w:spacing w:after="0"/>
              <w:rPr>
                <w:sz w:val="10"/>
                <w:szCs w:val="10"/>
                <w:color w:val="auto"/>
              </w:rPr>
            </w:pPr>
          </w:p>
        </w:tc>
        <w:tc>
          <w:tcPr>
            <w:tcW w:w="1520" w:type="dxa"/>
            <w:vAlign w:val="bottom"/>
            <w:gridSpan w:val="4"/>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5"/>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March 31, 2024</w:t>
            </w:r>
          </w:p>
        </w:tc>
        <w:tc>
          <w:tcPr>
            <w:tcW w:w="300" w:type="dxa"/>
            <w:vAlign w:val="bottom"/>
          </w:tcPr>
          <w:p>
            <w:pPr>
              <w:spacing w:after="0"/>
              <w:rPr>
                <w:sz w:val="10"/>
                <w:szCs w:val="10"/>
                <w:color w:val="auto"/>
              </w:rPr>
            </w:pPr>
          </w:p>
        </w:tc>
        <w:tc>
          <w:tcPr>
            <w:tcW w:w="1520" w:type="dxa"/>
            <w:vAlign w:val="bottom"/>
            <w:gridSpan w:val="4"/>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6"/>
              </w:rPr>
              <w:t>March 31, 2023</w:t>
            </w:r>
          </w:p>
        </w:tc>
        <w:tc>
          <w:tcPr>
            <w:tcW w:w="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72"/>
        </w:trPr>
        <w:tc>
          <w:tcPr>
            <w:tcW w:w="3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40" w:type="dxa"/>
            <w:vAlign w:val="bottom"/>
            <w:tcBorders>
              <w:top w:val="single" w:sz="8" w:color="auto"/>
            </w:tcBorders>
          </w:tcPr>
          <w:p>
            <w:pPr>
              <w:jc w:val="right"/>
              <w:ind w:right="162"/>
              <w:spacing w:after="0" w:line="72" w:lineRule="exact"/>
              <w:rPr>
                <w:sz w:val="20"/>
                <w:szCs w:val="20"/>
                <w:color w:val="auto"/>
              </w:rPr>
            </w:pPr>
            <w:r>
              <w:rPr>
                <w:rFonts w:ascii="Times New Roman" w:cs="Times New Roman" w:eastAsia="Times New Roman" w:hAnsi="Times New Roman"/>
                <w:sz w:val="8"/>
                <w:szCs w:val="8"/>
                <w:b w:val="1"/>
                <w:bCs w:val="1"/>
                <w:color w:val="auto"/>
              </w:rPr>
              <w:t>% of</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4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 of</w:t>
            </w:r>
          </w:p>
        </w:tc>
        <w:tc>
          <w:tcPr>
            <w:tcW w:w="340" w:type="dxa"/>
            <w:vAlign w:val="bottom"/>
          </w:tcPr>
          <w:p>
            <w:pPr>
              <w:spacing w:after="0"/>
              <w:rPr>
                <w:sz w:val="6"/>
                <w:szCs w:val="6"/>
                <w:color w:val="auto"/>
              </w:rPr>
            </w:pPr>
          </w:p>
        </w:tc>
        <w:tc>
          <w:tcPr>
            <w:tcW w:w="4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3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880" w:type="dxa"/>
            <w:vAlign w:val="bottom"/>
            <w:gridSpan w:val="3"/>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Total Revenues</w:t>
            </w:r>
          </w:p>
        </w:tc>
        <w:tc>
          <w:tcPr>
            <w:tcW w:w="3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4"/>
              </w:rPr>
              <w:t>Total Revenues</w:t>
            </w:r>
          </w:p>
        </w:tc>
        <w:tc>
          <w:tcPr>
            <w:tcW w:w="4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0" w:type="dxa"/>
            <w:vAlign w:val="bottom"/>
          </w:tcPr>
          <w:p>
            <w:pPr>
              <w:spacing w:after="0"/>
              <w:rPr>
                <w:sz w:val="1"/>
                <w:szCs w:val="1"/>
                <w:color w:val="auto"/>
              </w:rPr>
            </w:pPr>
          </w:p>
        </w:tc>
      </w:tr>
      <w:tr>
        <w:trPr>
          <w:trHeight w:val="88"/>
        </w:trPr>
        <w:tc>
          <w:tcPr>
            <w:tcW w:w="3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4"/>
          </w:tcPr>
          <w:p>
            <w:pPr>
              <w:jc w:val="right"/>
              <w:ind w:right="60"/>
              <w:spacing w:after="0" w:line="88" w:lineRule="exact"/>
              <w:rPr>
                <w:sz w:val="20"/>
                <w:szCs w:val="20"/>
                <w:color w:val="auto"/>
              </w:rPr>
            </w:pPr>
            <w:r>
              <w:rPr>
                <w:rFonts w:ascii="Times New Roman" w:cs="Times New Roman" w:eastAsia="Times New Roman" w:hAnsi="Times New Roman"/>
                <w:sz w:val="10"/>
                <w:szCs w:val="10"/>
                <w:b w:val="1"/>
                <w:bCs w:val="1"/>
                <w:color w:val="auto"/>
              </w:rPr>
              <w:t>(Dollars in millions)</w:t>
            </w:r>
          </w:p>
        </w:tc>
        <w:tc>
          <w:tcPr>
            <w:tcW w:w="6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7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lef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sales – standard products business</w:t>
            </w:r>
          </w:p>
        </w:tc>
        <w:tc>
          <w:tcPr>
            <w:tcW w:w="70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45.5</w:t>
            </w:r>
          </w:p>
        </w:tc>
        <w:tc>
          <w:tcPr>
            <w:tcW w:w="180" w:type="dxa"/>
            <w:vAlign w:val="bottom"/>
          </w:tcPr>
          <w:p>
            <w:pPr>
              <w:spacing w:after="0"/>
              <w:rPr>
                <w:sz w:val="12"/>
                <w:szCs w:val="1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92.8%</w:t>
            </w:r>
          </w:p>
        </w:tc>
        <w:tc>
          <w:tcPr>
            <w:tcW w:w="30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w:t>
            </w:r>
          </w:p>
        </w:tc>
        <w:tc>
          <w:tcPr>
            <w:tcW w:w="2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90.4%</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sales – transitional Fab 3 foundry services</w:t>
            </w:r>
          </w:p>
        </w:tc>
        <w:tc>
          <w:tcPr>
            <w:tcW w:w="7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8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7.2</w:t>
            </w:r>
          </w:p>
        </w:tc>
        <w:tc>
          <w:tcPr>
            <w:tcW w:w="1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28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9.6</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auto"/>
              </w:rPr>
              <w:t>Total revenues</w:t>
            </w:r>
          </w:p>
        </w:tc>
        <w:tc>
          <w:tcPr>
            <w:tcW w:w="7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120" w:type="dxa"/>
            <w:vAlign w:val="bottom"/>
            <w:vMerge w:val="restart"/>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49.1</w:t>
            </w:r>
          </w:p>
        </w:tc>
        <w:tc>
          <w:tcPr>
            <w:tcW w:w="18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w:t>
            </w:r>
          </w:p>
        </w:tc>
        <w:tc>
          <w:tcPr>
            <w:tcW w:w="28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(7.9)</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sales</w:t>
            </w:r>
          </w:p>
        </w:tc>
        <w:tc>
          <w:tcPr>
            <w:tcW w:w="7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lef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Cost of sales – standard products business</w:t>
            </w:r>
          </w:p>
        </w:tc>
        <w:tc>
          <w:tcPr>
            <w:tcW w:w="7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35.9</w:t>
            </w:r>
          </w:p>
        </w:tc>
        <w:tc>
          <w:tcPr>
            <w:tcW w:w="1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73.1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w:t>
            </w:r>
          </w:p>
        </w:tc>
        <w:tc>
          <w:tcPr>
            <w:tcW w:w="28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65.5</w:t>
            </w:r>
          </w:p>
        </w:tc>
        <w:tc>
          <w:tcPr>
            <w:tcW w:w="10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Cost of sales – transitional Fab 3 foundry services</w:t>
            </w:r>
          </w:p>
        </w:tc>
        <w:tc>
          <w:tcPr>
            <w:tcW w:w="7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8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8.6</w:t>
            </w:r>
          </w:p>
        </w:tc>
        <w:tc>
          <w:tcPr>
            <w:tcW w:w="1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28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13.3</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42"/>
        </w:trPr>
        <w:tc>
          <w:tcPr>
            <w:tcW w:w="31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Total cost of sales</w:t>
            </w:r>
          </w:p>
        </w:tc>
        <w:tc>
          <w:tcPr>
            <w:tcW w:w="7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40.1</w:t>
            </w:r>
          </w:p>
        </w:tc>
        <w:tc>
          <w:tcPr>
            <w:tcW w:w="1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81.7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28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78.8</w:t>
            </w:r>
          </w:p>
        </w:tc>
        <w:tc>
          <w:tcPr>
            <w:tcW w:w="1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7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8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18.3</w:t>
            </w:r>
          </w:p>
        </w:tc>
        <w:tc>
          <w:tcPr>
            <w:tcW w:w="1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28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21.2</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7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11.3</w:t>
            </w:r>
          </w:p>
        </w:tc>
        <w:tc>
          <w:tcPr>
            <w:tcW w:w="1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23.0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28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21.3</w:t>
            </w:r>
          </w:p>
        </w:tc>
        <w:tc>
          <w:tcPr>
            <w:tcW w:w="10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(0.9)</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7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11.2</w:t>
            </w:r>
          </w:p>
        </w:tc>
        <w:tc>
          <w:tcPr>
            <w:tcW w:w="18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22.8</w:t>
            </w:r>
          </w:p>
        </w:tc>
        <w:tc>
          <w:tcPr>
            <w:tcW w:w="1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28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23.3</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Early termination charges</w:t>
            </w:r>
          </w:p>
        </w:tc>
        <w:tc>
          <w:tcPr>
            <w:tcW w:w="7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— </w:t>
            </w:r>
          </w:p>
        </w:tc>
        <w:tc>
          <w:tcPr>
            <w:tcW w:w="180" w:type="dxa"/>
            <w:vAlign w:val="bottom"/>
          </w:tcPr>
          <w:p>
            <w:pPr>
              <w:spacing w:after="0"/>
              <w:rPr>
                <w:sz w:val="12"/>
                <w:szCs w:val="12"/>
                <w:color w:val="auto"/>
              </w:rPr>
            </w:pPr>
          </w:p>
        </w:tc>
        <w:tc>
          <w:tcPr>
            <w:tcW w:w="880" w:type="dxa"/>
            <w:vAlign w:val="bottom"/>
            <w:gridSpan w:val="3"/>
          </w:tcPr>
          <w:p>
            <w:pPr>
              <w:jc w:val="right"/>
              <w:ind w:right="112"/>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28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14.8</w:t>
            </w:r>
          </w:p>
        </w:tc>
        <w:tc>
          <w:tcPr>
            <w:tcW w:w="10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7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2"/>
              </w:rPr>
              <w:t>(13.5)</w:t>
            </w:r>
          </w:p>
        </w:tc>
        <w:tc>
          <w:tcPr>
            <w:tcW w:w="180" w:type="dxa"/>
            <w:vAlign w:val="bottom"/>
            <w:tcBorders>
              <w:left w:val="single" w:sz="8" w:color="CCEEFF"/>
            </w:tcBorders>
            <w:shd w:val="clear" w:color="auto" w:fill="CCEEFF"/>
          </w:tcPr>
          <w:p>
            <w:pPr>
              <w:spacing w:after="0"/>
              <w:rPr>
                <w:sz w:val="12"/>
                <w:szCs w:val="12"/>
                <w:color w:val="auto"/>
              </w:rPr>
            </w:pPr>
          </w:p>
        </w:tc>
        <w:tc>
          <w:tcPr>
            <w:tcW w:w="88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2"/>
                <w:szCs w:val="12"/>
                <w:color w:val="auto"/>
              </w:rPr>
              <w:t>(27.4)</w:t>
            </w:r>
          </w:p>
        </w:tc>
        <w:tc>
          <w:tcPr>
            <w:tcW w:w="3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6"/>
              </w:rPr>
              <w:t>(21.8)</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(38.3)</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7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8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7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80" w:type="dxa"/>
            <w:vAlign w:val="bottom"/>
            <w:tcBorders>
              <w:left w:val="single" w:sz="8" w:color="CCEEFF"/>
            </w:tcBorders>
            <w:shd w:val="clear" w:color="auto" w:fill="CCEEFF"/>
          </w:tcPr>
          <w:p>
            <w:pPr>
              <w:spacing w:after="0"/>
              <w:rPr>
                <w:sz w:val="12"/>
                <w:szCs w:val="12"/>
                <w:color w:val="auto"/>
              </w:rPr>
            </w:pPr>
          </w:p>
        </w:tc>
        <w:tc>
          <w:tcPr>
            <w:tcW w:w="88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2"/>
                <w:szCs w:val="12"/>
                <w:color w:val="auto"/>
              </w:rPr>
              <w:t>(0.5)</w:t>
            </w:r>
          </w:p>
        </w:tc>
        <w:tc>
          <w:tcPr>
            <w:tcW w:w="3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(0.3)</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(0.4)</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loss, net</w:t>
            </w:r>
          </w:p>
        </w:tc>
        <w:tc>
          <w:tcPr>
            <w:tcW w:w="7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80" w:type="dxa"/>
            <w:vAlign w:val="bottom"/>
          </w:tcPr>
          <w:p>
            <w:pPr>
              <w:spacing w:after="0"/>
              <w:rPr>
                <w:sz w:val="12"/>
                <w:szCs w:val="12"/>
                <w:color w:val="auto"/>
              </w:rPr>
            </w:pPr>
          </w:p>
        </w:tc>
        <w:tc>
          <w:tcPr>
            <w:tcW w:w="880" w:type="dxa"/>
            <w:vAlign w:val="bottom"/>
            <w:gridSpan w:val="3"/>
          </w:tcPr>
          <w:p>
            <w:pPr>
              <w:jc w:val="right"/>
              <w:ind w:right="52"/>
              <w:spacing w:after="0"/>
              <w:rPr>
                <w:sz w:val="20"/>
                <w:szCs w:val="20"/>
                <w:color w:val="auto"/>
              </w:rPr>
            </w:pPr>
            <w:r>
              <w:rPr>
                <w:rFonts w:ascii="Times New Roman" w:cs="Times New Roman" w:eastAsia="Times New Roman" w:hAnsi="Times New Roman"/>
                <w:sz w:val="12"/>
                <w:szCs w:val="12"/>
                <w:color w:val="auto"/>
              </w:rPr>
              <w:t>(10.2)</w:t>
            </w:r>
          </w:p>
        </w:tc>
        <w:tc>
          <w:tcPr>
            <w:tcW w:w="30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(3.4)</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Others, net</w:t>
            </w:r>
          </w:p>
        </w:tc>
        <w:tc>
          <w:tcPr>
            <w:tcW w:w="7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18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c>
          <w:tcPr>
            <w:tcW w:w="1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(0.0)</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3"/>
            <w:vMerge w:val="restart"/>
          </w:tcPr>
          <w:p>
            <w:pPr>
              <w:jc w:val="right"/>
              <w:ind w:right="52"/>
              <w:spacing w:after="0"/>
              <w:rPr>
                <w:sz w:val="20"/>
                <w:szCs w:val="20"/>
                <w:color w:val="auto"/>
              </w:rPr>
            </w:pPr>
            <w:r>
              <w:rPr>
                <w:rFonts w:ascii="Times New Roman" w:cs="Times New Roman" w:eastAsia="Times New Roman" w:hAnsi="Times New Roman"/>
                <w:sz w:val="12"/>
                <w:szCs w:val="12"/>
                <w:color w:val="auto"/>
              </w:rPr>
              <w:t>(6.1)</w:t>
            </w:r>
          </w:p>
        </w:tc>
        <w:tc>
          <w:tcPr>
            <w:tcW w:w="3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(0.9)</w:t>
            </w: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income tax benefit</w:t>
            </w:r>
          </w:p>
        </w:tc>
        <w:tc>
          <w:tcPr>
            <w:tcW w:w="7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2"/>
              </w:rPr>
              <w:t>(16.4)</w:t>
            </w:r>
          </w:p>
        </w:tc>
        <w:tc>
          <w:tcPr>
            <w:tcW w:w="180" w:type="dxa"/>
            <w:vAlign w:val="bottom"/>
            <w:tcBorders>
              <w:left w:val="single" w:sz="8" w:color="CCEEFF"/>
            </w:tcBorders>
            <w:shd w:val="clear" w:color="auto" w:fill="CCEEFF"/>
          </w:tcPr>
          <w:p>
            <w:pPr>
              <w:spacing w:after="0"/>
              <w:rPr>
                <w:sz w:val="12"/>
                <w:szCs w:val="12"/>
                <w:color w:val="auto"/>
              </w:rPr>
            </w:pPr>
          </w:p>
        </w:tc>
        <w:tc>
          <w:tcPr>
            <w:tcW w:w="88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2"/>
                <w:szCs w:val="12"/>
                <w:color w:val="auto"/>
              </w:rPr>
              <w:t>(33.5)</w:t>
            </w:r>
          </w:p>
        </w:tc>
        <w:tc>
          <w:tcPr>
            <w:tcW w:w="3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6"/>
              </w:rPr>
              <w:t>(22.7)</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(39.8)</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6.3</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7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80" w:type="dxa"/>
            <w:vAlign w:val="bottom"/>
          </w:tcPr>
          <w:p>
            <w:pPr>
              <w:spacing w:after="0"/>
              <w:rPr>
                <w:sz w:val="12"/>
                <w:szCs w:val="12"/>
                <w:color w:val="auto"/>
              </w:rPr>
            </w:pPr>
          </w:p>
        </w:tc>
        <w:tc>
          <w:tcPr>
            <w:tcW w:w="880" w:type="dxa"/>
            <w:vAlign w:val="bottom"/>
            <w:gridSpan w:val="3"/>
          </w:tcPr>
          <w:p>
            <w:pPr>
              <w:jc w:val="right"/>
              <w:ind w:right="52"/>
              <w:spacing w:after="0"/>
              <w:rPr>
                <w:sz w:val="20"/>
                <w:szCs w:val="20"/>
                <w:color w:val="auto"/>
              </w:rPr>
            </w:pPr>
            <w:r>
              <w:rPr>
                <w:rFonts w:ascii="Times New Roman" w:cs="Times New Roman" w:eastAsia="Times New Roman" w:hAnsi="Times New Roman"/>
                <w:sz w:val="12"/>
                <w:szCs w:val="12"/>
                <w:color w:val="auto"/>
              </w:rPr>
              <w:t>(2.1)</w:t>
            </w:r>
          </w:p>
        </w:tc>
        <w:tc>
          <w:tcPr>
            <w:tcW w:w="30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(1.2)</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5"/>
              </w:rPr>
              <w:t>$ (15.4)</w:t>
            </w:r>
          </w:p>
        </w:tc>
        <w:tc>
          <w:tcPr>
            <w:tcW w:w="180" w:type="dxa"/>
            <w:vAlign w:val="bottom"/>
            <w:tcBorders>
              <w:left w:val="single" w:sz="8" w:color="CCEEFF"/>
            </w:tcBorders>
            <w:shd w:val="clear" w:color="auto" w:fill="CCEEFF"/>
          </w:tcPr>
          <w:p>
            <w:pPr>
              <w:spacing w:after="0"/>
              <w:rPr>
                <w:sz w:val="12"/>
                <w:szCs w:val="12"/>
                <w:color w:val="auto"/>
              </w:rPr>
            </w:pPr>
          </w:p>
        </w:tc>
        <w:tc>
          <w:tcPr>
            <w:tcW w:w="88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2"/>
                <w:szCs w:val="12"/>
                <w:color w:val="auto"/>
              </w:rPr>
              <w:t>(31.4)</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(21.5)</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(37.7)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6.1</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3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80" w:type="dxa"/>
            <w:vAlign w:val="bottom"/>
            <w:gridSpan w:val="5"/>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300" w:type="dxa"/>
            <w:vAlign w:val="bottom"/>
          </w:tcPr>
          <w:p>
            <w:pPr>
              <w:spacing w:after="0"/>
              <w:rPr>
                <w:sz w:val="22"/>
                <w:szCs w:val="22"/>
                <w:color w:val="auto"/>
              </w:rPr>
            </w:pPr>
          </w:p>
        </w:tc>
        <w:tc>
          <w:tcPr>
            <w:tcW w:w="1520" w:type="dxa"/>
            <w:vAlign w:val="bottom"/>
            <w:gridSpan w:val="4"/>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3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4"/>
          </w:tcPr>
          <w:p>
            <w:pPr>
              <w:jc w:val="right"/>
              <w:ind w:right="372"/>
              <w:spacing w:after="0" w:line="107" w:lineRule="exact"/>
              <w:rPr>
                <w:sz w:val="20"/>
                <w:szCs w:val="20"/>
                <w:color w:val="auto"/>
              </w:rPr>
            </w:pPr>
            <w:r>
              <w:rPr>
                <w:rFonts w:ascii="Times New Roman" w:cs="Times New Roman" w:eastAsia="Times New Roman" w:hAnsi="Times New Roman"/>
                <w:sz w:val="10"/>
                <w:szCs w:val="10"/>
                <w:b w:val="1"/>
                <w:bCs w:val="1"/>
                <w:color w:val="auto"/>
                <w:w w:val="93"/>
              </w:rPr>
              <w:t>March 31, 2024</w:t>
            </w:r>
          </w:p>
        </w:tc>
        <w:tc>
          <w:tcPr>
            <w:tcW w:w="300" w:type="dxa"/>
            <w:vAlign w:val="bottom"/>
          </w:tcPr>
          <w:p>
            <w:pPr>
              <w:spacing w:after="0"/>
              <w:rPr>
                <w:sz w:val="10"/>
                <w:szCs w:val="10"/>
                <w:color w:val="auto"/>
              </w:rPr>
            </w:pPr>
          </w:p>
        </w:tc>
        <w:tc>
          <w:tcPr>
            <w:tcW w:w="1520" w:type="dxa"/>
            <w:vAlign w:val="bottom"/>
            <w:gridSpan w:val="4"/>
          </w:tcPr>
          <w:p>
            <w:pPr>
              <w:jc w:val="center"/>
              <w:ind w:right="400"/>
              <w:spacing w:after="0" w:line="107" w:lineRule="exact"/>
              <w:rPr>
                <w:sz w:val="20"/>
                <w:szCs w:val="20"/>
                <w:color w:val="auto"/>
              </w:rPr>
            </w:pPr>
            <w:r>
              <w:rPr>
                <w:rFonts w:ascii="Times New Roman" w:cs="Times New Roman" w:eastAsia="Times New Roman" w:hAnsi="Times New Roman"/>
                <w:sz w:val="10"/>
                <w:szCs w:val="10"/>
                <w:b w:val="1"/>
                <w:bCs w:val="1"/>
                <w:color w:val="auto"/>
                <w:w w:val="96"/>
              </w:rPr>
              <w:t>March 31, 2023</w:t>
            </w: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3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60" w:type="dxa"/>
            <w:vAlign w:val="bottom"/>
            <w:tcBorders>
              <w:top w:val="single" w:sz="8" w:color="auto"/>
            </w:tcBorders>
            <w:gridSpan w:val="2"/>
          </w:tcPr>
          <w:p>
            <w:pPr>
              <w:jc w:val="right"/>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 of</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40" w:type="dxa"/>
            <w:vAlign w:val="bottom"/>
            <w:tcBorders>
              <w:top w:val="single" w:sz="8" w:color="auto"/>
            </w:tcBorders>
          </w:tcPr>
          <w:p>
            <w:pPr>
              <w:jc w:val="center"/>
              <w:spacing w:after="0" w:line="61" w:lineRule="exact"/>
              <w:rPr>
                <w:sz w:val="20"/>
                <w:szCs w:val="20"/>
                <w:color w:val="auto"/>
              </w:rPr>
            </w:pPr>
            <w:r>
              <w:rPr>
                <w:rFonts w:ascii="Times New Roman" w:cs="Times New Roman" w:eastAsia="Times New Roman" w:hAnsi="Times New Roman"/>
                <w:sz w:val="7"/>
                <w:szCs w:val="7"/>
                <w:b w:val="1"/>
                <w:bCs w:val="1"/>
                <w:color w:val="auto"/>
              </w:rPr>
              <w:t>% of</w:t>
            </w:r>
          </w:p>
        </w:tc>
        <w:tc>
          <w:tcPr>
            <w:tcW w:w="340" w:type="dxa"/>
            <w:vAlign w:val="bottom"/>
          </w:tcPr>
          <w:p>
            <w:pPr>
              <w:spacing w:after="0"/>
              <w:rPr>
                <w:sz w:val="5"/>
                <w:szCs w:val="5"/>
                <w:color w:val="auto"/>
              </w:rPr>
            </w:pPr>
          </w:p>
        </w:tc>
        <w:tc>
          <w:tcPr>
            <w:tcW w:w="340" w:type="dxa"/>
            <w:vAlign w:val="bottom"/>
            <w:gridSpan w:val="2"/>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Change</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880" w:type="dxa"/>
            <w:vAlign w:val="bottom"/>
            <w:gridSpan w:val="3"/>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Total Revenues</w:t>
            </w:r>
          </w:p>
        </w:tc>
        <w:tc>
          <w:tcPr>
            <w:tcW w:w="3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4"/>
              </w:rPr>
              <w:t>Total Revenues</w:t>
            </w:r>
          </w:p>
        </w:tc>
        <w:tc>
          <w:tcPr>
            <w:tcW w:w="4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0" w:type="dxa"/>
            <w:vAlign w:val="bottom"/>
          </w:tcPr>
          <w:p>
            <w:pPr>
              <w:spacing w:after="0"/>
              <w:rPr>
                <w:sz w:val="1"/>
                <w:szCs w:val="1"/>
                <w:color w:val="auto"/>
              </w:rPr>
            </w:pPr>
          </w:p>
        </w:tc>
      </w:tr>
      <w:tr>
        <w:trPr>
          <w:trHeight w:val="88"/>
        </w:trPr>
        <w:tc>
          <w:tcPr>
            <w:tcW w:w="3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40" w:type="dxa"/>
            <w:vAlign w:val="bottom"/>
            <w:tcBorders>
              <w:top w:val="single" w:sz="8" w:color="auto"/>
            </w:tcBorders>
            <w:gridSpan w:val="3"/>
          </w:tcPr>
          <w:p>
            <w:pPr>
              <w:jc w:val="right"/>
              <w:ind w:right="20"/>
              <w:spacing w:after="0" w:line="88" w:lineRule="exact"/>
              <w:rPr>
                <w:sz w:val="20"/>
                <w:szCs w:val="20"/>
                <w:color w:val="auto"/>
              </w:rPr>
            </w:pPr>
            <w:r>
              <w:rPr>
                <w:rFonts w:ascii="Times New Roman" w:cs="Times New Roman" w:eastAsia="Times New Roman" w:hAnsi="Times New Roman"/>
                <w:sz w:val="10"/>
                <w:szCs w:val="10"/>
                <w:b w:val="1"/>
                <w:bCs w:val="1"/>
                <w:color w:val="auto"/>
                <w:w w:val="94"/>
              </w:rPr>
              <w:t>(Dollars in millions)</w:t>
            </w:r>
          </w:p>
        </w:tc>
        <w:tc>
          <w:tcPr>
            <w:tcW w:w="6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7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lef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sales – standard products business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Mixed-Signal Solutions</w:t>
            </w:r>
          </w:p>
        </w:tc>
        <w:tc>
          <w:tcPr>
            <w:tcW w:w="700" w:type="dxa"/>
            <w:vAlign w:val="bottom"/>
            <w:tcBorders>
              <w:right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9.0</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30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12.8</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44"/>
        </w:trPr>
        <w:tc>
          <w:tcPr>
            <w:tcW w:w="31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Power Analog Solutions</w:t>
            </w:r>
          </w:p>
        </w:tc>
        <w:tc>
          <w:tcPr>
            <w:tcW w:w="7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180" w:type="dxa"/>
            <w:vAlign w:val="bottom"/>
          </w:tcPr>
          <w:p>
            <w:pPr>
              <w:spacing w:after="0"/>
              <w:rPr>
                <w:sz w:val="12"/>
                <w:szCs w:val="12"/>
                <w:color w:val="auto"/>
              </w:rPr>
            </w:pPr>
          </w:p>
        </w:tc>
        <w:tc>
          <w:tcPr>
            <w:tcW w:w="880" w:type="dxa"/>
            <w:vAlign w:val="bottom"/>
            <w:gridSpan w:val="3"/>
          </w:tcPr>
          <w:p>
            <w:pPr>
              <w:jc w:val="right"/>
              <w:ind w:right="72"/>
              <w:spacing w:after="0"/>
              <w:rPr>
                <w:sz w:val="20"/>
                <w:szCs w:val="20"/>
                <w:color w:val="auto"/>
              </w:rPr>
            </w:pPr>
            <w:r>
              <w:rPr>
                <w:rFonts w:ascii="Times New Roman" w:cs="Times New Roman" w:eastAsia="Times New Roman" w:hAnsi="Times New Roman"/>
                <w:sz w:val="12"/>
                <w:szCs w:val="12"/>
                <w:color w:val="auto"/>
              </w:rPr>
              <w:t>74.5</w:t>
            </w:r>
          </w:p>
        </w:tc>
        <w:tc>
          <w:tcPr>
            <w:tcW w:w="30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38.7</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67.9</w:t>
            </w:r>
          </w:p>
        </w:tc>
        <w:tc>
          <w:tcPr>
            <w:tcW w:w="10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Total standard products business</w:t>
            </w:r>
          </w:p>
        </w:tc>
        <w:tc>
          <w:tcPr>
            <w:tcW w:w="7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w:t>
            </w:r>
          </w:p>
        </w:tc>
        <w:tc>
          <w:tcPr>
            <w:tcW w:w="180" w:type="dxa"/>
            <w:vAlign w:val="bottom"/>
            <w:tcBorders>
              <w:left w:val="single" w:sz="8" w:color="CCEEFF"/>
            </w:tcBorders>
            <w:shd w:val="clear" w:color="auto" w:fill="CCEEFF"/>
          </w:tcPr>
          <w:p>
            <w:pPr>
              <w:spacing w:after="0"/>
              <w:rPr>
                <w:sz w:val="12"/>
                <w:szCs w:val="12"/>
                <w:color w:val="auto"/>
              </w:rPr>
            </w:pPr>
          </w:p>
        </w:tc>
        <w:tc>
          <w:tcPr>
            <w:tcW w:w="88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92.8</w:t>
            </w:r>
          </w:p>
        </w:tc>
        <w:tc>
          <w:tcPr>
            <w:tcW w:w="3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51.5</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90.4</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44"/>
        </w:trPr>
        <w:tc>
          <w:tcPr>
            <w:tcW w:w="31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sales – transitional Fab 3 foundry services</w:t>
            </w:r>
          </w:p>
        </w:tc>
        <w:tc>
          <w:tcPr>
            <w:tcW w:w="7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80" w:type="dxa"/>
            <w:vAlign w:val="bottom"/>
          </w:tcPr>
          <w:p>
            <w:pPr>
              <w:spacing w:after="0"/>
              <w:rPr>
                <w:sz w:val="12"/>
                <w:szCs w:val="12"/>
                <w:color w:val="auto"/>
              </w:rPr>
            </w:pPr>
          </w:p>
        </w:tc>
        <w:tc>
          <w:tcPr>
            <w:tcW w:w="880" w:type="dxa"/>
            <w:vAlign w:val="bottom"/>
            <w:gridSpan w:val="3"/>
          </w:tcPr>
          <w:p>
            <w:pPr>
              <w:jc w:val="right"/>
              <w:ind w:right="72"/>
              <w:spacing w:after="0"/>
              <w:rPr>
                <w:sz w:val="20"/>
                <w:szCs w:val="20"/>
                <w:color w:val="auto"/>
              </w:rPr>
            </w:pPr>
            <w:r>
              <w:rPr>
                <w:rFonts w:ascii="Times New Roman" w:cs="Times New Roman" w:eastAsia="Times New Roman" w:hAnsi="Times New Roman"/>
                <w:sz w:val="12"/>
                <w:szCs w:val="12"/>
                <w:color w:val="auto"/>
              </w:rPr>
              <w:t>7.2</w:t>
            </w:r>
          </w:p>
        </w:tc>
        <w:tc>
          <w:tcPr>
            <w:tcW w:w="3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28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9.6</w:t>
            </w:r>
          </w:p>
        </w:tc>
        <w:tc>
          <w:tcPr>
            <w:tcW w:w="10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Total cost of sales</w:t>
            </w:r>
          </w:p>
        </w:tc>
        <w:tc>
          <w:tcPr>
            <w:tcW w:w="700" w:type="dxa"/>
            <w:vAlign w:val="bottom"/>
            <w:tcBorders>
              <w:right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49.1</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30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57.0</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(7.9)</w:t>
            </w:r>
          </w:p>
        </w:tc>
        <w:tc>
          <w:tcPr>
            <w:tcW w:w="0" w:type="dxa"/>
            <w:vAlign w:val="bottom"/>
          </w:tcPr>
          <w:p>
            <w:pPr>
              <w:spacing w:after="0"/>
              <w:rPr>
                <w:sz w:val="1"/>
                <w:szCs w:val="1"/>
                <w:color w:val="auto"/>
              </w:rPr>
            </w:pPr>
          </w:p>
        </w:tc>
      </w:tr>
      <w:tr>
        <w:trPr>
          <w:trHeight w:val="252"/>
        </w:trPr>
        <w:tc>
          <w:tcPr>
            <w:tcW w:w="3120" w:type="dxa"/>
            <w:vAlign w:val="bottom"/>
          </w:tcPr>
          <w:p>
            <w:pPr>
              <w:spacing w:after="0"/>
              <w:rPr>
                <w:sz w:val="21"/>
                <w:szCs w:val="21"/>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36</w:t>
            </w:r>
          </w:p>
        </w:tc>
        <w:tc>
          <w:tcPr>
            <w:tcW w:w="2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2" w:right="1440"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15"/>
        </w:trPr>
        <w:tc>
          <w:tcPr>
            <w:tcW w:w="4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4"/>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60" w:type="dxa"/>
            <w:vAlign w:val="bottom"/>
          </w:tcPr>
          <w:p>
            <w:pPr>
              <w:spacing w:after="0"/>
              <w:rPr>
                <w:sz w:val="10"/>
                <w:szCs w:val="10"/>
                <w:color w:val="auto"/>
              </w:rPr>
            </w:pPr>
          </w:p>
        </w:tc>
        <w:tc>
          <w:tcPr>
            <w:tcW w:w="1260" w:type="dxa"/>
            <w:vAlign w:val="bottom"/>
            <w:gridSpan w:val="4"/>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4"/>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March 31, 2024</w:t>
            </w:r>
          </w:p>
        </w:tc>
        <w:tc>
          <w:tcPr>
            <w:tcW w:w="60" w:type="dxa"/>
            <w:vAlign w:val="bottom"/>
          </w:tcPr>
          <w:p>
            <w:pPr>
              <w:spacing w:after="0"/>
              <w:rPr>
                <w:sz w:val="10"/>
                <w:szCs w:val="10"/>
                <w:color w:val="auto"/>
              </w:rPr>
            </w:pPr>
          </w:p>
        </w:tc>
        <w:tc>
          <w:tcPr>
            <w:tcW w:w="1260" w:type="dxa"/>
            <w:vAlign w:val="bottom"/>
            <w:gridSpan w:val="4"/>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March 31, 2023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2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center"/>
              <w:ind w:left="25"/>
              <w:spacing w:after="0" w:line="72" w:lineRule="exact"/>
              <w:rPr>
                <w:sz w:val="20"/>
                <w:szCs w:val="20"/>
                <w:color w:val="auto"/>
              </w:rPr>
            </w:pPr>
            <w:r>
              <w:rPr>
                <w:rFonts w:ascii="Times New Roman" w:cs="Times New Roman" w:eastAsia="Times New Roman" w:hAnsi="Times New Roman"/>
                <w:sz w:val="8"/>
                <w:szCs w:val="8"/>
                <w:b w:val="1"/>
                <w:bCs w:val="1"/>
                <w:color w:val="auto"/>
              </w:rPr>
              <w:t>% of</w:t>
            </w:r>
          </w:p>
        </w:tc>
        <w:tc>
          <w:tcPr>
            <w:tcW w:w="3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 of</w:t>
            </w:r>
          </w:p>
        </w:tc>
        <w:tc>
          <w:tcPr>
            <w:tcW w:w="320" w:type="dxa"/>
            <w:vAlign w:val="bottom"/>
          </w:tcPr>
          <w:p>
            <w:pPr>
              <w:spacing w:after="0"/>
              <w:rPr>
                <w:sz w:val="6"/>
                <w:szCs w:val="6"/>
                <w:color w:val="auto"/>
              </w:rPr>
            </w:pPr>
          </w:p>
        </w:tc>
        <w:tc>
          <w:tcPr>
            <w:tcW w:w="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99"/>
        </w:trPr>
        <w:tc>
          <w:tcPr>
            <w:tcW w:w="4280" w:type="dxa"/>
            <w:vAlign w:val="bottom"/>
          </w:tcPr>
          <w:p>
            <w:pPr>
              <w:spacing w:after="0"/>
              <w:rPr>
                <w:sz w:val="8"/>
                <w:szCs w:val="8"/>
                <w:color w:val="auto"/>
              </w:rPr>
            </w:pPr>
          </w:p>
        </w:tc>
        <w:tc>
          <w:tcPr>
            <w:tcW w:w="5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40" w:type="dxa"/>
            <w:vAlign w:val="bottom"/>
            <w:gridSpan w:val="2"/>
          </w:tcPr>
          <w:p>
            <w:pPr>
              <w:jc w:val="center"/>
              <w:ind w:right="192"/>
              <w:spacing w:after="0" w:line="99" w:lineRule="exact"/>
              <w:rPr>
                <w:sz w:val="20"/>
                <w:szCs w:val="20"/>
                <w:color w:val="auto"/>
              </w:rPr>
            </w:pPr>
            <w:r>
              <w:rPr>
                <w:rFonts w:ascii="Times New Roman" w:cs="Times New Roman" w:eastAsia="Times New Roman" w:hAnsi="Times New Roman"/>
                <w:sz w:val="10"/>
                <w:szCs w:val="10"/>
                <w:b w:val="1"/>
                <w:bCs w:val="1"/>
                <w:color w:val="auto"/>
                <w:w w:val="93"/>
              </w:rPr>
              <w:t>Net</w:t>
            </w:r>
          </w:p>
        </w:tc>
        <w:tc>
          <w:tcPr>
            <w:tcW w:w="6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660" w:type="dxa"/>
            <w:vAlign w:val="bottom"/>
            <w:gridSpan w:val="2"/>
          </w:tcPr>
          <w:p>
            <w:pPr>
              <w:jc w:val="center"/>
              <w:ind w:right="320"/>
              <w:spacing w:after="0" w:line="99" w:lineRule="exact"/>
              <w:rPr>
                <w:sz w:val="20"/>
                <w:szCs w:val="20"/>
                <w:color w:val="auto"/>
              </w:rPr>
            </w:pPr>
            <w:r>
              <w:rPr>
                <w:rFonts w:ascii="Times New Roman" w:cs="Times New Roman" w:eastAsia="Times New Roman" w:hAnsi="Times New Roman"/>
                <w:sz w:val="10"/>
                <w:szCs w:val="10"/>
                <w:b w:val="1"/>
                <w:bCs w:val="1"/>
                <w:color w:val="auto"/>
                <w:w w:val="93"/>
              </w:rPr>
              <w:t>Net</w:t>
            </w:r>
          </w:p>
        </w:tc>
        <w:tc>
          <w:tcPr>
            <w:tcW w:w="4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28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740" w:type="dxa"/>
            <w:vAlign w:val="bottom"/>
            <w:gridSpan w:val="2"/>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rPr>
              <w:t>Sales</w:t>
            </w:r>
          </w:p>
        </w:tc>
        <w:tc>
          <w:tcPr>
            <w:tcW w:w="660" w:type="dxa"/>
            <w:vAlign w:val="bottom"/>
            <w:gridSpan w:val="3"/>
            <w:vMerge w:val="continue"/>
          </w:tcPr>
          <w:p>
            <w:pPr>
              <w:spacing w:after="0"/>
              <w:rPr>
                <w:sz w:val="10"/>
                <w:szCs w:val="10"/>
                <w:color w:val="auto"/>
              </w:rPr>
            </w:pP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Sales</w:t>
            </w:r>
          </w:p>
        </w:tc>
        <w:tc>
          <w:tcPr>
            <w:tcW w:w="4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0" w:type="dxa"/>
            <w:vAlign w:val="bottom"/>
          </w:tcPr>
          <w:p>
            <w:pPr>
              <w:spacing w:after="0"/>
              <w:rPr>
                <w:sz w:val="1"/>
                <w:szCs w:val="1"/>
                <w:color w:val="auto"/>
              </w:rPr>
            </w:pPr>
          </w:p>
        </w:tc>
      </w:tr>
      <w:tr>
        <w:trPr>
          <w:trHeight w:val="88"/>
        </w:trPr>
        <w:tc>
          <w:tcPr>
            <w:tcW w:w="42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4"/>
          </w:tcPr>
          <w:p>
            <w:pPr>
              <w:jc w:val="right"/>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(Dollars in millions)</w:t>
            </w:r>
          </w:p>
        </w:tc>
        <w:tc>
          <w:tcPr>
            <w:tcW w:w="3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Gross profit – standard products business</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Mixed-Signal Solutions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4.0</w:t>
            </w:r>
          </w:p>
        </w:tc>
        <w:tc>
          <w:tcPr>
            <w:tcW w:w="7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44.6%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3.9</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44"/>
        </w:trPr>
        <w:tc>
          <w:tcPr>
            <w:tcW w:w="428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Power Analog Solutions</w:t>
            </w: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5.6</w:t>
            </w:r>
          </w:p>
        </w:tc>
        <w:tc>
          <w:tcPr>
            <w:tcW w:w="740" w:type="dxa"/>
            <w:vAlign w:val="bottom"/>
            <w:gridSpan w:val="2"/>
          </w:tcPr>
          <w:p>
            <w:pPr>
              <w:jc w:val="right"/>
              <w:ind w:right="252"/>
              <w:spacing w:after="0"/>
              <w:rPr>
                <w:sz w:val="20"/>
                <w:szCs w:val="20"/>
                <w:color w:val="auto"/>
              </w:rPr>
            </w:pPr>
            <w:r>
              <w:rPr>
                <w:rFonts w:ascii="Times New Roman" w:cs="Times New Roman" w:eastAsia="Times New Roman" w:hAnsi="Times New Roman"/>
                <w:sz w:val="12"/>
                <w:szCs w:val="12"/>
                <w:color w:val="auto"/>
              </w:rPr>
              <w:t>15.4</w:t>
            </w:r>
          </w:p>
        </w:tc>
        <w:tc>
          <w:tcPr>
            <w:tcW w:w="60" w:type="dxa"/>
            <w:vAlign w:val="bottom"/>
          </w:tcPr>
          <w:p>
            <w:pPr>
              <w:spacing w:after="0"/>
              <w:rPr>
                <w:sz w:val="12"/>
                <w:szCs w:val="12"/>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10.3</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26.7</w:t>
            </w:r>
          </w:p>
        </w:tc>
        <w:tc>
          <w:tcPr>
            <w:tcW w:w="10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Total standard products business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9.7</w:t>
            </w:r>
          </w:p>
        </w:tc>
        <w:tc>
          <w:tcPr>
            <w:tcW w:w="7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21.2%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14.2</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(4.5)</w:t>
            </w:r>
          </w:p>
        </w:tc>
        <w:tc>
          <w:tcPr>
            <w:tcW w:w="0" w:type="dxa"/>
            <w:vAlign w:val="bottom"/>
          </w:tcPr>
          <w:p>
            <w:pPr>
              <w:spacing w:after="0"/>
              <w:rPr>
                <w:sz w:val="1"/>
                <w:szCs w:val="1"/>
                <w:color w:val="auto"/>
              </w:rPr>
            </w:pPr>
          </w:p>
        </w:tc>
      </w:tr>
      <w:tr>
        <w:trPr>
          <w:trHeight w:val="144"/>
        </w:trPr>
        <w:tc>
          <w:tcPr>
            <w:tcW w:w="42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Gross profit – transitional Fab 3 foundry services</w:t>
            </w:r>
          </w:p>
        </w:tc>
        <w:tc>
          <w:tcPr>
            <w:tcW w:w="6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(0.7)</w:t>
            </w:r>
          </w:p>
        </w:tc>
        <w:tc>
          <w:tcPr>
            <w:tcW w:w="740" w:type="dxa"/>
            <w:vAlign w:val="bottom"/>
            <w:gridSpan w:val="2"/>
          </w:tcPr>
          <w:p>
            <w:pPr>
              <w:jc w:val="right"/>
              <w:ind w:right="212"/>
              <w:spacing w:after="0"/>
              <w:rPr>
                <w:sz w:val="20"/>
                <w:szCs w:val="20"/>
                <w:color w:val="auto"/>
              </w:rPr>
            </w:pPr>
            <w:r>
              <w:rPr>
                <w:rFonts w:ascii="Times New Roman" w:cs="Times New Roman" w:eastAsia="Times New Roman" w:hAnsi="Times New Roman"/>
                <w:sz w:val="12"/>
                <w:szCs w:val="12"/>
                <w:color w:val="auto"/>
              </w:rPr>
              <w:t>(19.4)</w:t>
            </w:r>
          </w:p>
        </w:tc>
        <w:tc>
          <w:tcPr>
            <w:tcW w:w="6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(38.4)</w:t>
            </w:r>
          </w:p>
        </w:tc>
        <w:tc>
          <w:tcPr>
            <w:tcW w:w="10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Total gross profit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w:t>
            </w:r>
            <w:r>
              <w:rPr>
                <w:rFonts w:ascii="Times New Roman" w:cs="Times New Roman" w:eastAsia="Times New Roman" w:hAnsi="Times New Roman"/>
                <w:sz w:val="12"/>
                <w:szCs w:val="12"/>
                <w:u w:val="single" w:color="auto"/>
                <w:color w:val="auto"/>
              </w:rPr>
              <w:t>0</w:t>
            </w:r>
          </w:p>
        </w:tc>
        <w:tc>
          <w:tcPr>
            <w:tcW w:w="7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18.3%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12.1</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82" w:lineRule="exact"/>
        <w:rPr>
          <w:sz w:val="20"/>
          <w:szCs w:val="20"/>
          <w:color w:val="auto"/>
        </w:rPr>
      </w:pPr>
    </w:p>
    <w:p>
      <w:pPr>
        <w:ind w:left="840" w:right="879" w:firstLine="294"/>
        <w:spacing w:after="0" w:line="265" w:lineRule="auto"/>
        <w:rPr>
          <w:sz w:val="20"/>
          <w:szCs w:val="20"/>
          <w:color w:val="auto"/>
        </w:rPr>
      </w:pPr>
      <w:r>
        <w:rPr>
          <w:rFonts w:ascii="Times New Roman" w:cs="Times New Roman" w:eastAsia="Times New Roman" w:hAnsi="Times New Roman"/>
          <w:sz w:val="12"/>
          <w:szCs w:val="12"/>
          <w:color w:val="auto"/>
        </w:rPr>
        <w:t>Total revenues were $49.1 million for the three months ended March 31, 2024, a $7.9 million, or 13.9%, decrease compared to $57.0 million for the three months ended March 31, 2023. This decrease was primarily due to a decrease in revenue related to our standard products business as described below.</w:t>
      </w:r>
    </w:p>
    <w:p>
      <w:pPr>
        <w:spacing w:after="0" w:line="115" w:lineRule="exact"/>
        <w:rPr>
          <w:sz w:val="20"/>
          <w:szCs w:val="20"/>
          <w:color w:val="auto"/>
        </w:rPr>
      </w:pPr>
    </w:p>
    <w:p>
      <w:pPr>
        <w:ind w:left="840" w:right="899" w:firstLine="294"/>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The standard products business. </w:t>
      </w:r>
      <w:r>
        <w:rPr>
          <w:rFonts w:ascii="Times New Roman" w:cs="Times New Roman" w:eastAsia="Times New Roman" w:hAnsi="Times New Roman"/>
          <w:sz w:val="12"/>
          <w:szCs w:val="12"/>
          <w:color w:val="auto"/>
        </w:rPr>
        <w:t>Net sales from our standard products business were $45.5 million for the three months ended March 31, 2024, a</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$6.0 million, or 11.6%, decrease compared to $51.5 million for the three months ended March 31, 2023.</w:t>
      </w:r>
    </w:p>
    <w:p>
      <w:pPr>
        <w:spacing w:after="0" w:line="107" w:lineRule="exact"/>
        <w:rPr>
          <w:sz w:val="20"/>
          <w:szCs w:val="20"/>
          <w:color w:val="auto"/>
        </w:rPr>
      </w:pPr>
    </w:p>
    <w:p>
      <w:pPr>
        <w:ind w:left="840" w:right="899" w:firstLine="294"/>
        <w:spacing w:after="0" w:line="257" w:lineRule="auto"/>
        <w:rPr>
          <w:sz w:val="20"/>
          <w:szCs w:val="20"/>
          <w:color w:val="auto"/>
        </w:rPr>
      </w:pPr>
      <w:r>
        <w:rPr>
          <w:rFonts w:ascii="Times New Roman" w:cs="Times New Roman" w:eastAsia="Times New Roman" w:hAnsi="Times New Roman"/>
          <w:sz w:val="12"/>
          <w:szCs w:val="12"/>
          <w:color w:val="auto"/>
        </w:rPr>
        <w:t>Net sales from our Mixed-Signal Solutions business line decreased from $12.8 million for the three months ended March 31, 2023 to $9.0 million for the three months ended March 31, 2024. The decrease in net sales from our Mixed-Signal Solutions business line was primarily attributable to a decrease in revenue from our mobile OLED display driver ICs stemmed from slower than expected new design-wins and lower customer demand for legacy products, and weak demand for our auto-LCD display driver ICs also had an unfavorable impact on net sales. This decrease was offset in part by a higher demand for our Power IC products, primarily for televisions.</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Net sales from our Power Analog Solutions business line decreased from $38.7 million for the three months ended March 31, 2023 to</w:t>
      </w:r>
    </w:p>
    <w:p>
      <w:pPr>
        <w:spacing w:after="0" w:line="17" w:lineRule="exact"/>
        <w:rPr>
          <w:sz w:val="20"/>
          <w:szCs w:val="20"/>
          <w:color w:val="auto"/>
        </w:rPr>
      </w:pPr>
    </w:p>
    <w:p>
      <w:pPr>
        <w:ind w:left="840" w:right="959"/>
        <w:spacing w:after="0" w:line="255" w:lineRule="auto"/>
        <w:rPr>
          <w:sz w:val="20"/>
          <w:szCs w:val="20"/>
          <w:color w:val="auto"/>
        </w:rPr>
      </w:pPr>
      <w:r>
        <w:rPr>
          <w:rFonts w:ascii="Times New Roman" w:cs="Times New Roman" w:eastAsia="Times New Roman" w:hAnsi="Times New Roman"/>
          <w:sz w:val="12"/>
          <w:szCs w:val="12"/>
          <w:color w:val="auto"/>
        </w:rPr>
        <w:t>$36.5 million for the three months ended March 31, 2024. The decrease in net sales from our Power Analog Solutions business line was attributable to lower demand for power products such as high-end MOSFETs and IGBTs in the industrial segment, especially solar inverter and LED lighting. This decrease was offset in part by a higher demand for power products such as MOSFETs in the communication segment.</w:t>
      </w:r>
    </w:p>
    <w:p>
      <w:pPr>
        <w:spacing w:after="0" w:line="121" w:lineRule="exact"/>
        <w:rPr>
          <w:sz w:val="20"/>
          <w:szCs w:val="20"/>
          <w:color w:val="auto"/>
        </w:rPr>
      </w:pPr>
    </w:p>
    <w:p>
      <w:pPr>
        <w:ind w:left="840" w:right="999" w:firstLine="294"/>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The transitional Fab 3 foundry services. </w:t>
      </w:r>
      <w:r>
        <w:rPr>
          <w:rFonts w:ascii="Times New Roman" w:cs="Times New Roman" w:eastAsia="Times New Roman" w:hAnsi="Times New Roman"/>
          <w:sz w:val="12"/>
          <w:szCs w:val="12"/>
          <w:color w:val="auto"/>
        </w:rPr>
        <w:t>Net sales from the transitional Fab 3 foundry services were $3.5 million and $5.5 million for the three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months ended March 31, 2024 and 2023, respectively.</w:t>
      </w:r>
    </w:p>
    <w:p>
      <w:pPr>
        <w:spacing w:after="0" w:line="17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Gross Profit</w:t>
      </w:r>
    </w:p>
    <w:p>
      <w:pPr>
        <w:spacing w:after="0" w:line="82" w:lineRule="exact"/>
        <w:rPr>
          <w:sz w:val="20"/>
          <w:szCs w:val="20"/>
          <w:color w:val="auto"/>
        </w:rPr>
      </w:pPr>
    </w:p>
    <w:p>
      <w:pPr>
        <w:ind w:left="840" w:right="939" w:firstLine="294"/>
        <w:spacing w:after="0" w:line="260" w:lineRule="auto"/>
        <w:rPr>
          <w:sz w:val="20"/>
          <w:szCs w:val="20"/>
          <w:color w:val="auto"/>
        </w:rPr>
      </w:pPr>
      <w:r>
        <w:rPr>
          <w:rFonts w:ascii="Times New Roman" w:cs="Times New Roman" w:eastAsia="Times New Roman" w:hAnsi="Times New Roman"/>
          <w:sz w:val="12"/>
          <w:szCs w:val="12"/>
          <w:color w:val="auto"/>
        </w:rPr>
        <w:t>Total gross profit was $9.0 million for the three months ended March 31, 2024 compared to $12.1 million for the three months ended March 31, 2023, a $3.1 million, or 25.8%, decrease. Gross profit as a percentage of net sales for the three months ended March 31, 2024 decreased to 18.3% compared to 21.2% for the three months ended March 31, 2023. The decrease in gross profit and gross profit as a percentage of net sales was primarily due to our standard products business as further described below.</w:t>
      </w:r>
    </w:p>
    <w:p>
      <w:pPr>
        <w:spacing w:after="0" w:line="118" w:lineRule="exact"/>
        <w:rPr>
          <w:sz w:val="20"/>
          <w:szCs w:val="20"/>
          <w:color w:val="auto"/>
        </w:rPr>
      </w:pPr>
    </w:p>
    <w:p>
      <w:pPr>
        <w:ind w:left="840" w:right="919" w:firstLine="294"/>
        <w:spacing w:after="0" w:line="303" w:lineRule="auto"/>
        <w:rPr>
          <w:sz w:val="20"/>
          <w:szCs w:val="20"/>
          <w:color w:val="auto"/>
        </w:rPr>
      </w:pPr>
      <w:r>
        <w:rPr>
          <w:rFonts w:ascii="Times New Roman" w:cs="Times New Roman" w:eastAsia="Times New Roman" w:hAnsi="Times New Roman"/>
          <w:sz w:val="11"/>
          <w:szCs w:val="11"/>
          <w:b w:val="1"/>
          <w:bCs w:val="1"/>
          <w:i w:val="1"/>
          <w:iCs w:val="1"/>
          <w:color w:val="auto"/>
        </w:rPr>
        <w:t xml:space="preserve">The standard products business. </w:t>
      </w:r>
      <w:r>
        <w:rPr>
          <w:rFonts w:ascii="Times New Roman" w:cs="Times New Roman" w:eastAsia="Times New Roman" w:hAnsi="Times New Roman"/>
          <w:sz w:val="11"/>
          <w:szCs w:val="11"/>
          <w:color w:val="auto"/>
        </w:rPr>
        <w:t>Gross profit from our standard products business was $9.7 million for the three months ended March 31, 2024,</w:t>
      </w:r>
      <w:r>
        <w:rPr>
          <w:rFonts w:ascii="Times New Roman" w:cs="Times New Roman" w:eastAsia="Times New Roman" w:hAnsi="Times New Roman"/>
          <w:sz w:val="11"/>
          <w:szCs w:val="11"/>
          <w:b w:val="1"/>
          <w:bCs w:val="1"/>
          <w:i w:val="1"/>
          <w:iCs w:val="1"/>
          <w:color w:val="auto"/>
        </w:rPr>
        <w:t xml:space="preserve"> </w:t>
      </w:r>
      <w:r>
        <w:rPr>
          <w:rFonts w:ascii="Times New Roman" w:cs="Times New Roman" w:eastAsia="Times New Roman" w:hAnsi="Times New Roman"/>
          <w:sz w:val="11"/>
          <w:szCs w:val="11"/>
          <w:color w:val="auto"/>
        </w:rPr>
        <w:t>which represented a $4.5 million, or 32.0%, decrease from gross profit of $14.2 million for the three months ended March 31, 2023. Gross profit as a percentage of net sales for the three months ended March 31, 2024 decreased to 21.2% compared to 27.6% for the three months ended March 31, 2023.</w:t>
      </w:r>
    </w:p>
    <w:p>
      <w:pPr>
        <w:spacing w:after="0" w:line="10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Gross profit from our Mixed-Signal Solutions business line was $4.0 million for the three months ended March 31, 2024, which represented a</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$0.2 million, or 3.9%, increase from gross profit of $3.9 million for the three months ended March 31, 2023. Gross profit as a percentage of net sales for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three months ended March 31, 2024 increased to 44.6% compared to 30.2% for the three months ended March 31, 2023. The year-over-year increase</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gross profit as a percentage of net sales was primarily attributable to a reversal of certain inventory charge as such reserved inventory was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subsequently sold to certain other customers.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ectPr>
          <w:pgSz w:w="11900" w:h="16838" w:orient="portrait"/>
          <w:cols w:equalWidth="0" w:num="1">
            <w:col w:w="9019"/>
          </w:cols>
          <w:pgMar w:left="1440" w:top="224" w:right="1440" w:bottom="1440" w:gutter="0" w:footer="0" w:header="0"/>
        </w:sectPr>
      </w:pPr>
    </w:p>
    <w:bookmarkStart w:id="37" w:name="page38"/>
    <w:bookmarkEnd w:id="37"/>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Gross profit from our Power Analog Solutions business line was $5.6 million for the three months ended March 31, 2024, which represented a</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$4.7 million, or 45.5%, decrease from gross profit of $10.3 million for the three months ended March 31, 2023. Gross profit as a percentage of net sales</w:t>
      </w:r>
    </w:p>
    <w:p>
      <w:pPr>
        <w:spacing w:after="0" w:line="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for the three months ended March 31, 2024 decreased to 15.4% compared to 26.7% for the three months ended March 31, 2023. The year-over-year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decrease in gross profit as a percentage of net sales was primarily attributable to a lower utilization rate of our internal fabrication facility in Gumi and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an unfavorable product mix.</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ectPr>
          <w:pgSz w:w="11900" w:h="16838" w:orient="portrait"/>
          <w:cols w:equalWidth="0" w:num="1">
            <w:col w:w="9019"/>
          </w:cols>
          <w:pgMar w:left="1440" w:top="246" w:right="1440" w:bottom="1440" w:gutter="0" w:footer="0" w:header="0"/>
        </w:sectPr>
      </w:pPr>
    </w:p>
    <w:bookmarkStart w:id="38" w:name="page39"/>
    <w:bookmarkEnd w:id="38"/>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Net Sales – Standard Products Business by Geographic Region</w:t>
      </w:r>
    </w:p>
    <w:p>
      <w:pPr>
        <w:spacing w:after="0" w:line="82" w:lineRule="exact"/>
        <w:rPr>
          <w:sz w:val="20"/>
          <w:szCs w:val="20"/>
          <w:color w:val="auto"/>
        </w:rPr>
      </w:pPr>
    </w:p>
    <w:p>
      <w:pPr>
        <w:jc w:val="both"/>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three months ended March 31, 2024 and 2023:</w:t>
      </w:r>
    </w:p>
    <w:p>
      <w:pPr>
        <w:spacing w:after="0" w:line="115"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4"/>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60" w:type="dxa"/>
            <w:vAlign w:val="bottom"/>
          </w:tcPr>
          <w:p>
            <w:pPr>
              <w:spacing w:after="0"/>
              <w:rPr>
                <w:sz w:val="10"/>
                <w:szCs w:val="10"/>
                <w:color w:val="auto"/>
              </w:rPr>
            </w:pPr>
          </w:p>
        </w:tc>
        <w:tc>
          <w:tcPr>
            <w:tcW w:w="1280" w:type="dxa"/>
            <w:vAlign w:val="bottom"/>
            <w:gridSpan w:val="4"/>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4"/>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March 31, 2024</w:t>
            </w:r>
          </w:p>
        </w:tc>
        <w:tc>
          <w:tcPr>
            <w:tcW w:w="60" w:type="dxa"/>
            <w:vAlign w:val="bottom"/>
          </w:tcPr>
          <w:p>
            <w:pPr>
              <w:spacing w:after="0"/>
              <w:rPr>
                <w:sz w:val="10"/>
                <w:szCs w:val="10"/>
                <w:color w:val="auto"/>
              </w:rPr>
            </w:pPr>
          </w:p>
        </w:tc>
        <w:tc>
          <w:tcPr>
            <w:tcW w:w="1280" w:type="dxa"/>
            <w:vAlign w:val="bottom"/>
            <w:gridSpan w:val="4"/>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March 31, 2023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 of</w:t>
            </w:r>
          </w:p>
        </w:tc>
        <w:tc>
          <w:tcPr>
            <w:tcW w:w="3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 of</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272"/>
              <w:spacing w:after="0" w:line="99" w:lineRule="exact"/>
              <w:rPr>
                <w:sz w:val="20"/>
                <w:szCs w:val="20"/>
                <w:color w:val="auto"/>
              </w:rPr>
            </w:pPr>
            <w:r>
              <w:rPr>
                <w:rFonts w:ascii="Times New Roman" w:cs="Times New Roman" w:eastAsia="Times New Roman" w:hAnsi="Times New Roman"/>
                <w:sz w:val="10"/>
                <w:szCs w:val="10"/>
                <w:b w:val="1"/>
                <w:bCs w:val="1"/>
                <w:color w:val="auto"/>
                <w:w w:val="94"/>
              </w:rPr>
              <w:t>Net Sales –</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gridSpan w:val="2"/>
          </w:tcPr>
          <w:p>
            <w:pPr>
              <w:jc w:val="center"/>
              <w:ind w:right="320"/>
              <w:spacing w:after="0" w:line="99" w:lineRule="exact"/>
              <w:rPr>
                <w:sz w:val="20"/>
                <w:szCs w:val="20"/>
                <w:color w:val="auto"/>
              </w:rPr>
            </w:pPr>
            <w:r>
              <w:rPr>
                <w:rFonts w:ascii="Times New Roman" w:cs="Times New Roman" w:eastAsia="Times New Roman" w:hAnsi="Times New Roman"/>
                <w:sz w:val="10"/>
                <w:szCs w:val="10"/>
                <w:b w:val="1"/>
                <w:bCs w:val="1"/>
                <w:color w:val="auto"/>
                <w:w w:val="98"/>
              </w:rPr>
              <w:t>Net Sales –</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272"/>
              <w:spacing w:after="0" w:line="99" w:lineRule="exact"/>
              <w:rPr>
                <w:sz w:val="20"/>
                <w:szCs w:val="20"/>
                <w:color w:val="auto"/>
              </w:rPr>
            </w:pPr>
            <w:r>
              <w:rPr>
                <w:rFonts w:ascii="Times New Roman" w:cs="Times New Roman" w:eastAsia="Times New Roman" w:hAnsi="Times New Roman"/>
                <w:sz w:val="10"/>
                <w:szCs w:val="10"/>
                <w:b w:val="1"/>
                <w:bCs w:val="1"/>
                <w:color w:val="auto"/>
                <w:w w:val="93"/>
              </w:rPr>
              <w:t>standard</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gridSpan w:val="2"/>
          </w:tcPr>
          <w:p>
            <w:pPr>
              <w:jc w:val="center"/>
              <w:ind w:right="320"/>
              <w:spacing w:after="0" w:line="99" w:lineRule="exact"/>
              <w:rPr>
                <w:sz w:val="20"/>
                <w:szCs w:val="20"/>
                <w:color w:val="auto"/>
              </w:rPr>
            </w:pPr>
            <w:r>
              <w:rPr>
                <w:rFonts w:ascii="Times New Roman" w:cs="Times New Roman" w:eastAsia="Times New Roman" w:hAnsi="Times New Roman"/>
                <w:sz w:val="10"/>
                <w:szCs w:val="10"/>
                <w:b w:val="1"/>
                <w:bCs w:val="1"/>
                <w:color w:val="auto"/>
                <w:w w:val="98"/>
              </w:rPr>
              <w:t>standard</w:t>
            </w:r>
          </w:p>
        </w:tc>
        <w:tc>
          <w:tcPr>
            <w:tcW w:w="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99"/>
        </w:trPr>
        <w:tc>
          <w:tcPr>
            <w:tcW w:w="4240" w:type="dxa"/>
            <w:vAlign w:val="bottom"/>
          </w:tcPr>
          <w:p>
            <w:pPr>
              <w:spacing w:after="0"/>
              <w:rPr>
                <w:sz w:val="8"/>
                <w:szCs w:val="8"/>
                <w:color w:val="auto"/>
              </w:rPr>
            </w:pPr>
          </w:p>
        </w:tc>
        <w:tc>
          <w:tcPr>
            <w:tcW w:w="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60" w:type="dxa"/>
            <w:vAlign w:val="bottom"/>
            <w:gridSpan w:val="2"/>
          </w:tcPr>
          <w:p>
            <w:pPr>
              <w:jc w:val="center"/>
              <w:ind w:right="272"/>
              <w:spacing w:after="0" w:line="99" w:lineRule="exact"/>
              <w:rPr>
                <w:sz w:val="20"/>
                <w:szCs w:val="20"/>
                <w:color w:val="auto"/>
              </w:rPr>
            </w:pPr>
            <w:r>
              <w:rPr>
                <w:rFonts w:ascii="Times New Roman" w:cs="Times New Roman" w:eastAsia="Times New Roman" w:hAnsi="Times New Roman"/>
                <w:sz w:val="10"/>
                <w:szCs w:val="10"/>
                <w:b w:val="1"/>
                <w:bCs w:val="1"/>
                <w:color w:val="auto"/>
                <w:w w:val="95"/>
              </w:rPr>
              <w:t>products</w:t>
            </w: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8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10"/>
                <w:szCs w:val="10"/>
                <w:b w:val="1"/>
                <w:bCs w:val="1"/>
                <w:color w:val="auto"/>
                <w:w w:val="95"/>
              </w:rPr>
              <w:t>products</w:t>
            </w:r>
          </w:p>
        </w:tc>
        <w:tc>
          <w:tcPr>
            <w:tcW w:w="4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24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760" w:type="dxa"/>
            <w:vAlign w:val="bottom"/>
            <w:gridSpan w:val="2"/>
          </w:tcPr>
          <w:p>
            <w:pPr>
              <w:jc w:val="center"/>
              <w:ind w:right="252"/>
              <w:spacing w:after="0"/>
              <w:rPr>
                <w:sz w:val="20"/>
                <w:szCs w:val="20"/>
                <w:color w:val="auto"/>
              </w:rPr>
            </w:pPr>
            <w:r>
              <w:rPr>
                <w:rFonts w:ascii="Times New Roman" w:cs="Times New Roman" w:eastAsia="Times New Roman" w:hAnsi="Times New Roman"/>
                <w:sz w:val="10"/>
                <w:szCs w:val="10"/>
                <w:b w:val="1"/>
                <w:bCs w:val="1"/>
                <w:color w:val="auto"/>
                <w:w w:val="95"/>
              </w:rPr>
              <w:t>business</w:t>
            </w:r>
          </w:p>
        </w:tc>
        <w:tc>
          <w:tcPr>
            <w:tcW w:w="560" w:type="dxa"/>
            <w:vAlign w:val="bottom"/>
            <w:gridSpan w:val="3"/>
            <w:vMerge w:val="continue"/>
          </w:tcPr>
          <w:p>
            <w:pPr>
              <w:spacing w:after="0"/>
              <w:rPr>
                <w:sz w:val="10"/>
                <w:szCs w:val="10"/>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business</w:t>
            </w:r>
          </w:p>
        </w:tc>
        <w:tc>
          <w:tcPr>
            <w:tcW w:w="4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0" w:type="dxa"/>
            <w:vAlign w:val="bottom"/>
          </w:tcPr>
          <w:p>
            <w:pPr>
              <w:spacing w:after="0"/>
              <w:rPr>
                <w:sz w:val="1"/>
                <w:szCs w:val="1"/>
                <w:color w:val="auto"/>
              </w:rPr>
            </w:pPr>
          </w:p>
        </w:tc>
      </w:tr>
      <w:tr>
        <w:trPr>
          <w:trHeight w:val="88"/>
        </w:trPr>
        <w:tc>
          <w:tcPr>
            <w:tcW w:w="4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660" w:type="dxa"/>
            <w:vAlign w:val="bottom"/>
            <w:tcBorders>
              <w:top w:val="single" w:sz="8" w:color="auto"/>
            </w:tcBorders>
            <w:gridSpan w:val="6"/>
          </w:tcPr>
          <w:p>
            <w:pPr>
              <w:jc w:val="right"/>
              <w:ind w:right="760"/>
              <w:spacing w:after="0" w:line="88" w:lineRule="exact"/>
              <w:rPr>
                <w:sz w:val="20"/>
                <w:szCs w:val="20"/>
                <w:color w:val="auto"/>
              </w:rPr>
            </w:pPr>
            <w:r>
              <w:rPr>
                <w:rFonts w:ascii="Times New Roman" w:cs="Times New Roman" w:eastAsia="Times New Roman" w:hAnsi="Times New Roman"/>
                <w:sz w:val="10"/>
                <w:szCs w:val="10"/>
                <w:b w:val="1"/>
                <w:bCs w:val="1"/>
                <w:color w:val="auto"/>
              </w:rPr>
              <w:t>(Dollars in millions)</w:t>
            </w:r>
          </w:p>
        </w:tc>
        <w:tc>
          <w:tcPr>
            <w:tcW w:w="1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Korea</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18.1</w:t>
            </w:r>
          </w:p>
        </w:tc>
        <w:tc>
          <w:tcPr>
            <w:tcW w:w="76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2"/>
                <w:szCs w:val="12"/>
                <w:color w:val="auto"/>
              </w:rPr>
              <w:t>39.8%</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16.5</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20"/>
                <w:szCs w:val="20"/>
                <w:color w:val="auto"/>
              </w:rPr>
            </w:pPr>
            <w:r>
              <w:rPr>
                <w:rFonts w:ascii="Times New Roman" w:cs="Times New Roman" w:eastAsia="Times New Roman" w:hAnsi="Times New Roman"/>
                <w:sz w:val="12"/>
                <w:szCs w:val="12"/>
                <w:color w:val="auto"/>
              </w:rPr>
              <w:t>Asia Pacific (other than Korea)</w:t>
            </w:r>
          </w:p>
        </w:tc>
        <w:tc>
          <w:tcPr>
            <w:tcW w:w="8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25.7</w:t>
            </w:r>
          </w:p>
        </w:tc>
        <w:tc>
          <w:tcPr>
            <w:tcW w:w="760" w:type="dxa"/>
            <w:vAlign w:val="bottom"/>
            <w:gridSpan w:val="2"/>
          </w:tcPr>
          <w:p>
            <w:pPr>
              <w:jc w:val="right"/>
              <w:ind w:right="272"/>
              <w:spacing w:after="0"/>
              <w:rPr>
                <w:sz w:val="20"/>
                <w:szCs w:val="20"/>
                <w:color w:val="auto"/>
              </w:rPr>
            </w:pPr>
            <w:r>
              <w:rPr>
                <w:rFonts w:ascii="Times New Roman" w:cs="Times New Roman" w:eastAsia="Times New Roman" w:hAnsi="Times New Roman"/>
                <w:sz w:val="12"/>
                <w:szCs w:val="12"/>
                <w:color w:val="auto"/>
              </w:rPr>
              <w:t>56.4</w:t>
            </w:r>
          </w:p>
        </w:tc>
        <w:tc>
          <w:tcPr>
            <w:tcW w:w="6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31.9</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62.0</w:t>
            </w:r>
          </w:p>
        </w:tc>
        <w:tc>
          <w:tcPr>
            <w:tcW w:w="10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(6.2)</w:t>
            </w:r>
          </w:p>
        </w:tc>
        <w:tc>
          <w:tcPr>
            <w:tcW w:w="0" w:type="dxa"/>
            <w:vAlign w:val="bottom"/>
          </w:tcPr>
          <w:p>
            <w:pPr>
              <w:spacing w:after="0"/>
              <w:rPr>
                <w:sz w:val="1"/>
                <w:szCs w:val="1"/>
                <w:color w:val="auto"/>
              </w:rPr>
            </w:pPr>
          </w:p>
        </w:tc>
      </w:tr>
      <w:tr>
        <w:trPr>
          <w:trHeight w:val="14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United States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0.3</w:t>
            </w:r>
          </w:p>
        </w:tc>
        <w:tc>
          <w:tcPr>
            <w:tcW w:w="76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(0.7)</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20"/>
                <w:szCs w:val="20"/>
                <w:color w:val="auto"/>
              </w:rPr>
            </w:pPr>
            <w:r>
              <w:rPr>
                <w:rFonts w:ascii="Times New Roman" w:cs="Times New Roman" w:eastAsia="Times New Roman" w:hAnsi="Times New Roman"/>
                <w:sz w:val="12"/>
                <w:szCs w:val="12"/>
                <w:color w:val="auto"/>
              </w:rPr>
              <w:t>Europe</w:t>
            </w: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20" w:type="dxa"/>
            <w:vAlign w:val="bottom"/>
          </w:tcPr>
          <w:p>
            <w:pPr>
              <w:spacing w:after="0"/>
              <w:rPr>
                <w:sz w:val="12"/>
                <w:szCs w:val="12"/>
                <w:color w:val="auto"/>
              </w:rPr>
            </w:pPr>
          </w:p>
        </w:tc>
        <w:tc>
          <w:tcPr>
            <w:tcW w:w="760" w:type="dxa"/>
            <w:vAlign w:val="bottom"/>
            <w:gridSpan w:val="2"/>
          </w:tcPr>
          <w:p>
            <w:pPr>
              <w:jc w:val="right"/>
              <w:ind w:right="272"/>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4.0</w:t>
            </w:r>
          </w:p>
        </w:tc>
        <w:tc>
          <w:tcPr>
            <w:tcW w:w="10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2"/>
                <w:szCs w:val="12"/>
                <w:color w:val="auto"/>
              </w:rPr>
              <w:t>100.0%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51.5</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840" w:right="919" w:firstLine="294"/>
        <w:spacing w:after="0" w:line="260" w:lineRule="auto"/>
        <w:rPr>
          <w:sz w:val="20"/>
          <w:szCs w:val="20"/>
          <w:color w:val="auto"/>
        </w:rPr>
      </w:pPr>
      <w:r>
        <w:rPr>
          <w:rFonts w:ascii="Times New Roman" w:cs="Times New Roman" w:eastAsia="Times New Roman" w:hAnsi="Times New Roman"/>
          <w:sz w:val="12"/>
          <w:szCs w:val="12"/>
          <w:color w:val="auto"/>
        </w:rPr>
        <w:t>Net sales – standard products business in Korea increased from $16.5 million for the three months ended March 31, 2023 to $18.1 million for the three months ended March 31, 2024, or by $1.6 million, or 10.0%, primarily due to a higher demand for power products such as MOSFETs, primarily for smartphone applications, which was offset in part by a lower demand for high-end MOSFETS, primary for televisions. A higher demand for our Power IC products, primarily for televisions, also had a favorable impact on net sales.</w:t>
      </w:r>
    </w:p>
    <w:p>
      <w:pPr>
        <w:spacing w:after="0" w:line="122"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Net sales – standard products business in Asia Pacific (other than Korea) decreased from $31.9 million in the three months ended March 31, 2023 to $25.7 million for the three months ended March 31, 2024, or by $6.2 million, or 19.5%, primarily due to a decrease in revenue from our mobile OLED display driver ICs stemmed from slower than expected new design-wins and lower customer demand for legacy products. The decreased demand for our power products such as IGBTs mainly for solar inverters in the industrial segment also had an unfavorable impact on net sales.</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78" w:lineRule="exact"/>
        <w:rPr>
          <w:sz w:val="20"/>
          <w:szCs w:val="20"/>
          <w:color w:val="auto"/>
        </w:rPr>
      </w:pPr>
    </w:p>
    <w:p>
      <w:pPr>
        <w:ind w:left="840" w:right="959" w:firstLine="294"/>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 xml:space="preserve">Selling, General and Administrative Expenses. </w:t>
      </w:r>
      <w:r>
        <w:rPr>
          <w:rFonts w:ascii="Times New Roman" w:cs="Times New Roman" w:eastAsia="Times New Roman" w:hAnsi="Times New Roman"/>
          <w:sz w:val="12"/>
          <w:szCs w:val="12"/>
          <w:color w:val="auto"/>
        </w:rPr>
        <w:t>Selling, general and administrative expenses were $11.3 million, or 23.0% of total revenues, for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three months ended March 31, 2024, compared to $12.2 million, or 21.3% of total revenues, for the three months ended March 31, 2023. The decrease of $0.9 million, or 7.4%, was primarily attributable to a decrease in employee compensation including certain incentives and benefit related accruals.</w:t>
      </w:r>
    </w:p>
    <w:p>
      <w:pPr>
        <w:spacing w:after="0" w:line="117" w:lineRule="exact"/>
        <w:rPr>
          <w:sz w:val="20"/>
          <w:szCs w:val="20"/>
          <w:color w:val="auto"/>
        </w:rPr>
      </w:pPr>
    </w:p>
    <w:p>
      <w:pPr>
        <w:ind w:left="840" w:right="939" w:firstLine="294"/>
        <w:spacing w:after="0" w:line="263" w:lineRule="auto"/>
        <w:rPr>
          <w:sz w:val="20"/>
          <w:szCs w:val="20"/>
          <w:color w:val="auto"/>
        </w:rPr>
      </w:pPr>
      <w:r>
        <w:rPr>
          <w:rFonts w:ascii="Times New Roman" w:cs="Times New Roman" w:eastAsia="Times New Roman" w:hAnsi="Times New Roman"/>
          <w:sz w:val="12"/>
          <w:szCs w:val="12"/>
          <w:b w:val="1"/>
          <w:bCs w:val="1"/>
          <w:i w:val="1"/>
          <w:iCs w:val="1"/>
          <w:color w:val="auto"/>
        </w:rPr>
        <w:t xml:space="preserve">Research and Development Expenses. </w:t>
      </w:r>
      <w:r>
        <w:rPr>
          <w:rFonts w:ascii="Times New Roman" w:cs="Times New Roman" w:eastAsia="Times New Roman" w:hAnsi="Times New Roman"/>
          <w:sz w:val="12"/>
          <w:szCs w:val="12"/>
          <w:color w:val="auto"/>
        </w:rPr>
        <w:t>Research and development expenses were $11.2 million, or 22.8% of total revenues, for the three months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ended March 31, 2024, compared to $13.3 million, or 23.3% of total revenues, for the three months ended March 31, 2023. The decrease of</w:t>
      </w:r>
    </w:p>
    <w:p>
      <w:pPr>
        <w:ind w:left="840" w:right="939"/>
        <w:spacing w:after="0" w:line="260" w:lineRule="auto"/>
        <w:rPr>
          <w:sz w:val="20"/>
          <w:szCs w:val="20"/>
          <w:color w:val="auto"/>
        </w:rPr>
      </w:pPr>
      <w:r>
        <w:rPr>
          <w:rFonts w:ascii="Times New Roman" w:cs="Times New Roman" w:eastAsia="Times New Roman" w:hAnsi="Times New Roman"/>
          <w:sz w:val="12"/>
          <w:szCs w:val="12"/>
          <w:color w:val="auto"/>
        </w:rPr>
        <w:t>$2.1 million, or 16.1%, was primarily attributable to a decrease in material costs for our 28-nanometer OLED display driver ICs based on the timing of development activities.</w:t>
      </w:r>
    </w:p>
    <w:p>
      <w:pPr>
        <w:spacing w:after="0" w:line="118" w:lineRule="exact"/>
        <w:rPr>
          <w:sz w:val="20"/>
          <w:szCs w:val="20"/>
          <w:color w:val="auto"/>
        </w:rPr>
      </w:pPr>
    </w:p>
    <w:p>
      <w:pPr>
        <w:ind w:left="840" w:right="879" w:firstLine="294"/>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Early Termination Charges. </w:t>
      </w:r>
      <w:r>
        <w:rPr>
          <w:rFonts w:ascii="Times New Roman" w:cs="Times New Roman" w:eastAsia="Times New Roman" w:hAnsi="Times New Roman"/>
          <w:sz w:val="12"/>
          <w:szCs w:val="12"/>
          <w:color w:val="auto"/>
        </w:rPr>
        <w:t>For the three months ended March 31, 2023, we recorded in our consolidated statement of operations $8.4 million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termination related charges in connection with the Program that we offered to certain employees during the first quarter of 2023.</w:t>
      </w:r>
    </w:p>
    <w:p>
      <w:pPr>
        <w:spacing w:after="0" w:line="17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Operating Loss</w:t>
      </w:r>
    </w:p>
    <w:p>
      <w:pPr>
        <w:spacing w:after="0" w:line="82" w:lineRule="exact"/>
        <w:rPr>
          <w:sz w:val="20"/>
          <w:szCs w:val="20"/>
          <w:color w:val="auto"/>
        </w:rPr>
      </w:pPr>
    </w:p>
    <w:p>
      <w:pPr>
        <w:ind w:left="840" w:right="959" w:firstLine="294"/>
        <w:spacing w:after="0" w:line="291" w:lineRule="auto"/>
        <w:rPr>
          <w:sz w:val="20"/>
          <w:szCs w:val="20"/>
          <w:color w:val="auto"/>
        </w:rPr>
      </w:pPr>
      <w:r>
        <w:rPr>
          <w:rFonts w:ascii="Times New Roman" w:cs="Times New Roman" w:eastAsia="Times New Roman" w:hAnsi="Times New Roman"/>
          <w:sz w:val="11"/>
          <w:szCs w:val="11"/>
          <w:color w:val="auto"/>
        </w:rPr>
        <w:t>As a result of the foregoing, operating loss of $13.5 million was recorded for the three months ended March 31, 2024 compared to operating income of $21.8 million for the three months ended March 31, 2023. As discussed above, the decrease in operating loss of $8.4 million resulted primarily from an $8.4 million decrease in early termination charges, a $2.1 million decrease in research and development expenses and a $0.9 million decrease in selling, general and administrative expenses. This decrease in operating loss was offset in part by a $3.1 million decrease in gross profit.</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ectPr>
          <w:pgSz w:w="11900" w:h="16838" w:orient="portrait"/>
          <w:cols w:equalWidth="0" w:num="1">
            <w:col w:w="9019"/>
          </w:cols>
          <w:pgMar w:left="1440" w:top="242" w:right="1440" w:bottom="1440" w:gutter="0" w:footer="0" w:header="0"/>
        </w:sectPr>
      </w:pPr>
    </w:p>
    <w:bookmarkStart w:id="39" w:name="page40"/>
    <w:bookmarkEnd w:id="39"/>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Other Income (Expense)</w:t>
      </w:r>
    </w:p>
    <w:p>
      <w:pPr>
        <w:spacing w:after="0" w:line="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Interest Income. </w:t>
      </w:r>
      <w:r>
        <w:rPr>
          <w:rFonts w:ascii="Times New Roman" w:cs="Times New Roman" w:eastAsia="Times New Roman" w:hAnsi="Times New Roman"/>
          <w:sz w:val="12"/>
          <w:szCs w:val="12"/>
          <w:color w:val="auto"/>
        </w:rPr>
        <w:t>Interest income was $2.2 million and $2.8 million for the three months ended March 31, 2024 and March 31, 2023, respectively.</w:t>
      </w:r>
    </w:p>
    <w:p>
      <w:pPr>
        <w:spacing w:after="0" w:line="150" w:lineRule="exact"/>
        <w:rPr>
          <w:sz w:val="20"/>
          <w:szCs w:val="20"/>
          <w:color w:val="auto"/>
        </w:rPr>
      </w:pPr>
    </w:p>
    <w:p>
      <w:pPr>
        <w:ind w:left="840" w:right="1439" w:firstLine="294"/>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Interest Expense. </w:t>
      </w:r>
      <w:r>
        <w:rPr>
          <w:rFonts w:ascii="Times New Roman" w:cs="Times New Roman" w:eastAsia="Times New Roman" w:hAnsi="Times New Roman"/>
          <w:sz w:val="12"/>
          <w:szCs w:val="12"/>
          <w:color w:val="auto"/>
        </w:rPr>
        <w:t>Interest expense was $0.2 million and $0.3 million for the three months ended March 31, 2024 and March 31, 2023,</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respectively.</w:t>
      </w:r>
    </w:p>
    <w:p>
      <w:pPr>
        <w:spacing w:after="0" w:line="103" w:lineRule="exact"/>
        <w:rPr>
          <w:sz w:val="20"/>
          <w:szCs w:val="20"/>
          <w:color w:val="auto"/>
        </w:rPr>
      </w:pPr>
    </w:p>
    <w:p>
      <w:pPr>
        <w:ind w:left="840" w:right="919" w:firstLine="294"/>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Foreign Currency Loss, Net. </w:t>
      </w:r>
      <w:r>
        <w:rPr>
          <w:rFonts w:ascii="Times New Roman" w:cs="Times New Roman" w:eastAsia="Times New Roman" w:hAnsi="Times New Roman"/>
          <w:sz w:val="12"/>
          <w:szCs w:val="12"/>
          <w:color w:val="auto"/>
        </w:rPr>
        <w:t>Net foreign currency loss for the three months ended March 31, 2024 was $5.0 million compared to net foreign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currency loss of $3.4 million for the three months ended March 31, 2023. The net foreign currency loss for the three months ended March 31, 2024 and March 31, 2023 was due to the depreciation in value of the Korean won relative to the U.S. dollar during the period.</w:t>
      </w:r>
    </w:p>
    <w:p>
      <w:pPr>
        <w:spacing w:after="0" w:line="118" w:lineRule="exact"/>
        <w:rPr>
          <w:sz w:val="20"/>
          <w:szCs w:val="20"/>
          <w:color w:val="auto"/>
        </w:rPr>
      </w:pPr>
    </w:p>
    <w:p>
      <w:pPr>
        <w:ind w:left="840" w:right="919" w:firstLine="294"/>
        <w:spacing w:after="0" w:line="255" w:lineRule="auto"/>
        <w:rPr>
          <w:sz w:val="20"/>
          <w:szCs w:val="20"/>
          <w:color w:val="auto"/>
        </w:rPr>
      </w:pPr>
      <w:r>
        <w:rPr>
          <w:rFonts w:ascii="Times New Roman" w:cs="Times New Roman" w:eastAsia="Times New Roman" w:hAnsi="Times New Roman"/>
          <w:sz w:val="12"/>
          <w:szCs w:val="12"/>
          <w:color w:val="auto"/>
        </w:rPr>
        <w:t>A substantial portion of our net foreign currency gain or loss is non-cash translation gain or loss associated with intercompany long-term loans to one of our Korean subsidiaries, which are denominated in U.S. dollars, and are affected by changes in the exchange rate between the Korean won and the U.S. dollar. As of March 31, 2024 and March 31, 2023, the outstanding intercompany loan balances, including accrued interest between our Korean subsidiary, Magnachip Semiconductor, Ltd., and our Dutch subsidiary, were $258.3 million and $301.9 million, respectively. Foreign currency translation gain or loss from intercompany balances were included in determining our consolidated net income (loss) since the intercompany balances were not considered long-term investments in nature because management intended to settle these intercompany balances at their respective maturity dates.</w:t>
      </w:r>
    </w:p>
    <w:p>
      <w:pPr>
        <w:spacing w:after="0" w:line="1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Income Tax Benefit</w:t>
      </w:r>
    </w:p>
    <w:p>
      <w:pPr>
        <w:spacing w:after="0" w:line="82" w:lineRule="exact"/>
        <w:rPr>
          <w:sz w:val="20"/>
          <w:szCs w:val="20"/>
          <w:color w:val="auto"/>
        </w:rPr>
      </w:pPr>
    </w:p>
    <w:p>
      <w:pPr>
        <w:ind w:left="840" w:right="919" w:firstLine="294"/>
        <w:spacing w:after="0" w:line="279" w:lineRule="auto"/>
        <w:rPr>
          <w:sz w:val="20"/>
          <w:szCs w:val="20"/>
          <w:color w:val="auto"/>
        </w:rPr>
      </w:pPr>
      <w:r>
        <w:rPr>
          <w:rFonts w:ascii="Times New Roman" w:cs="Times New Roman" w:eastAsia="Times New Roman" w:hAnsi="Times New Roman"/>
          <w:sz w:val="12"/>
          <w:szCs w:val="12"/>
          <w:color w:val="auto"/>
        </w:rPr>
        <w:t>Income tax benefit was $1.0 million for the three months ended March 31, 2024, which was primarily attributable to the estimated taxable loss in one of our Korean subsidiaries for the respective period.</w:t>
      </w:r>
    </w:p>
    <w:p>
      <w:pPr>
        <w:spacing w:after="0" w:line="111" w:lineRule="exact"/>
        <w:rPr>
          <w:sz w:val="20"/>
          <w:szCs w:val="20"/>
          <w:color w:val="auto"/>
        </w:rPr>
      </w:pPr>
    </w:p>
    <w:p>
      <w:pPr>
        <w:ind w:left="840" w:right="919" w:firstLine="294"/>
        <w:spacing w:after="0" w:line="279" w:lineRule="auto"/>
        <w:rPr>
          <w:sz w:val="20"/>
          <w:szCs w:val="20"/>
          <w:color w:val="auto"/>
        </w:rPr>
      </w:pPr>
      <w:r>
        <w:rPr>
          <w:rFonts w:ascii="Times New Roman" w:cs="Times New Roman" w:eastAsia="Times New Roman" w:hAnsi="Times New Roman"/>
          <w:sz w:val="12"/>
          <w:szCs w:val="12"/>
          <w:color w:val="auto"/>
        </w:rPr>
        <w:t>Income tax benefit was $1.2 million for the three months ended March 31, 2023, which was primarily attributable to the estimated taxable loss in our then primary operating entity in Korea for the respective period.</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Net Loss</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As a result of the foregoing, a net loss of $15.4 million was recorded for the three months ended March 31, 2024 compared to a net loss of</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$21.5 million for the three months ended March 31, 2023. As discussed above, the $6.1 million improvement in net loss was primarily attributable to an</w:t>
      </w:r>
    </w:p>
    <w:p>
      <w:pPr>
        <w:spacing w:after="0" w:line="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$8.4 million decrease in operating loss, which was offset in part by a $1.6 million increase in net foreign currency loss and a $0.6 million decrease in</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interest income.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ectPr>
          <w:pgSz w:w="11900" w:h="16838" w:orient="portrait"/>
          <w:cols w:equalWidth="0" w:num="1">
            <w:col w:w="9019"/>
          </w:cols>
          <w:pgMar w:left="1440" w:top="242" w:right="1440" w:bottom="1440" w:gutter="0" w:footer="0" w:header="0"/>
        </w:sectPr>
      </w:pPr>
    </w:p>
    <w:bookmarkStart w:id="40" w:name="page41"/>
    <w:bookmarkEnd w:id="40"/>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Liquidity and Capital Resources</w:t>
      </w:r>
    </w:p>
    <w:p>
      <w:pPr>
        <w:spacing w:after="0" w:line="82" w:lineRule="exact"/>
        <w:rPr>
          <w:sz w:val="20"/>
          <w:szCs w:val="20"/>
          <w:color w:val="auto"/>
        </w:rPr>
      </w:pPr>
    </w:p>
    <w:p>
      <w:pPr>
        <w:ind w:left="840" w:right="1199" w:firstLine="294"/>
        <w:spacing w:after="0" w:line="279" w:lineRule="auto"/>
        <w:rPr>
          <w:sz w:val="20"/>
          <w:szCs w:val="20"/>
          <w:color w:val="auto"/>
        </w:rPr>
      </w:pPr>
      <w:r>
        <w:rPr>
          <w:rFonts w:ascii="Times New Roman" w:cs="Times New Roman" w:eastAsia="Times New Roman" w:hAnsi="Times New Roman"/>
          <w:sz w:val="12"/>
          <w:szCs w:val="12"/>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11" w:lineRule="exact"/>
        <w:rPr>
          <w:sz w:val="20"/>
          <w:szCs w:val="20"/>
          <w:color w:val="auto"/>
        </w:rPr>
      </w:pPr>
    </w:p>
    <w:p>
      <w:pPr>
        <w:ind w:left="840" w:right="939" w:firstLine="294"/>
        <w:spacing w:after="0" w:line="256" w:lineRule="auto"/>
        <w:rPr>
          <w:sz w:val="20"/>
          <w:szCs w:val="20"/>
          <w:color w:val="auto"/>
        </w:rPr>
      </w:pPr>
      <w:r>
        <w:rPr>
          <w:rFonts w:ascii="Times New Roman" w:cs="Times New Roman" w:eastAsia="Times New Roman" w:hAnsi="Times New Roman"/>
          <w:sz w:val="12"/>
          <w:szCs w:val="12"/>
          <w:color w:val="auto"/>
        </w:rPr>
        <w:t>Our principal sources of liquidity are our cash, cash equivalents, cash flows from operations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March 31, 2024, we did not have any accounts payable on extended terms or payment deferment with our vendors.</w:t>
      </w:r>
    </w:p>
    <w:p>
      <w:pPr>
        <w:spacing w:after="0" w:line="125" w:lineRule="exact"/>
        <w:rPr>
          <w:sz w:val="20"/>
          <w:szCs w:val="20"/>
          <w:color w:val="auto"/>
        </w:rPr>
      </w:pPr>
    </w:p>
    <w:p>
      <w:pPr>
        <w:ind w:left="840" w:right="1179" w:firstLine="294"/>
        <w:spacing w:after="0" w:line="291" w:lineRule="auto"/>
        <w:rPr>
          <w:sz w:val="20"/>
          <w:szCs w:val="20"/>
          <w:color w:val="auto"/>
        </w:rPr>
      </w:pPr>
      <w:r>
        <w:rPr>
          <w:rFonts w:ascii="Times New Roman" w:cs="Times New Roman" w:eastAsia="Times New Roman" w:hAnsi="Times New Roman"/>
          <w:sz w:val="11"/>
          <w:szCs w:val="11"/>
          <w:color w:val="auto"/>
        </w:rPr>
        <w:t>As of June 29, 2018, our Korean subsidiary, Magnachip Semiconductor, Ltd.,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10-year term beginning July 1, 2018. As of March 31, 2024, the outstanding obligation of this arrangement is approximately $18.5 million for remaining service term through 2028.</w:t>
      </w:r>
    </w:p>
    <w:p>
      <w:pPr>
        <w:spacing w:after="0" w:line="107" w:lineRule="exact"/>
        <w:rPr>
          <w:sz w:val="20"/>
          <w:szCs w:val="20"/>
          <w:color w:val="auto"/>
        </w:rPr>
      </w:pPr>
    </w:p>
    <w:p>
      <w:pPr>
        <w:ind w:left="840" w:right="899" w:firstLine="294"/>
        <w:spacing w:after="0" w:line="257" w:lineRule="auto"/>
        <w:rPr>
          <w:sz w:val="20"/>
          <w:szCs w:val="20"/>
          <w:color w:val="auto"/>
        </w:rPr>
      </w:pPr>
      <w:r>
        <w:rPr>
          <w:rFonts w:ascii="Times New Roman" w:cs="Times New Roman" w:eastAsia="Times New Roman" w:hAnsi="Times New Roman"/>
          <w:sz w:val="12"/>
          <w:szCs w:val="12"/>
          <w:color w:val="auto"/>
        </w:rPr>
        <w:t>On March 26, 2024, our Korean subsidiary, Magnachip Semiconductor, Ltd., executed a Standard Credit Agreement (together with its General Terms and Conditions, the “Loan Agreement”) with Korea Development Bank (“KDB”). The Loan Agreement provides for a working capital term loan (the “Term Loan”) of KRW 40,000,000,000 (approximately $29.7 million based on the KRW/USD exchange rate of 1,346.8:1 as of March 31, 2024 as quoted by KEB Hana Bank). The Term Loan requires monthly interest-only payments and matures on March 26, 2027, at which time the full principal balance will be due and payable.</w:t>
      </w:r>
    </w:p>
    <w:p>
      <w:pPr>
        <w:spacing w:after="0" w:line="125" w:lineRule="exact"/>
        <w:rPr>
          <w:sz w:val="20"/>
          <w:szCs w:val="20"/>
          <w:color w:val="auto"/>
        </w:rPr>
      </w:pPr>
    </w:p>
    <w:p>
      <w:pPr>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As of March 31, 2024, cash and cash equivalents held by our Korean subsidiaries were $154.5 million, which represents 90% of our total cash and cash equivalents on a consolidated basis. We currently believe that we will have sufficient cash reserves from cash on hand and expected cash from operations to fund our operations as well as capital expenditures for the next 12 months and the foreseeable future.</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Working Capital</w:t>
      </w:r>
    </w:p>
    <w:p>
      <w:pPr>
        <w:spacing w:after="0" w:line="82"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Our working capital balance as of March 31, 2024 was $213.3 million compared to $198.5 million as of December 31, 2023. The increase in working capital balance was mainly attributable to a $13.5 million increase in cash and cash equivalents resulted mainly from $29.7 million of Term Loan with KDB, which was funded in full to MSK on March 26, 2024. This increase in cash and cash equivalents was offset in part by a $4.1 million of continued execution of stock repurchase program.</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Cash Flows from Operating Activities</w:t>
      </w:r>
    </w:p>
    <w:p>
      <w:pPr>
        <w:spacing w:after="0" w:line="82" w:lineRule="exact"/>
        <w:rPr>
          <w:sz w:val="20"/>
          <w:szCs w:val="20"/>
          <w:color w:val="auto"/>
        </w:rPr>
      </w:pPr>
    </w:p>
    <w:p>
      <w:pPr>
        <w:ind w:left="840" w:right="839" w:firstLine="294"/>
        <w:spacing w:after="0" w:line="257" w:lineRule="auto"/>
        <w:rPr>
          <w:sz w:val="20"/>
          <w:szCs w:val="20"/>
          <w:color w:val="auto"/>
        </w:rPr>
      </w:pPr>
      <w:r>
        <w:rPr>
          <w:rFonts w:ascii="Times New Roman" w:cs="Times New Roman" w:eastAsia="Times New Roman" w:hAnsi="Times New Roman"/>
          <w:sz w:val="12"/>
          <w:szCs w:val="12"/>
          <w:color w:val="auto"/>
        </w:rPr>
        <w:t>Cash outflow used in operating activities totaled $4.0 million for the three months ended March 31, 2024, compared to $7.9 million of cash inflow provided by operating activities for the three months ended March 31, 2023. The net operating cash outflow for the three months ended March 31, 2024 reflects our net loss of $15.4 million, as adjusted favorably by $17.3 million, which mainly consisted of depreciation and amortization, provision for severance benefits, provision for inventory reserves, net foreign currency loss and stock-based compensation, and net unfavorable impact of $5.8 million from changes of operating assets and liabilities.</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Cash Flows from Investing Activities</w:t>
      </w:r>
    </w:p>
    <w:p>
      <w:pPr>
        <w:spacing w:after="0" w:line="82" w:lineRule="exact"/>
        <w:rPr>
          <w:sz w:val="20"/>
          <w:szCs w:val="20"/>
          <w:color w:val="auto"/>
        </w:rPr>
      </w:pPr>
    </w:p>
    <w:p>
      <w:pPr>
        <w:ind w:left="840" w:right="999" w:firstLine="294"/>
        <w:spacing w:after="0" w:line="265" w:lineRule="auto"/>
        <w:rPr>
          <w:sz w:val="20"/>
          <w:szCs w:val="20"/>
          <w:color w:val="auto"/>
        </w:rPr>
      </w:pPr>
      <w:r>
        <w:rPr>
          <w:rFonts w:ascii="Times New Roman" w:cs="Times New Roman" w:eastAsia="Times New Roman" w:hAnsi="Times New Roman"/>
          <w:sz w:val="12"/>
          <w:szCs w:val="12"/>
          <w:color w:val="auto"/>
        </w:rPr>
        <w:t>Cash outflow used in investing activities totaled $1.5 million for the three months ended March 31, 2024, compared to $3.6 million of cash outflow used in investing activities for the three months ended March 31, 2023. The $2.1 million decrease was primarily attributable to a $2.7 million net decrease in guarantee deposits, which was offset in part by a $0.5 million increase in purchase of property, plant and equipment.</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Cash Flows from Financing Activities</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Cash inflow provided by financing activities totaled $25.2 million for the three months ended March 31, 2024, compared to $12.4 million of cash</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outflow used in financing activities for the three months ended March 31, 2023. The financing cash inflow for the three months ended March 31, 2024</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was primarily attributable to the $30.1 million of proceeds received from the new Term Loan with KDB, which was offset in part by a payment of</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$4.1 million for the repurchases of our common stock pursuant to our stock repurchase program and a payment of $0.5 million for the repurchase of our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common stock to satisfy tax withholding obligations 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ectPr>
          <w:pgSz w:w="11900" w:h="16838" w:orient="portrait"/>
          <w:cols w:equalWidth="0" w:num="1">
            <w:col w:w="9019"/>
          </w:cols>
          <w:pgMar w:left="1440" w:top="242" w:right="1440" w:bottom="1440" w:gutter="0" w:footer="0" w:header="0"/>
        </w:sectPr>
      </w:pPr>
    </w:p>
    <w:bookmarkStart w:id="41" w:name="page42"/>
    <w:bookmarkEnd w:id="41"/>
    <w:p>
      <w:pPr>
        <w:jc w:val="both"/>
        <w:ind w:left="840" w:right="91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connection with the vesting of restricted stock units. The financing cash outflow for the three months ended March 31, 2023 was primarily attributable to a payment of $11.9 million for the repurchases of our common stock pursuant to our stock repurchase program and a payment of $0.4 million for the repurchase of our common stock to satisfy tax withholding obligations in connection with the vesting of restricted stock units.</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Capital Expenditures</w:t>
      </w:r>
    </w:p>
    <w:p>
      <w:pPr>
        <w:spacing w:after="0" w:line="82" w:lineRule="exact"/>
        <w:rPr>
          <w:sz w:val="20"/>
          <w:szCs w:val="20"/>
          <w:color w:val="auto"/>
        </w:rPr>
      </w:pPr>
    </w:p>
    <w:p>
      <w:pPr>
        <w:jc w:val="both"/>
        <w:ind w:left="840" w:right="919" w:firstLine="294"/>
        <w:spacing w:after="0" w:line="259" w:lineRule="auto"/>
        <w:rPr>
          <w:sz w:val="20"/>
          <w:szCs w:val="20"/>
          <w:color w:val="auto"/>
        </w:rPr>
      </w:pPr>
      <w:r>
        <w:rPr>
          <w:rFonts w:ascii="Times New Roman" w:cs="Times New Roman" w:eastAsia="Times New Roman" w:hAnsi="Times New Roman"/>
          <w:sz w:val="12"/>
          <w:szCs w:val="12"/>
          <w:color w:val="auto"/>
        </w:rPr>
        <w:t>We routinely make capital expenditures for fabrication facility maintenance, enhancement of our existing facility and reinforcement of our global research and development capability. For the three months ended March 31, 2024, capital expenditures for property, plant and equipment were</w:t>
      </w:r>
    </w:p>
    <w:p>
      <w:pPr>
        <w:spacing w:after="0" w:line="1" w:lineRule="exact"/>
        <w:rPr>
          <w:sz w:val="20"/>
          <w:szCs w:val="20"/>
          <w:color w:val="auto"/>
        </w:rPr>
      </w:pPr>
    </w:p>
    <w:p>
      <w:pPr>
        <w:ind w:left="840" w:right="1019"/>
        <w:spacing w:after="0" w:line="255" w:lineRule="auto"/>
        <w:rPr>
          <w:sz w:val="20"/>
          <w:szCs w:val="20"/>
          <w:color w:val="auto"/>
        </w:rPr>
      </w:pPr>
      <w:r>
        <w:rPr>
          <w:rFonts w:ascii="Times New Roman" w:cs="Times New Roman" w:eastAsia="Times New Roman" w:hAnsi="Times New Roman"/>
          <w:sz w:val="12"/>
          <w:szCs w:val="12"/>
          <w:color w:val="auto"/>
        </w:rPr>
        <w:t>$0.7 million, a $0.5 million, or 394.8%, increase from $0.1 million for the three months ended March 31, 2023. The capital expenditures for the three months ended March 31, 2024 and 2023 were related to meeting our customer demand and supporting technology and facility improvement at our fabrication facility.</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42</w:t>
      </w:r>
    </w:p>
    <w:p>
      <w:pPr>
        <w:sectPr>
          <w:pgSz w:w="11900" w:h="16838" w:orient="portrait"/>
          <w:cols w:equalWidth="0" w:num="1">
            <w:col w:w="9019"/>
          </w:cols>
          <w:pgMar w:left="1440" w:top="246" w:right="1440" w:bottom="1440" w:gutter="0" w:footer="0" w:header="0"/>
        </w:sectPr>
      </w:pPr>
    </w:p>
    <w:bookmarkStart w:id="42" w:name="page43"/>
    <w:bookmarkEnd w:id="42"/>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Critical Accounting Policies and Estimates</w:t>
      </w:r>
    </w:p>
    <w:p>
      <w:pPr>
        <w:spacing w:after="0" w:line="82" w:lineRule="exact"/>
        <w:rPr>
          <w:sz w:val="20"/>
          <w:szCs w:val="20"/>
          <w:color w:val="auto"/>
        </w:rPr>
      </w:pPr>
    </w:p>
    <w:p>
      <w:pPr>
        <w:jc w:val="both"/>
        <w:ind w:left="840" w:right="999" w:firstLine="294"/>
        <w:spacing w:after="0" w:line="265" w:lineRule="auto"/>
        <w:rPr>
          <w:sz w:val="20"/>
          <w:szCs w:val="20"/>
          <w:color w:val="auto"/>
        </w:rPr>
      </w:pPr>
      <w:r>
        <w:rPr>
          <w:rFonts w:ascii="Times New Roman" w:cs="Times New Roman" w:eastAsia="Times New Roman" w:hAnsi="Times New Roman"/>
          <w:sz w:val="12"/>
          <w:szCs w:val="12"/>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19" w:lineRule="exact"/>
        <w:rPr>
          <w:sz w:val="20"/>
          <w:szCs w:val="20"/>
          <w:color w:val="auto"/>
        </w:rPr>
      </w:pPr>
    </w:p>
    <w:p>
      <w:pPr>
        <w:ind w:left="840" w:right="859" w:firstLine="294"/>
        <w:spacing w:after="0" w:line="256" w:lineRule="auto"/>
        <w:rPr>
          <w:sz w:val="20"/>
          <w:szCs w:val="20"/>
          <w:color w:val="auto"/>
        </w:rPr>
      </w:pPr>
      <w:r>
        <w:rPr>
          <w:rFonts w:ascii="Times New Roman" w:cs="Times New Roman" w:eastAsia="Times New Roman" w:hAnsi="Times New Roman"/>
          <w:sz w:val="12"/>
          <w:szCs w:val="12"/>
          <w:color w:val="auto"/>
        </w:rPr>
        <w:t>We believe that our significant accounting policies, which are described further in Note 1 to our consolidated financial statements in our Annual Report on Form 10-K for our fiscal year ended December 31, 2023, or our 2023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25"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A description of our critical accounting policies that involve significant management judgement appears in our 2023 Form 10-K, under “Management’s Discussion and Analysis of Financial Conditions and Reports of Operations—Critical Accounting Policies and Estimates.” There have been no other material changes to our critical accounting policies and estimates as compared to our critical accounting policies and estimates included in our 2023 Form 10-K.</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43</w:t>
      </w:r>
    </w:p>
    <w:p>
      <w:pPr>
        <w:sectPr>
          <w:pgSz w:w="11900" w:h="16838" w:orient="portrait"/>
          <w:cols w:equalWidth="0" w:num="1">
            <w:col w:w="9019"/>
          </w:cols>
          <w:pgMar w:left="1440" w:top="242" w:right="1440" w:bottom="1440" w:gutter="0" w:footer="0" w:header="0"/>
        </w:sectPr>
      </w:pPr>
    </w:p>
    <w:bookmarkStart w:id="43" w:name="page44"/>
    <w:bookmarkEnd w:id="43"/>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3.</w:t>
      </w:r>
      <w:r>
        <w:rPr>
          <w:sz w:val="20"/>
          <w:szCs w:val="20"/>
          <w:color w:val="auto"/>
        </w:rPr>
        <w:tab/>
      </w:r>
      <w:r>
        <w:rPr>
          <w:rFonts w:ascii="Times New Roman" w:cs="Times New Roman" w:eastAsia="Times New Roman" w:hAnsi="Times New Roman"/>
          <w:sz w:val="12"/>
          <w:szCs w:val="12"/>
          <w:b w:val="1"/>
          <w:bCs w:val="1"/>
          <w:color w:val="auto"/>
        </w:rPr>
        <w:t>Quantitative and Qualitative Disclosures About Market Risk</w:t>
      </w:r>
    </w:p>
    <w:p>
      <w:pPr>
        <w:spacing w:after="0" w:line="82" w:lineRule="exact"/>
        <w:rPr>
          <w:sz w:val="20"/>
          <w:szCs w:val="20"/>
          <w:color w:val="auto"/>
        </w:rPr>
      </w:pPr>
    </w:p>
    <w:p>
      <w:pPr>
        <w:jc w:val="both"/>
        <w:ind w:left="840" w:right="1179" w:firstLine="294"/>
        <w:spacing w:after="0" w:line="265" w:lineRule="auto"/>
        <w:rPr>
          <w:sz w:val="20"/>
          <w:szCs w:val="20"/>
          <w:color w:val="auto"/>
        </w:rPr>
      </w:pPr>
      <w:r>
        <w:rPr>
          <w:rFonts w:ascii="Times New Roman" w:cs="Times New Roman" w:eastAsia="Times New Roman" w:hAnsi="Times New Roman"/>
          <w:sz w:val="12"/>
          <w:szCs w:val="12"/>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Exposures</w:t>
      </w:r>
    </w:p>
    <w:p>
      <w:pPr>
        <w:spacing w:after="0" w:line="82" w:lineRule="exact"/>
        <w:rPr>
          <w:sz w:val="20"/>
          <w:szCs w:val="20"/>
          <w:color w:val="auto"/>
        </w:rPr>
      </w:pPr>
    </w:p>
    <w:p>
      <w:pPr>
        <w:ind w:left="840" w:right="839" w:firstLine="294"/>
        <w:spacing w:after="0" w:line="256" w:lineRule="auto"/>
        <w:rPr>
          <w:sz w:val="20"/>
          <w:szCs w:val="20"/>
          <w:color w:val="auto"/>
        </w:rPr>
      </w:pPr>
      <w:r>
        <w:rPr>
          <w:rFonts w:ascii="Times New Roman" w:cs="Times New Roman" w:eastAsia="Times New Roman" w:hAnsi="Times New Roman"/>
          <w:sz w:val="12"/>
          <w:szCs w:val="12"/>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March 31, 2024 for our Korean subsidiaries, a 10% devaluation of the Korean won against the U.S. dollar would have resulted in a decrease of $3.5 million in our U.S. dollar financial instruments and cash balances.</w:t>
      </w:r>
    </w:p>
    <w:p>
      <w:pPr>
        <w:spacing w:after="0" w:line="125" w:lineRule="exact"/>
        <w:rPr>
          <w:sz w:val="20"/>
          <w:szCs w:val="20"/>
          <w:color w:val="auto"/>
        </w:rPr>
      </w:pPr>
    </w:p>
    <w:p>
      <w:pPr>
        <w:ind w:left="840" w:right="959" w:firstLine="294"/>
        <w:spacing w:after="0" w:line="260" w:lineRule="auto"/>
        <w:rPr>
          <w:sz w:val="20"/>
          <w:szCs w:val="20"/>
          <w:color w:val="auto"/>
        </w:rPr>
      </w:pPr>
      <w:r>
        <w:rPr>
          <w:rFonts w:ascii="Times New Roman" w:cs="Times New Roman" w:eastAsia="Times New Roman" w:hAnsi="Times New Roman"/>
          <w:sz w:val="12"/>
          <w:szCs w:val="12"/>
          <w:color w:val="auto"/>
        </w:rPr>
        <w:t>See “Note 6.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Interest Rate Exposures</w:t>
      </w:r>
    </w:p>
    <w:p>
      <w:pPr>
        <w:spacing w:after="0" w:line="82"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As of March 31, 2024, $29.7 million aggregate principal amount of our Term Loan was outstanding. The Term Loan bears interest at a variable rate equal to the 3-month CD rate quoted by KDB, plus 1.21%, which rate is adjusted quarterly until the Term Loan mature on March 26, 2027. We have interest rate exposure with respect to the $29.7 million of our variable interest rate debt outstanding under our Term Loan as of March 31, 2024. A 50 basis point increase in interest rates would increase our expected annual interest expense for the next 12 months by approximately $0.2 million.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ectPr>
          <w:pgSz w:w="11900" w:h="16838" w:orient="portrait"/>
          <w:cols w:equalWidth="0" w:num="1">
            <w:col w:w="9019"/>
          </w:cols>
          <w:pgMar w:left="1440" w:top="242" w:right="1440" w:bottom="1440" w:gutter="0" w:footer="0" w:header="0"/>
        </w:sectPr>
      </w:pPr>
    </w:p>
    <w:bookmarkStart w:id="44" w:name="page45"/>
    <w:bookmarkEnd w:id="44"/>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2"/>
          <w:szCs w:val="12"/>
          <w:b w:val="1"/>
          <w:bCs w:val="1"/>
          <w:color w:val="auto"/>
        </w:rPr>
        <w:t>Controls and Procedures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Evaluation of Disclosure Controls and Procedures</w:t>
      </w:r>
    </w:p>
    <w:p>
      <w:pPr>
        <w:spacing w:after="0" w:line="82" w:lineRule="exact"/>
        <w:rPr>
          <w:sz w:val="20"/>
          <w:szCs w:val="20"/>
          <w:color w:val="auto"/>
        </w:rPr>
      </w:pPr>
    </w:p>
    <w:p>
      <w:pPr>
        <w:jc w:val="both"/>
        <w:ind w:left="840" w:right="919" w:firstLine="294"/>
        <w:spacing w:after="0" w:line="260" w:lineRule="auto"/>
        <w:rPr>
          <w:sz w:val="20"/>
          <w:szCs w:val="20"/>
          <w:color w:val="auto"/>
        </w:rPr>
      </w:pPr>
      <w:r>
        <w:rPr>
          <w:rFonts w:ascii="Times New Roman" w:cs="Times New Roman" w:eastAsia="Times New Roman" w:hAnsi="Times New Roman"/>
          <w:sz w:val="12"/>
          <w:szCs w:val="12"/>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22" w:lineRule="exact"/>
        <w:rPr>
          <w:sz w:val="20"/>
          <w:szCs w:val="20"/>
          <w:color w:val="auto"/>
        </w:rPr>
      </w:pPr>
    </w:p>
    <w:p>
      <w:pPr>
        <w:ind w:left="840" w:right="839" w:firstLine="294"/>
        <w:spacing w:after="0" w:line="291" w:lineRule="auto"/>
        <w:rPr>
          <w:sz w:val="20"/>
          <w:szCs w:val="20"/>
          <w:color w:val="auto"/>
        </w:rPr>
      </w:pPr>
      <w:r>
        <w:rPr>
          <w:rFonts w:ascii="Times New Roman" w:cs="Times New Roman" w:eastAsia="Times New Roman" w:hAnsi="Times New Roman"/>
          <w:sz w:val="11"/>
          <w:szCs w:val="11"/>
          <w:color w:val="auto"/>
        </w:rPr>
        <w:t>In connection with the preparation of this Report, we carried out an evaluation under the supervision of and with the participation of our management, including our Chief Executive Officer and Chief Financial Officer, as of March 31, 2024,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March 31, 2024.</w:t>
      </w:r>
    </w:p>
    <w:p>
      <w:pPr>
        <w:spacing w:after="0" w:line="17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Changes in Internal Control Over Financial Reporting</w:t>
      </w:r>
    </w:p>
    <w:p>
      <w:pPr>
        <w:spacing w:after="0" w:line="82" w:lineRule="exact"/>
        <w:rPr>
          <w:sz w:val="20"/>
          <w:szCs w:val="20"/>
          <w:color w:val="auto"/>
        </w:rPr>
      </w:pPr>
    </w:p>
    <w:p>
      <w:pPr>
        <w:ind w:left="840" w:right="979" w:firstLine="294"/>
        <w:spacing w:after="0" w:line="279" w:lineRule="auto"/>
        <w:rPr>
          <w:sz w:val="20"/>
          <w:szCs w:val="20"/>
          <w:color w:val="auto"/>
        </w:rPr>
      </w:pPr>
      <w:r>
        <w:rPr>
          <w:rFonts w:ascii="Times New Roman" w:cs="Times New Roman" w:eastAsia="Times New Roman" w:hAnsi="Times New Roman"/>
          <w:sz w:val="12"/>
          <w:szCs w:val="12"/>
          <w:color w:val="auto"/>
        </w:rPr>
        <w:t>There were no changes in our internal control over financial reporting during the quarter ended March 31, 2024 that have materially affected, or are reasonably likely to materially affect, our internal control over financial reporting.</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ectPr>
          <w:pgSz w:w="11900" w:h="16838" w:orient="portrait"/>
          <w:cols w:equalWidth="0" w:num="1">
            <w:col w:w="9019"/>
          </w:cols>
          <w:pgMar w:left="1440" w:top="242"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PART II. OTHER INFORMATION</w:t>
      </w:r>
    </w:p>
    <w:p>
      <w:pPr>
        <w:spacing w:after="0" w:line="168"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2"/>
          <w:szCs w:val="12"/>
          <w:b w:val="1"/>
          <w:bCs w:val="1"/>
          <w:color w:val="auto"/>
        </w:rPr>
        <w:t>Legal Proceedings</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For a discussion of legal proceedings, see “Part I: Item 3. Legal Proceedings” of our 2023 Form 10-K.</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See also “Item 1A. Risk Factors” in this Report and “Part I: Item 1A. Risk Factors” of our 2023 Form 10-K for additional information.</w:t>
      </w:r>
    </w:p>
    <w:p>
      <w:pPr>
        <w:spacing w:after="0" w:line="245"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1A.</w:t>
      </w:r>
      <w:r>
        <w:rPr>
          <w:sz w:val="20"/>
          <w:szCs w:val="20"/>
          <w:color w:val="auto"/>
        </w:rPr>
        <w:tab/>
      </w:r>
      <w:r>
        <w:rPr>
          <w:rFonts w:ascii="Times New Roman" w:cs="Times New Roman" w:eastAsia="Times New Roman" w:hAnsi="Times New Roman"/>
          <w:sz w:val="12"/>
          <w:szCs w:val="12"/>
          <w:b w:val="1"/>
          <w:bCs w:val="1"/>
          <w:color w:val="auto"/>
        </w:rPr>
        <w:t>Risk Factors</w:t>
      </w:r>
    </w:p>
    <w:p>
      <w:pPr>
        <w:spacing w:after="0" w:line="82" w:lineRule="exact"/>
        <w:rPr>
          <w:sz w:val="20"/>
          <w:szCs w:val="20"/>
          <w:color w:val="auto"/>
        </w:rPr>
      </w:pPr>
    </w:p>
    <w:p>
      <w:pPr>
        <w:ind w:left="840" w:right="1139" w:firstLine="294"/>
        <w:spacing w:after="0" w:line="279" w:lineRule="auto"/>
        <w:rPr>
          <w:sz w:val="20"/>
          <w:szCs w:val="20"/>
          <w:color w:val="auto"/>
        </w:rPr>
      </w:pPr>
      <w:r>
        <w:rPr>
          <w:rFonts w:ascii="Times New Roman" w:cs="Times New Roman" w:eastAsia="Times New Roman" w:hAnsi="Times New Roman"/>
          <w:sz w:val="12"/>
          <w:szCs w:val="12"/>
          <w:color w:val="auto"/>
        </w:rPr>
        <w:t>The Company is subject to risks and uncertainties, any of which could have a significant or material adverse effect on our business, financial condition, liquidity or consolidated financial statements.</w:t>
      </w:r>
    </w:p>
    <w:p>
      <w:pPr>
        <w:spacing w:after="0" w:line="111" w:lineRule="exact"/>
        <w:rPr>
          <w:sz w:val="20"/>
          <w:szCs w:val="20"/>
          <w:color w:val="auto"/>
        </w:rPr>
      </w:pPr>
    </w:p>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In addition to the other information contained in this Report and the other reports and materials the Company files with the SEC, investors should carefully consider the risk factors disclosed in Part I, Item 1A of our 2023 Form 10-K as well as in our subsequent filings with the SEC. The risks described herein and therein are not the only ones we face.</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Except as set forth below, there have been no material changes to the risk factors disclosed in Part I, Item 1A of our 2023 Form 10-K.</w:t>
      </w:r>
    </w:p>
    <w:p>
      <w:pPr>
        <w:spacing w:after="0" w:line="218" w:lineRule="exact"/>
        <w:rPr>
          <w:sz w:val="20"/>
          <w:szCs w:val="20"/>
          <w:color w:val="auto"/>
        </w:rPr>
      </w:pPr>
    </w:p>
    <w:p>
      <w:pPr>
        <w:ind w:left="840" w:right="939" w:firstLine="294"/>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debt instruments when they come due.</w:t>
      </w:r>
    </w:p>
    <w:p>
      <w:pPr>
        <w:spacing w:after="0" w:line="118" w:lineRule="exact"/>
        <w:rPr>
          <w:sz w:val="20"/>
          <w:szCs w:val="20"/>
          <w:color w:val="auto"/>
        </w:rPr>
      </w:pPr>
    </w:p>
    <w:p>
      <w:pPr>
        <w:ind w:left="840" w:right="1019" w:firstLine="294"/>
        <w:spacing w:after="0" w:line="260" w:lineRule="auto"/>
        <w:rPr>
          <w:sz w:val="20"/>
          <w:szCs w:val="20"/>
          <w:color w:val="auto"/>
        </w:rPr>
      </w:pPr>
      <w:r>
        <w:rPr>
          <w:rFonts w:ascii="Times New Roman" w:cs="Times New Roman" w:eastAsia="Times New Roman" w:hAnsi="Times New Roman"/>
          <w:sz w:val="12"/>
          <w:szCs w:val="12"/>
          <w:color w:val="auto"/>
        </w:rPr>
        <w:t>As of March 31, 2024, we had approximately $29.7 million aggregate principal amount of indebtedness under the working capital Term Loan borrowed under the Loan Agreement, which is secured by a pledge of our Fab 3 properties.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59" w:lineRule="exact"/>
        <w:rPr>
          <w:sz w:val="20"/>
          <w:szCs w:val="20"/>
          <w:color w:val="auto"/>
        </w:rPr>
      </w:pPr>
    </w:p>
    <w:p>
      <w:pPr>
        <w:ind w:left="1480" w:hanging="288"/>
        <w:spacing w:after="0"/>
        <w:tabs>
          <w:tab w:leader="none" w:pos="1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increasing our vulnerability to adverse economic and industry conditions;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limiting our ability to obtain additional financing on acceptable terms or at all;</w:t>
      </w:r>
    </w:p>
    <w:p>
      <w:pPr>
        <w:spacing w:after="0" w:line="87" w:lineRule="exact"/>
        <w:rPr>
          <w:rFonts w:ascii="Times New Roman" w:cs="Times New Roman" w:eastAsia="Times New Roman" w:hAnsi="Times New Roman"/>
          <w:sz w:val="12"/>
          <w:szCs w:val="12"/>
          <w:color w:val="auto"/>
        </w:rPr>
      </w:pPr>
    </w:p>
    <w:p>
      <w:pPr>
        <w:ind w:left="1480" w:right="1219" w:hanging="288"/>
        <w:spacing w:after="0" w:line="279" w:lineRule="auto"/>
        <w:tabs>
          <w:tab w:leader="none" w:pos="1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requiring the dedication of a substantial portion of our cash flow from operations to service our indebtedness, which will reduce the amount of cash available for other purposes;</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limiting our flexibility to plan for, or react to, changes in our business;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exposing us to the risk of increased interest rates, as our Term Loan borrowing is at a variable rate of interest; and</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placing us at a possible competitive disadvantage with competitors that are less leveraged than us or have better access to capital.</w:t>
      </w:r>
    </w:p>
    <w:p>
      <w:pPr>
        <w:spacing w:after="0" w:line="150"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Our business may not generate sufficient funds, and we may otherwise be unable to maintain sufficient cash reserves, to pay amounts due under our indebtedness and our cash needs may increase in the future. If we are unable to pay our indebtedness when due, including the Term Loan, the lenders may declare default and invoke remedies that could include the foreclosure on pledged collateral to satisfy such indebtedness, which would have a material adverse effect on our financial condition and results of operations.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ectPr>
          <w:pgSz w:w="11900" w:h="16838" w:orient="portrait"/>
          <w:cols w:equalWidth="0" w:num="1">
            <w:col w:w="9019"/>
          </w:cols>
          <w:pgMar w:left="1440" w:top="242" w:right="1440" w:bottom="1440" w:gutter="0" w:footer="0" w:header="0"/>
        </w:sectPr>
      </w:pPr>
    </w:p>
    <w:bookmarkStart w:id="46" w:name="page47"/>
    <w:bookmarkEnd w:id="46"/>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2.</w:t>
      </w:r>
      <w:r>
        <w:rPr>
          <w:sz w:val="20"/>
          <w:szCs w:val="20"/>
          <w:color w:val="auto"/>
        </w:rPr>
        <w:tab/>
      </w:r>
      <w:r>
        <w:rPr>
          <w:rFonts w:ascii="Times New Roman" w:cs="Times New Roman" w:eastAsia="Times New Roman" w:hAnsi="Times New Roman"/>
          <w:sz w:val="12"/>
          <w:szCs w:val="12"/>
          <w:b w:val="1"/>
          <w:bCs w:val="1"/>
          <w:color w:val="auto"/>
        </w:rPr>
        <w:t>Unregistered Sales of Equity Securities and Use of Proceeds.</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following table shows the monthly activity related to our repurchases of common stock for the quarter ended March 31, 2024.</w:t>
      </w:r>
    </w:p>
    <w:p>
      <w:pPr>
        <w:spacing w:after="0" w:line="146"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1"/>
              </w:rPr>
              <w:t>Total Number</w:t>
            </w: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4"/>
              </w:rPr>
              <w:t>Approximate dollar</w:t>
            </w:r>
          </w:p>
        </w:tc>
        <w:tc>
          <w:tcPr>
            <w:tcW w:w="0" w:type="dxa"/>
            <w:vAlign w:val="bottom"/>
          </w:tcPr>
          <w:p>
            <w:pPr>
              <w:spacing w:after="0"/>
              <w:rPr>
                <w:sz w:val="1"/>
                <w:szCs w:val="1"/>
                <w:color w:val="auto"/>
              </w:rPr>
            </w:pPr>
          </w:p>
        </w:tc>
      </w:tr>
      <w:tr>
        <w:trPr>
          <w:trHeight w:val="99"/>
        </w:trPr>
        <w:tc>
          <w:tcPr>
            <w:tcW w:w="2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gridSpan w:val="2"/>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w w:val="95"/>
              </w:rPr>
              <w:t>of Shares</w:t>
            </w:r>
          </w:p>
        </w:tc>
        <w:tc>
          <w:tcPr>
            <w:tcW w:w="900" w:type="dxa"/>
            <w:vAlign w:val="bottom"/>
            <w:gridSpan w:val="3"/>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w w:val="94"/>
              </w:rPr>
              <w:t>value of Shares that</w:t>
            </w:r>
          </w:p>
        </w:tc>
        <w:tc>
          <w:tcPr>
            <w:tcW w:w="0" w:type="dxa"/>
            <w:vAlign w:val="bottom"/>
          </w:tcPr>
          <w:p>
            <w:pPr>
              <w:spacing w:after="0"/>
              <w:rPr>
                <w:sz w:val="1"/>
                <w:szCs w:val="1"/>
                <w:color w:val="auto"/>
              </w:rPr>
            </w:pPr>
          </w:p>
        </w:tc>
      </w:tr>
      <w:tr>
        <w:trPr>
          <w:trHeight w:val="99"/>
        </w:trPr>
        <w:tc>
          <w:tcPr>
            <w:tcW w:w="2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w w:val="91"/>
              </w:rPr>
              <w:t>Total Number</w:t>
            </w: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Average</w:t>
            </w:r>
          </w:p>
        </w:tc>
        <w:tc>
          <w:tcPr>
            <w:tcW w:w="1180" w:type="dxa"/>
            <w:vAlign w:val="bottom"/>
            <w:gridSpan w:val="2"/>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w w:val="95"/>
              </w:rPr>
              <w:t>Purchased as Part</w:t>
            </w:r>
          </w:p>
        </w:tc>
        <w:tc>
          <w:tcPr>
            <w:tcW w:w="80" w:type="dxa"/>
            <w:vAlign w:val="bottom"/>
          </w:tcPr>
          <w:p>
            <w:pPr>
              <w:spacing w:after="0"/>
              <w:rPr>
                <w:sz w:val="8"/>
                <w:szCs w:val="8"/>
                <w:color w:val="auto"/>
              </w:rPr>
            </w:pPr>
          </w:p>
        </w:tc>
        <w:tc>
          <w:tcPr>
            <w:tcW w:w="82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5"/>
              </w:rPr>
              <w:t>may yet be</w:t>
            </w:r>
          </w:p>
        </w:tc>
        <w:tc>
          <w:tcPr>
            <w:tcW w:w="0" w:type="dxa"/>
            <w:vAlign w:val="bottom"/>
          </w:tcPr>
          <w:p>
            <w:pPr>
              <w:spacing w:after="0"/>
              <w:rPr>
                <w:sz w:val="1"/>
                <w:szCs w:val="1"/>
                <w:color w:val="auto"/>
              </w:rPr>
            </w:pPr>
          </w:p>
        </w:tc>
      </w:tr>
      <w:tr>
        <w:trPr>
          <w:trHeight w:val="99"/>
        </w:trPr>
        <w:tc>
          <w:tcPr>
            <w:tcW w:w="2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118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95"/>
              </w:rPr>
              <w:t>of Publicly</w:t>
            </w:r>
          </w:p>
        </w:tc>
        <w:tc>
          <w:tcPr>
            <w:tcW w:w="900" w:type="dxa"/>
            <w:vAlign w:val="bottom"/>
            <w:gridSpan w:val="3"/>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w w:val="94"/>
              </w:rPr>
              <w:t>Purchased under the</w:t>
            </w:r>
          </w:p>
        </w:tc>
        <w:tc>
          <w:tcPr>
            <w:tcW w:w="0" w:type="dxa"/>
            <w:vAlign w:val="bottom"/>
          </w:tcPr>
          <w:p>
            <w:pPr>
              <w:spacing w:after="0"/>
              <w:rPr>
                <w:sz w:val="1"/>
                <w:szCs w:val="1"/>
                <w:color w:val="auto"/>
              </w:rPr>
            </w:pPr>
          </w:p>
        </w:tc>
      </w:tr>
      <w:tr>
        <w:trPr>
          <w:trHeight w:val="99"/>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1000" w:type="dxa"/>
            <w:vAlign w:val="bottom"/>
            <w:gridSpan w:val="3"/>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95"/>
              </w:rPr>
              <w:t>of Shares</w:t>
            </w:r>
          </w:p>
        </w:tc>
        <w:tc>
          <w:tcPr>
            <w:tcW w:w="86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Price Paid</w:t>
            </w:r>
          </w:p>
        </w:tc>
        <w:tc>
          <w:tcPr>
            <w:tcW w:w="118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96"/>
              </w:rPr>
              <w:t>Announced Plans</w:t>
            </w:r>
          </w:p>
        </w:tc>
        <w:tc>
          <w:tcPr>
            <w:tcW w:w="900" w:type="dxa"/>
            <w:vAlign w:val="bottom"/>
            <w:gridSpan w:val="3"/>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w w:val="94"/>
              </w:rPr>
              <w:t>Plans or Programs</w:t>
            </w:r>
          </w:p>
        </w:tc>
        <w:tc>
          <w:tcPr>
            <w:tcW w:w="0" w:type="dxa"/>
            <w:vAlign w:val="bottom"/>
          </w:tcPr>
          <w:p>
            <w:pPr>
              <w:spacing w:after="0"/>
              <w:rPr>
                <w:sz w:val="1"/>
                <w:szCs w:val="1"/>
                <w:color w:val="auto"/>
              </w:rPr>
            </w:pPr>
          </w:p>
        </w:tc>
      </w:tr>
      <w:tr>
        <w:trPr>
          <w:trHeight w:val="106"/>
        </w:trPr>
        <w:tc>
          <w:tcPr>
            <w:tcW w:w="2820" w:type="dxa"/>
            <w:vAlign w:val="bottom"/>
            <w:gridSpan w:val="2"/>
            <w:vMerge w:val="continue"/>
          </w:tcPr>
          <w:p>
            <w:pPr>
              <w:spacing w:after="0"/>
              <w:rPr>
                <w:sz w:val="9"/>
                <w:szCs w:val="9"/>
                <w:color w:val="auto"/>
              </w:rPr>
            </w:pPr>
          </w:p>
        </w:tc>
        <w:tc>
          <w:tcPr>
            <w:tcW w:w="1000" w:type="dxa"/>
            <w:vAlign w:val="bottom"/>
            <w:gridSpan w:val="3"/>
          </w:tcPr>
          <w:p>
            <w:pPr>
              <w:jc w:val="center"/>
              <w:ind w:right="420"/>
              <w:spacing w:after="0" w:line="107" w:lineRule="exact"/>
              <w:rPr>
                <w:sz w:val="20"/>
                <w:szCs w:val="20"/>
                <w:color w:val="auto"/>
              </w:rPr>
            </w:pPr>
            <w:r>
              <w:rPr>
                <w:rFonts w:ascii="Times New Roman" w:cs="Times New Roman" w:eastAsia="Times New Roman" w:hAnsi="Times New Roman"/>
                <w:sz w:val="10"/>
                <w:szCs w:val="10"/>
                <w:b w:val="1"/>
                <w:bCs w:val="1"/>
                <w:color w:val="auto"/>
                <w:w w:val="93"/>
              </w:rPr>
              <w:t>Purchased</w:t>
            </w:r>
          </w:p>
        </w:tc>
        <w:tc>
          <w:tcPr>
            <w:tcW w:w="860" w:type="dxa"/>
            <w:vAlign w:val="bottom"/>
            <w:gridSpan w:val="3"/>
          </w:tcPr>
          <w:p>
            <w:pPr>
              <w:ind w:left="20"/>
              <w:spacing w:after="0" w:line="107" w:lineRule="exact"/>
              <w:rPr>
                <w:sz w:val="20"/>
                <w:szCs w:val="20"/>
                <w:color w:val="auto"/>
              </w:rPr>
            </w:pPr>
            <w:r>
              <w:rPr>
                <w:rFonts w:ascii="Times New Roman" w:cs="Times New Roman" w:eastAsia="Times New Roman" w:hAnsi="Times New Roman"/>
                <w:sz w:val="10"/>
                <w:szCs w:val="10"/>
                <w:b w:val="1"/>
                <w:bCs w:val="1"/>
                <w:color w:val="auto"/>
              </w:rPr>
              <w:t>per Share</w:t>
            </w:r>
          </w:p>
        </w:tc>
        <w:tc>
          <w:tcPr>
            <w:tcW w:w="1180" w:type="dxa"/>
            <w:vAlign w:val="bottom"/>
            <w:gridSpan w:val="2"/>
          </w:tcPr>
          <w:p>
            <w:pPr>
              <w:jc w:val="center"/>
              <w:ind w:right="420"/>
              <w:spacing w:after="0" w:line="107" w:lineRule="exact"/>
              <w:rPr>
                <w:sz w:val="20"/>
                <w:szCs w:val="20"/>
                <w:color w:val="auto"/>
              </w:rPr>
            </w:pPr>
            <w:r>
              <w:rPr>
                <w:rFonts w:ascii="Times New Roman" w:cs="Times New Roman" w:eastAsia="Times New Roman" w:hAnsi="Times New Roman"/>
                <w:sz w:val="10"/>
                <w:szCs w:val="10"/>
                <w:b w:val="1"/>
                <w:bCs w:val="1"/>
                <w:color w:val="auto"/>
                <w:w w:val="97"/>
              </w:rPr>
              <w:t>or Programs(1)</w:t>
            </w:r>
          </w:p>
        </w:tc>
        <w:tc>
          <w:tcPr>
            <w:tcW w:w="80" w:type="dxa"/>
            <w:vAlign w:val="bottom"/>
          </w:tcPr>
          <w:p>
            <w:pPr>
              <w:spacing w:after="0"/>
              <w:rPr>
                <w:sz w:val="9"/>
                <w:szCs w:val="9"/>
                <w:color w:val="auto"/>
              </w:rPr>
            </w:pPr>
          </w:p>
        </w:tc>
        <w:tc>
          <w:tcPr>
            <w:tcW w:w="820" w:type="dxa"/>
            <w:vAlign w:val="bottom"/>
            <w:gridSpan w:val="2"/>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w w:val="96"/>
              </w:rPr>
              <w:t>(in thousands)(1)</w:t>
            </w: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January 2024</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101,282</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center"/>
              <w:ind w:left="20"/>
              <w:spacing w:after="0" w:line="122" w:lineRule="exact"/>
              <w:rPr>
                <w:sz w:val="20"/>
                <w:szCs w:val="20"/>
                <w:color w:val="auto"/>
              </w:rPr>
            </w:pPr>
            <w:r>
              <w:rPr>
                <w:rFonts w:ascii="Times New Roman" w:cs="Times New Roman" w:eastAsia="Times New Roman" w:hAnsi="Times New Roman"/>
                <w:sz w:val="12"/>
                <w:szCs w:val="12"/>
                <w:color w:val="auto"/>
              </w:rPr>
              <w:t>6.69</w:t>
            </w:r>
          </w:p>
        </w:tc>
        <w:tc>
          <w:tcPr>
            <w:tcW w:w="4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101,282</w:t>
            </w: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35,760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February 2024</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524,997</w:t>
            </w:r>
          </w:p>
        </w:tc>
        <w:tc>
          <w:tcPr>
            <w:tcW w:w="40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rPr>
              <w:t>6.55</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524,997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32,323</w:t>
            </w:r>
          </w:p>
        </w:tc>
        <w:tc>
          <w:tcPr>
            <w:tcW w:w="0" w:type="dxa"/>
            <w:vAlign w:val="bottom"/>
          </w:tcPr>
          <w:p>
            <w:pPr>
              <w:spacing w:after="0"/>
              <w:rPr>
                <w:sz w:val="1"/>
                <w:szCs w:val="1"/>
                <w:color w:val="auto"/>
              </w:rPr>
            </w:pPr>
          </w:p>
        </w:tc>
      </w:tr>
      <w:tr>
        <w:trPr>
          <w:trHeight w:val="144"/>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March 2024</w:t>
            </w:r>
          </w:p>
        </w:tc>
        <w:tc>
          <w:tcPr>
            <w:tcW w:w="10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77"/>
              </w:rPr>
              <w:t>— </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32,323</w:t>
            </w:r>
          </w:p>
        </w:tc>
        <w:tc>
          <w:tcPr>
            <w:tcW w:w="0" w:type="dxa"/>
            <w:vAlign w:val="bottom"/>
          </w:tcPr>
          <w:p>
            <w:pPr>
              <w:spacing w:after="0"/>
              <w:rPr>
                <w:sz w:val="1"/>
                <w:szCs w:val="1"/>
                <w:color w:val="auto"/>
              </w:rPr>
            </w:pPr>
          </w:p>
        </w:tc>
      </w:tr>
      <w:tr>
        <w:trPr>
          <w:trHeight w:val="149"/>
        </w:trPr>
        <w:tc>
          <w:tcPr>
            <w:tcW w:w="2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626,279</w:t>
            </w:r>
          </w:p>
        </w:tc>
        <w:tc>
          <w:tcPr>
            <w:tcW w:w="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auto"/>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rPr>
              <w:t>6.57</w:t>
            </w:r>
          </w:p>
        </w:tc>
        <w:tc>
          <w:tcPr>
            <w:tcW w:w="4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626,279</w:t>
            </w: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32,323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68580</wp:posOffset>
            </wp:positionV>
            <wp:extent cx="51435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4" w:lineRule="exact"/>
        <w:rPr>
          <w:sz w:val="20"/>
          <w:szCs w:val="20"/>
          <w:color w:val="auto"/>
        </w:rPr>
      </w:pPr>
    </w:p>
    <w:p>
      <w:pPr>
        <w:ind w:left="1120" w:right="859" w:hanging="288"/>
        <w:spacing w:after="0" w:line="260" w:lineRule="auto"/>
        <w:tabs>
          <w:tab w:leader="none" w:pos="11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July 19, 2023, the Company’s Board of Directors authorized a new $50 million stock buyback program. Purchases have been and will be made in the open market or through privately negotiated transactions, depending upon market conditions and other factors. In connection with the repurchase program, the Company established a stock trading plan with Needham &amp; Company, LLC in accordance with Rule 10b5-1 under the Exchange Act.</w:t>
      </w:r>
    </w:p>
    <w:p>
      <w:pPr>
        <w:sectPr>
          <w:pgSz w:w="11900" w:h="16838" w:orient="portrait"/>
          <w:cols w:equalWidth="0" w:num="1">
            <w:col w:w="9019"/>
          </w:cols>
          <w:pgMar w:left="1440" w:top="242" w:right="1440" w:bottom="1440" w:gutter="0" w:footer="0" w:header="0"/>
        </w:sectPr>
      </w:pPr>
    </w:p>
    <w:p>
      <w:pPr>
        <w:spacing w:after="0" w:line="2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b w:val="1"/>
          <w:bCs w:val="1"/>
          <w:color w:val="auto"/>
        </w:rPr>
        <w:t>Item 3.</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Defaults Upon Senior Securities</w:t>
      </w:r>
    </w:p>
    <w:p>
      <w:pPr>
        <w:spacing w:after="0" w:line="94" w:lineRule="exact"/>
        <w:rPr>
          <w:sz w:val="20"/>
          <w:szCs w:val="20"/>
          <w:color w:val="auto"/>
        </w:rPr>
      </w:pPr>
    </w:p>
    <w:p>
      <w:pPr>
        <w:sectPr>
          <w:pgSz w:w="11900" w:h="16838" w:orient="portrait"/>
          <w:cols w:equalWidth="0" w:num="2">
            <w:col w:w="1180" w:space="460"/>
            <w:col w:w="7379"/>
          </w:cols>
          <w:pgMar w:left="1440" w:top="242" w:right="1440"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2"/>
          <w:szCs w:val="12"/>
          <w:color w:val="auto"/>
        </w:rPr>
        <w:t>Not applicable.</w:t>
      </w:r>
    </w:p>
    <w:p>
      <w:pPr>
        <w:sectPr>
          <w:pgSz w:w="11900" w:h="16838" w:orient="portrait"/>
          <w:cols w:equalWidth="0" w:num="1">
            <w:col w:w="9019"/>
          </w:cols>
          <w:pgMar w:left="1440" w:top="242" w:right="1440" w:bottom="1440" w:gutter="0" w:footer="0" w:header="0"/>
          <w:type w:val="continuous"/>
        </w:sectPr>
      </w:pPr>
    </w:p>
    <w:p>
      <w:pPr>
        <w:spacing w:after="0" w:line="2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b w:val="1"/>
          <w:bCs w:val="1"/>
          <w:color w:val="auto"/>
        </w:rPr>
        <w:t>Item 4.</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Mine Safety Disclosures</w:t>
      </w:r>
    </w:p>
    <w:p>
      <w:pPr>
        <w:spacing w:after="0" w:line="94" w:lineRule="exact"/>
        <w:rPr>
          <w:sz w:val="20"/>
          <w:szCs w:val="20"/>
          <w:color w:val="auto"/>
        </w:rPr>
      </w:pPr>
    </w:p>
    <w:p>
      <w:pPr>
        <w:sectPr>
          <w:pgSz w:w="11900" w:h="16838" w:orient="portrait"/>
          <w:cols w:equalWidth="0" w:num="2">
            <w:col w:w="1180" w:space="460"/>
            <w:col w:w="7379"/>
          </w:cols>
          <w:pgMar w:left="1440" w:top="242" w:right="1440"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2"/>
          <w:szCs w:val="12"/>
          <w:color w:val="auto"/>
        </w:rPr>
        <w:t>Not applicable.</w:t>
      </w:r>
    </w:p>
    <w:p>
      <w:pPr>
        <w:sectPr>
          <w:pgSz w:w="11900" w:h="16838" w:orient="portrait"/>
          <w:cols w:equalWidth="0" w:num="1">
            <w:col w:w="9019"/>
          </w:cols>
          <w:pgMar w:left="1440" w:top="242" w:right="1440" w:bottom="1440" w:gutter="0" w:footer="0" w:header="0"/>
          <w:type w:val="continuous"/>
        </w:sectPr>
      </w:pPr>
    </w:p>
    <w:p>
      <w:pPr>
        <w:spacing w:after="0" w:line="2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b w:val="1"/>
          <w:bCs w:val="1"/>
          <w:color w:val="auto"/>
        </w:rPr>
        <w:t>Item 5.</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Other Information</w:t>
      </w:r>
    </w:p>
    <w:p>
      <w:pPr>
        <w:spacing w:after="0" w:line="92" w:lineRule="exact"/>
        <w:rPr>
          <w:sz w:val="20"/>
          <w:szCs w:val="20"/>
          <w:color w:val="auto"/>
        </w:rPr>
      </w:pPr>
    </w:p>
    <w:p>
      <w:pPr>
        <w:sectPr>
          <w:pgSz w:w="11900" w:h="16838" w:orient="portrait"/>
          <w:cols w:equalWidth="0" w:num="2">
            <w:col w:w="1180" w:space="460"/>
            <w:col w:w="7379"/>
          </w:cols>
          <w:pgMar w:left="1440" w:top="242"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2"/>
          <w:szCs w:val="12"/>
          <w:i w:val="1"/>
          <w:iCs w:val="1"/>
          <w:color w:val="auto"/>
        </w:rPr>
        <w:t>Securities Trading Plans of Directors and Executive Officers</w:t>
      </w:r>
    </w:p>
    <w:p>
      <w:pPr>
        <w:spacing w:after="0" w:line="80"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During our last fiscal quarter, no director or officer, as defined in Rule 16a-1(f), adopted or terminated a “Rule 10b5-1 trading arrangement” or a “non-Rule 10b5-1 trading arrangement,” each as defined in Regulation S-K Item 408.</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ectPr>
          <w:pgSz w:w="11900" w:h="16838" w:orient="portrait"/>
          <w:cols w:equalWidth="0" w:num="1">
            <w:col w:w="9019"/>
          </w:cols>
          <w:pgMar w:left="1440" w:top="242" w:right="1440" w:bottom="1440" w:gutter="0" w:footer="0" w:header="0"/>
          <w:type w:val="continuous"/>
        </w:sectPr>
      </w:pPr>
    </w:p>
    <w:bookmarkStart w:id="47" w:name="page48"/>
    <w:bookmarkEnd w:id="47"/>
    <w:tbl>
      <w:tblPr>
        <w:tblLayout w:type="fixed"/>
        <w:tblInd w:w="840" w:type="dxa"/>
        <w:tblCellMar>
          <w:top w:w="0" w:type="dxa"/>
          <w:left w:w="0" w:type="dxa"/>
          <w:bottom w:w="0" w:type="dxa"/>
          <w:right w:w="0" w:type="dxa"/>
        </w:tblCellMar>
      </w:tblPr>
      <w:tr>
        <w:trPr>
          <w:trHeight w:val="159"/>
        </w:trPr>
        <w:tc>
          <w:tcPr>
            <w:tcW w:w="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6.</w:t>
            </w:r>
          </w:p>
        </w:tc>
        <w:tc>
          <w:tcPr>
            <w:tcW w:w="6520" w:type="dxa"/>
            <w:vAlign w:val="bottom"/>
            <w:gridSpan w:val="11"/>
          </w:tcPr>
          <w:p>
            <w:pPr>
              <w:ind w:left="40"/>
              <w:spacing w:after="0"/>
              <w:rPr>
                <w:sz w:val="20"/>
                <w:szCs w:val="20"/>
                <w:color w:val="auto"/>
              </w:rPr>
            </w:pPr>
            <w:r>
              <w:rPr>
                <w:rFonts w:ascii="Times New Roman" w:cs="Times New Roman" w:eastAsia="Times New Roman" w:hAnsi="Times New Roman"/>
                <w:sz w:val="12"/>
                <w:szCs w:val="12"/>
                <w:b w:val="1"/>
                <w:bCs w:val="1"/>
                <w:color w:val="auto"/>
              </w:rPr>
              <w:t>Exhibits.</w:t>
            </w:r>
          </w:p>
        </w:tc>
      </w:tr>
      <w:tr>
        <w:trPr>
          <w:trHeight w:val="245"/>
        </w:trPr>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24"/>
        </w:trPr>
        <w:tc>
          <w:tcPr>
            <w:tcW w:w="760" w:type="dxa"/>
            <w:vAlign w:val="bottom"/>
            <w:gridSpan w:val="2"/>
          </w:tcPr>
          <w:p>
            <w:pPr>
              <w:jc w:val="center"/>
              <w:ind w:right="280"/>
              <w:spacing w:after="0" w:line="96" w:lineRule="exact"/>
              <w:rPr>
                <w:sz w:val="20"/>
                <w:szCs w:val="20"/>
                <w:color w:val="auto"/>
              </w:rPr>
            </w:pPr>
            <w:r>
              <w:rPr>
                <w:rFonts w:ascii="Times New Roman" w:cs="Times New Roman" w:eastAsia="Times New Roman" w:hAnsi="Times New Roman"/>
                <w:sz w:val="10"/>
                <w:szCs w:val="10"/>
                <w:b w:val="1"/>
                <w:bCs w:val="1"/>
                <w:color w:val="auto"/>
              </w:rPr>
              <w:t>Number</w:t>
            </w:r>
          </w:p>
        </w:tc>
        <w:tc>
          <w:tcPr>
            <w:tcW w:w="1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500" w:type="dxa"/>
            <w:vAlign w:val="bottom"/>
            <w:gridSpan w:val="9"/>
          </w:tcPr>
          <w:p>
            <w:pPr>
              <w:ind w:left="1040"/>
              <w:spacing w:after="0" w:line="96" w:lineRule="exact"/>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10.1</w:t>
            </w:r>
          </w:p>
        </w:tc>
        <w:tc>
          <w:tcPr>
            <w:tcW w:w="360" w:type="dxa"/>
            <w:vAlign w:val="bottom"/>
          </w:tcPr>
          <w:p>
            <w:pPr>
              <w:spacing w:after="0"/>
              <w:rPr>
                <w:sz w:val="16"/>
                <w:szCs w:val="16"/>
                <w:color w:val="auto"/>
              </w:rPr>
            </w:pPr>
          </w:p>
        </w:tc>
        <w:tc>
          <w:tcPr>
            <w:tcW w:w="6520" w:type="dxa"/>
            <w:vAlign w:val="bottom"/>
            <w:tcBorders>
              <w:bottom w:val="single" w:sz="8" w:color="0000EE"/>
            </w:tcBorders>
            <w:gridSpan w:val="11"/>
          </w:tcPr>
          <w:p>
            <w:pPr>
              <w:spacing w:after="0"/>
              <w:rPr>
                <w:rFonts w:ascii="Times New Roman" w:cs="Times New Roman" w:eastAsia="Times New Roman" w:hAnsi="Times New Roman"/>
                <w:sz w:val="12"/>
                <w:szCs w:val="12"/>
                <w:color w:val="0000EE"/>
                <w:w w:val="99"/>
              </w:rPr>
            </w:pPr>
            <w:hyperlink r:id="rId67">
              <w:r>
                <w:rPr>
                  <w:rFonts w:ascii="Times New Roman" w:cs="Times New Roman" w:eastAsia="Times New Roman" w:hAnsi="Times New Roman"/>
                  <w:sz w:val="12"/>
                  <w:szCs w:val="12"/>
                  <w:color w:val="0000EE"/>
                  <w:w w:val="99"/>
                </w:rPr>
                <w:t>Separation Agreement, dated as of March 22, 2024, by and among Magnachip Semiconductor Corporation, Magnachip Semiconductor,</w:t>
              </w:r>
            </w:hyperlink>
          </w:p>
        </w:tc>
      </w:tr>
      <w:tr>
        <w:trPr>
          <w:trHeight w:val="124"/>
        </w:trPr>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380" w:type="dxa"/>
            <w:vAlign w:val="bottom"/>
            <w:tcBorders>
              <w:bottom w:val="single" w:sz="8" w:color="0000EE"/>
            </w:tcBorders>
            <w:gridSpan w:val="5"/>
          </w:tcPr>
          <w:p>
            <w:pPr>
              <w:spacing w:after="0" w:line="124" w:lineRule="exact"/>
              <w:rPr>
                <w:rFonts w:ascii="Times New Roman" w:cs="Times New Roman" w:eastAsia="Times New Roman" w:hAnsi="Times New Roman"/>
                <w:sz w:val="12"/>
                <w:szCs w:val="12"/>
                <w:color w:val="0000EE"/>
                <w:w w:val="99"/>
              </w:rPr>
            </w:pPr>
            <w:hyperlink r:id="rId67">
              <w:r>
                <w:rPr>
                  <w:rFonts w:ascii="Times New Roman" w:cs="Times New Roman" w:eastAsia="Times New Roman" w:hAnsi="Times New Roman"/>
                  <w:sz w:val="12"/>
                  <w:szCs w:val="12"/>
                  <w:color w:val="0000EE"/>
                  <w:w w:val="99"/>
                </w:rPr>
                <w:t>Ltd. and Chan Ho Park (incorporated by reference to our Current Report on Form 8-K filed on March 26, 2024)</w:t>
              </w:r>
            </w:hyperlink>
          </w:p>
        </w:tc>
        <w:tc>
          <w:tcPr>
            <w:tcW w:w="1140" w:type="dxa"/>
            <w:vAlign w:val="bottom"/>
            <w:gridSpan w:val="6"/>
          </w:tcPr>
          <w:p>
            <w:pPr>
              <w:spacing w:after="0"/>
              <w:rPr>
                <w:sz w:val="10"/>
                <w:szCs w:val="10"/>
                <w:color w:val="auto"/>
              </w:rPr>
            </w:pPr>
          </w:p>
        </w:tc>
      </w:tr>
      <w:tr>
        <w:trPr>
          <w:trHeight w:val="196"/>
        </w:trPr>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10.2</w:t>
            </w:r>
            <w:r>
              <w:rPr>
                <w:rFonts w:ascii="Times New Roman" w:cs="Times New Roman" w:eastAsia="Times New Roman" w:hAnsi="Times New Roman"/>
                <w:sz w:val="14"/>
                <w:szCs w:val="14"/>
                <w:color w:val="auto"/>
                <w:vertAlign w:val="superscript"/>
              </w:rPr>
              <w:t>#</w:t>
            </w:r>
          </w:p>
        </w:tc>
        <w:tc>
          <w:tcPr>
            <w:tcW w:w="360" w:type="dxa"/>
            <w:vAlign w:val="bottom"/>
          </w:tcPr>
          <w:p>
            <w:pPr>
              <w:spacing w:after="0"/>
              <w:rPr>
                <w:sz w:val="17"/>
                <w:szCs w:val="17"/>
                <w:color w:val="auto"/>
              </w:rPr>
            </w:pPr>
          </w:p>
        </w:tc>
        <w:tc>
          <w:tcPr>
            <w:tcW w:w="63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2"/>
                <w:szCs w:val="12"/>
                <w:color w:val="0000EE"/>
                <w:w w:val="99"/>
              </w:rPr>
              <w:t>Standard Credit Agreement, dated as of March 26, 2024, by and between Magnachip Semiconductor, Ltd. and Korea Development</w:t>
            </w:r>
          </w:p>
        </w:tc>
        <w:tc>
          <w:tcPr>
            <w:tcW w:w="220" w:type="dxa"/>
            <w:vAlign w:val="bottom"/>
            <w:gridSpan w:val="3"/>
          </w:tcPr>
          <w:p>
            <w:pPr>
              <w:spacing w:after="0"/>
              <w:rPr>
                <w:sz w:val="17"/>
                <w:szCs w:val="17"/>
                <w:color w:val="auto"/>
              </w:rPr>
            </w:pPr>
          </w:p>
        </w:tc>
      </w:tr>
      <w:tr>
        <w:trPr>
          <w:trHeight w:val="124"/>
        </w:trPr>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7"/>
              </w:rPr>
              <w:t>Bank. (English Translation)</w:t>
            </w:r>
          </w:p>
        </w:tc>
        <w:tc>
          <w:tcPr>
            <w:tcW w:w="5180" w:type="dxa"/>
            <w:vAlign w:val="bottom"/>
            <w:gridSpan w:val="10"/>
          </w:tcPr>
          <w:p>
            <w:pPr>
              <w:spacing w:after="0"/>
              <w:rPr>
                <w:sz w:val="10"/>
                <w:szCs w:val="10"/>
                <w:color w:val="auto"/>
              </w:rPr>
            </w:pPr>
          </w:p>
        </w:tc>
      </w:tr>
      <w:tr>
        <w:trPr>
          <w:trHeight w:val="196"/>
        </w:trPr>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10.3</w:t>
            </w:r>
            <w:r>
              <w:rPr>
                <w:rFonts w:ascii="Times New Roman" w:cs="Times New Roman" w:eastAsia="Times New Roman" w:hAnsi="Times New Roman"/>
                <w:sz w:val="14"/>
                <w:szCs w:val="14"/>
                <w:color w:val="auto"/>
                <w:vertAlign w:val="superscript"/>
              </w:rPr>
              <w:t>#</w:t>
            </w:r>
          </w:p>
        </w:tc>
        <w:tc>
          <w:tcPr>
            <w:tcW w:w="360" w:type="dxa"/>
            <w:vAlign w:val="bottom"/>
          </w:tcPr>
          <w:p>
            <w:pPr>
              <w:spacing w:after="0"/>
              <w:rPr>
                <w:sz w:val="17"/>
                <w:szCs w:val="17"/>
                <w:color w:val="auto"/>
              </w:rPr>
            </w:pPr>
          </w:p>
        </w:tc>
        <w:tc>
          <w:tcPr>
            <w:tcW w:w="6520" w:type="dxa"/>
            <w:vAlign w:val="bottom"/>
            <w:gridSpan w:val="11"/>
          </w:tcPr>
          <w:p>
            <w:pPr>
              <w:spacing w:after="0"/>
              <w:rPr>
                <w:sz w:val="20"/>
                <w:szCs w:val="20"/>
                <w:color w:val="auto"/>
              </w:rPr>
            </w:pPr>
            <w:r>
              <w:rPr>
                <w:rFonts w:ascii="Times New Roman" w:cs="Times New Roman" w:eastAsia="Times New Roman" w:hAnsi="Times New Roman"/>
                <w:sz w:val="12"/>
                <w:szCs w:val="12"/>
                <w:color w:val="0000EE"/>
              </w:rPr>
              <w:t>Kun-Pledge (Mortgage) Agreement, dated as of March 26, 2024, by and between Magnachip Semiconductor, Ltd. and Korea</w:t>
            </w:r>
          </w:p>
        </w:tc>
      </w:tr>
      <w:tr>
        <w:trPr>
          <w:trHeight w:val="124"/>
        </w:trPr>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20" w:type="dxa"/>
            <w:vAlign w:val="bottom"/>
            <w:tcBorders>
              <w:top w:val="single" w:sz="8" w:color="0000EE"/>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9"/>
              </w:rPr>
              <w:t>Development Bank. (English Translation)</w:t>
            </w:r>
          </w:p>
        </w:tc>
        <w:tc>
          <w:tcPr>
            <w:tcW w:w="3980" w:type="dxa"/>
            <w:vAlign w:val="bottom"/>
            <w:tcBorders>
              <w:top w:val="single" w:sz="8" w:color="0000EE"/>
            </w:tcBorders>
            <w:gridSpan w:val="4"/>
          </w:tcPr>
          <w:p>
            <w:pPr>
              <w:spacing w:after="0"/>
              <w:rPr>
                <w:sz w:val="10"/>
                <w:szCs w:val="10"/>
                <w:color w:val="auto"/>
              </w:rPr>
            </w:pPr>
          </w:p>
        </w:tc>
        <w:tc>
          <w:tcPr>
            <w:tcW w:w="520" w:type="dxa"/>
            <w:vAlign w:val="bottom"/>
            <w:gridSpan w:val="5"/>
          </w:tcPr>
          <w:p>
            <w:pPr>
              <w:spacing w:after="0"/>
              <w:rPr>
                <w:sz w:val="10"/>
                <w:szCs w:val="10"/>
                <w:color w:val="auto"/>
              </w:rPr>
            </w:pPr>
          </w:p>
        </w:tc>
      </w:tr>
      <w:tr>
        <w:trPr>
          <w:trHeight w:val="196"/>
        </w:trPr>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31.1</w:t>
            </w:r>
            <w:r>
              <w:rPr>
                <w:rFonts w:ascii="Times New Roman" w:cs="Times New Roman" w:eastAsia="Times New Roman" w:hAnsi="Times New Roman"/>
                <w:sz w:val="14"/>
                <w:szCs w:val="14"/>
                <w:color w:val="auto"/>
                <w:vertAlign w:val="superscript"/>
              </w:rPr>
              <w:t>#</w:t>
            </w:r>
          </w:p>
        </w:tc>
        <w:tc>
          <w:tcPr>
            <w:tcW w:w="360" w:type="dxa"/>
            <w:vAlign w:val="bottom"/>
          </w:tcPr>
          <w:p>
            <w:pPr>
              <w:spacing w:after="0"/>
              <w:rPr>
                <w:sz w:val="17"/>
                <w:szCs w:val="17"/>
                <w:color w:val="auto"/>
              </w:rPr>
            </w:pPr>
          </w:p>
        </w:tc>
        <w:tc>
          <w:tcPr>
            <w:tcW w:w="64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2"/>
                <w:szCs w:val="12"/>
                <w:color w:val="0000EE"/>
                <w:w w:val="99"/>
              </w:rPr>
              <w:t>Certification pursuant to Rule 13a-14(a) or Rule 15d-14(a) of the Securities Exchange Act of 1934 of the Principal Executive Officer.</w:t>
            </w:r>
          </w:p>
        </w:tc>
        <w:tc>
          <w:tcPr>
            <w:tcW w:w="100" w:type="dxa"/>
            <w:vAlign w:val="bottom"/>
          </w:tcPr>
          <w:p>
            <w:pPr>
              <w:spacing w:after="0"/>
              <w:rPr>
                <w:sz w:val="17"/>
                <w:szCs w:val="17"/>
                <w:color w:val="auto"/>
              </w:rPr>
            </w:pPr>
          </w:p>
        </w:tc>
      </w:tr>
      <w:tr>
        <w:trPr>
          <w:trHeight w:val="196"/>
        </w:trPr>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31.2</w:t>
            </w:r>
            <w:r>
              <w:rPr>
                <w:rFonts w:ascii="Times New Roman" w:cs="Times New Roman" w:eastAsia="Times New Roman" w:hAnsi="Times New Roman"/>
                <w:sz w:val="14"/>
                <w:szCs w:val="14"/>
                <w:color w:val="auto"/>
                <w:vertAlign w:val="superscript"/>
              </w:rPr>
              <w:t>#</w:t>
            </w:r>
          </w:p>
        </w:tc>
        <w:tc>
          <w:tcPr>
            <w:tcW w:w="360" w:type="dxa"/>
            <w:vAlign w:val="bottom"/>
          </w:tcPr>
          <w:p>
            <w:pPr>
              <w:spacing w:after="0"/>
              <w:rPr>
                <w:sz w:val="17"/>
                <w:szCs w:val="17"/>
                <w:color w:val="auto"/>
              </w:rPr>
            </w:pPr>
          </w:p>
        </w:tc>
        <w:tc>
          <w:tcPr>
            <w:tcW w:w="63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2"/>
                <w:szCs w:val="12"/>
                <w:color w:val="0000EE"/>
                <w:w w:val="99"/>
              </w:rPr>
              <w:t>Certification pursuant to Rule 13a-14(a) or Rule 15d-14(a) of the Securities Exchange Act of 1934 of the Principal Financial Officer.</w:t>
            </w:r>
          </w:p>
        </w:tc>
        <w:tc>
          <w:tcPr>
            <w:tcW w:w="140" w:type="dxa"/>
            <w:vAlign w:val="bottom"/>
            <w:gridSpan w:val="2"/>
          </w:tcPr>
          <w:p>
            <w:pPr>
              <w:spacing w:after="0"/>
              <w:rPr>
                <w:sz w:val="17"/>
                <w:szCs w:val="17"/>
                <w:color w:val="auto"/>
              </w:rPr>
            </w:pPr>
          </w:p>
        </w:tc>
      </w:tr>
      <w:tr>
        <w:trPr>
          <w:trHeight w:val="196"/>
        </w:trPr>
        <w:tc>
          <w:tcPr>
            <w:tcW w:w="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32.1†</w:t>
            </w:r>
          </w:p>
        </w:tc>
        <w:tc>
          <w:tcPr>
            <w:tcW w:w="61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2"/>
                <w:szCs w:val="12"/>
                <w:color w:val="0000EE"/>
                <w:w w:val="99"/>
              </w:rPr>
              <w:t>Certification pursuant to 18 U.S.C. Section 1350, as adopted pursuant to Section 906 of the Sarbanes-Oxley Act of 2002, of the</w:t>
            </w:r>
          </w:p>
        </w:tc>
        <w:tc>
          <w:tcPr>
            <w:tcW w:w="400" w:type="dxa"/>
            <w:vAlign w:val="bottom"/>
            <w:gridSpan w:val="4"/>
          </w:tcPr>
          <w:p>
            <w:pPr>
              <w:spacing w:after="0"/>
              <w:rPr>
                <w:sz w:val="17"/>
                <w:szCs w:val="17"/>
                <w:color w:val="auto"/>
              </w:rPr>
            </w:pPr>
          </w:p>
        </w:tc>
      </w:tr>
      <w:tr>
        <w:trPr>
          <w:trHeight w:val="124"/>
        </w:trPr>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520" w:type="dxa"/>
            <w:vAlign w:val="bottom"/>
            <w:gridSpan w:val="11"/>
          </w:tcPr>
          <w:p>
            <w:pPr>
              <w:spacing w:after="0" w:line="124" w:lineRule="exact"/>
              <w:rPr>
                <w:sz w:val="20"/>
                <w:szCs w:val="20"/>
                <w:color w:val="auto"/>
              </w:rPr>
            </w:pPr>
            <w:r>
              <w:rPr>
                <w:rFonts w:ascii="Times New Roman" w:cs="Times New Roman" w:eastAsia="Times New Roman" w:hAnsi="Times New Roman"/>
                <w:sz w:val="12"/>
                <w:szCs w:val="12"/>
                <w:color w:val="0000EE"/>
              </w:rPr>
              <w:t>Principal Executive Officer.</w:t>
            </w:r>
          </w:p>
        </w:tc>
      </w:tr>
      <w:tr>
        <w:trPr>
          <w:trHeight w:val="20"/>
        </w:trPr>
        <w:tc>
          <w:tcPr>
            <w:tcW w:w="760" w:type="dxa"/>
            <w:vAlign w:val="bottom"/>
            <w:gridSpan w:val="2"/>
          </w:tcPr>
          <w:p>
            <w:pPr>
              <w:spacing w:after="0" w:line="20" w:lineRule="exact"/>
              <w:rPr>
                <w:sz w:val="1"/>
                <w:szCs w:val="1"/>
                <w:color w:val="auto"/>
              </w:rPr>
            </w:pPr>
          </w:p>
        </w:tc>
        <w:tc>
          <w:tcPr>
            <w:tcW w:w="1340" w:type="dxa"/>
            <w:vAlign w:val="bottom"/>
            <w:tcBorders>
              <w:right w:val="single" w:sz="8" w:color="0000EE"/>
            </w:tcBorders>
            <w:shd w:val="clear" w:color="auto" w:fill="0000EE"/>
          </w:tcPr>
          <w:p>
            <w:pPr>
              <w:spacing w:after="0" w:line="20" w:lineRule="exact"/>
              <w:rPr>
                <w:sz w:val="1"/>
                <w:szCs w:val="1"/>
                <w:color w:val="auto"/>
              </w:rPr>
            </w:pPr>
          </w:p>
        </w:tc>
        <w:tc>
          <w:tcPr>
            <w:tcW w:w="5180" w:type="dxa"/>
            <w:vAlign w:val="bottom"/>
            <w:gridSpan w:val="10"/>
          </w:tcPr>
          <w:p>
            <w:pPr>
              <w:spacing w:after="0" w:line="20" w:lineRule="exact"/>
              <w:rPr>
                <w:sz w:val="1"/>
                <w:szCs w:val="1"/>
                <w:color w:val="auto"/>
              </w:rPr>
            </w:pPr>
          </w:p>
        </w:tc>
      </w:tr>
      <w:tr>
        <w:trPr>
          <w:trHeight w:val="196"/>
        </w:trPr>
        <w:tc>
          <w:tcPr>
            <w:tcW w:w="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32.2†</w:t>
            </w:r>
          </w:p>
        </w:tc>
        <w:tc>
          <w:tcPr>
            <w:tcW w:w="61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2"/>
                <w:szCs w:val="12"/>
                <w:color w:val="0000EE"/>
                <w:w w:val="99"/>
              </w:rPr>
              <w:t>Certification pursuant to 18 U.S.C. Section 1350, as adopted pursuant to Section 906 of the Sarbanes-Oxley Act of 2002, of the</w:t>
            </w:r>
          </w:p>
        </w:tc>
        <w:tc>
          <w:tcPr>
            <w:tcW w:w="400" w:type="dxa"/>
            <w:vAlign w:val="bottom"/>
            <w:gridSpan w:val="4"/>
          </w:tcPr>
          <w:p>
            <w:pPr>
              <w:spacing w:after="0"/>
              <w:rPr>
                <w:sz w:val="17"/>
                <w:szCs w:val="17"/>
                <w:color w:val="auto"/>
              </w:rPr>
            </w:pPr>
          </w:p>
        </w:tc>
      </w:tr>
      <w:tr>
        <w:trPr>
          <w:trHeight w:val="124"/>
        </w:trPr>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8"/>
              </w:rPr>
              <w:t>Principal Financial Officer.</w:t>
            </w:r>
          </w:p>
        </w:tc>
        <w:tc>
          <w:tcPr>
            <w:tcW w:w="5180" w:type="dxa"/>
            <w:vAlign w:val="bottom"/>
            <w:gridSpan w:val="10"/>
          </w:tcPr>
          <w:p>
            <w:pPr>
              <w:spacing w:after="0"/>
              <w:rPr>
                <w:sz w:val="10"/>
                <w:szCs w:val="10"/>
                <w:color w:val="auto"/>
              </w:rPr>
            </w:pPr>
          </w:p>
        </w:tc>
      </w:tr>
      <w:tr>
        <w:trPr>
          <w:trHeight w:val="264"/>
        </w:trPr>
        <w:tc>
          <w:tcPr>
            <w:tcW w:w="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101.INS</w:t>
            </w:r>
            <w:r>
              <w:rPr>
                <w:rFonts w:ascii="Times New Roman" w:cs="Times New Roman" w:eastAsia="Times New Roman" w:hAnsi="Times New Roman"/>
                <w:sz w:val="14"/>
                <w:szCs w:val="14"/>
                <w:color w:val="auto"/>
                <w:vertAlign w:val="superscript"/>
              </w:rPr>
              <w:t>#</w:t>
            </w:r>
          </w:p>
        </w:tc>
        <w:tc>
          <w:tcPr>
            <w:tcW w:w="652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Inline XBRL Instance Document.</w:t>
            </w:r>
          </w:p>
        </w:tc>
      </w:tr>
      <w:tr>
        <w:trPr>
          <w:trHeight w:val="216"/>
        </w:trPr>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w w:val="97"/>
              </w:rPr>
              <w:t>101.SCH</w:t>
            </w:r>
            <w:r>
              <w:rPr>
                <w:rFonts w:ascii="Times New Roman" w:cs="Times New Roman" w:eastAsia="Times New Roman" w:hAnsi="Times New Roman"/>
                <w:sz w:val="14"/>
                <w:szCs w:val="14"/>
                <w:color w:val="auto"/>
                <w:w w:val="97"/>
                <w:vertAlign w:val="superscript"/>
              </w:rPr>
              <w:t>#</w:t>
            </w:r>
          </w:p>
        </w:tc>
        <w:tc>
          <w:tcPr>
            <w:tcW w:w="652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r>
      <w:tr>
        <w:trPr>
          <w:trHeight w:val="216"/>
        </w:trPr>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w w:val="96"/>
              </w:rPr>
              <w:t>101.CAL</w:t>
            </w:r>
            <w:r>
              <w:rPr>
                <w:rFonts w:ascii="Times New Roman" w:cs="Times New Roman" w:eastAsia="Times New Roman" w:hAnsi="Times New Roman"/>
                <w:sz w:val="14"/>
                <w:szCs w:val="14"/>
                <w:color w:val="auto"/>
                <w:w w:val="96"/>
                <w:vertAlign w:val="superscript"/>
              </w:rPr>
              <w:t>#</w:t>
            </w:r>
          </w:p>
        </w:tc>
        <w:tc>
          <w:tcPr>
            <w:tcW w:w="652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r>
      <w:tr>
        <w:trPr>
          <w:trHeight w:val="216"/>
        </w:trPr>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w w:val="95"/>
              </w:rPr>
              <w:t>101.DEF</w:t>
            </w:r>
            <w:r>
              <w:rPr>
                <w:rFonts w:ascii="Times New Roman" w:cs="Times New Roman" w:eastAsia="Times New Roman" w:hAnsi="Times New Roman"/>
                <w:sz w:val="14"/>
                <w:szCs w:val="14"/>
                <w:color w:val="auto"/>
                <w:w w:val="95"/>
                <w:vertAlign w:val="superscript"/>
              </w:rPr>
              <w:t>#</w:t>
            </w:r>
          </w:p>
        </w:tc>
        <w:tc>
          <w:tcPr>
            <w:tcW w:w="652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r>
      <w:tr>
        <w:trPr>
          <w:trHeight w:val="216"/>
        </w:trPr>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w w:val="96"/>
              </w:rPr>
              <w:t>101.LAB</w:t>
            </w:r>
            <w:r>
              <w:rPr>
                <w:rFonts w:ascii="Times New Roman" w:cs="Times New Roman" w:eastAsia="Times New Roman" w:hAnsi="Times New Roman"/>
                <w:sz w:val="14"/>
                <w:szCs w:val="14"/>
                <w:color w:val="auto"/>
                <w:w w:val="96"/>
                <w:vertAlign w:val="superscript"/>
              </w:rPr>
              <w:t>#</w:t>
            </w:r>
          </w:p>
        </w:tc>
        <w:tc>
          <w:tcPr>
            <w:tcW w:w="652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Inline XBRL Taxonomy Extension Label Linkbase Document.</w:t>
            </w:r>
          </w:p>
        </w:tc>
      </w:tr>
      <w:tr>
        <w:trPr>
          <w:trHeight w:val="216"/>
        </w:trPr>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w w:val="96"/>
              </w:rPr>
              <w:t>101.PRE</w:t>
            </w:r>
            <w:r>
              <w:rPr>
                <w:rFonts w:ascii="Times New Roman" w:cs="Times New Roman" w:eastAsia="Times New Roman" w:hAnsi="Times New Roman"/>
                <w:sz w:val="14"/>
                <w:szCs w:val="14"/>
                <w:color w:val="auto"/>
                <w:w w:val="96"/>
                <w:vertAlign w:val="superscript"/>
              </w:rPr>
              <w:t>#</w:t>
            </w:r>
          </w:p>
        </w:tc>
        <w:tc>
          <w:tcPr>
            <w:tcW w:w="652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r>
      <w:tr>
        <w:trPr>
          <w:trHeight w:val="175"/>
        </w:trPr>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360" w:type="dxa"/>
            <w:vAlign w:val="bottom"/>
          </w:tcPr>
          <w:p>
            <w:pPr>
              <w:spacing w:after="0"/>
              <w:rPr>
                <w:sz w:val="15"/>
                <w:szCs w:val="15"/>
                <w:color w:val="auto"/>
              </w:rPr>
            </w:pPr>
          </w:p>
        </w:tc>
        <w:tc>
          <w:tcPr>
            <w:tcW w:w="652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31380" cy="41275"/>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12"/>
          <w:szCs w:val="12"/>
          <w:color w:val="auto"/>
        </w:rPr>
        <w:t>Footnotes:</w:t>
      </w:r>
    </w:p>
    <w:p>
      <w:pPr>
        <w:spacing w:after="0" w:line="35" w:lineRule="exact"/>
        <w:rPr>
          <w:sz w:val="20"/>
          <w:szCs w:val="20"/>
          <w:color w:val="auto"/>
        </w:rPr>
      </w:pPr>
    </w:p>
    <w:p>
      <w:pPr>
        <w:ind w:left="1120" w:hanging="288"/>
        <w:spacing w:after="0"/>
        <w:tabs>
          <w:tab w:leader="none" w:pos="112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Filed herewith</w:t>
      </w:r>
    </w:p>
    <w:p>
      <w:pPr>
        <w:spacing w:after="0" w:line="1" w:lineRule="exact"/>
        <w:rPr>
          <w:sz w:val="20"/>
          <w:szCs w:val="20"/>
          <w:color w:val="auto"/>
        </w:rPr>
      </w:pPr>
    </w:p>
    <w:p>
      <w:pPr>
        <w:ind w:left="1120" w:hanging="288"/>
        <w:spacing w:after="0"/>
        <w:tabs>
          <w:tab w:leader="none" w:pos="11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Furnished herewith</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48</w:t>
      </w:r>
    </w:p>
    <w:p>
      <w:pPr>
        <w:sectPr>
          <w:pgSz w:w="11900" w:h="16838" w:orient="portrait"/>
          <w:cols w:equalWidth="0" w:num="1">
            <w:col w:w="9019"/>
          </w:cols>
          <w:pgMar w:left="1440" w:top="242"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31380" cy="412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MAGNACHIP SEMICONDUCTOR CORPORATION</w:t>
      </w:r>
    </w:p>
    <w:p>
      <w:pPr>
        <w:spacing w:after="0" w:line="1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(Registrant)</w:t>
      </w:r>
    </w:p>
    <w:p>
      <w:pPr>
        <w:spacing w:after="0" w:line="148" w:lineRule="exact"/>
        <w:rPr>
          <w:sz w:val="20"/>
          <w:szCs w:val="20"/>
          <w:color w:val="auto"/>
        </w:rPr>
      </w:pPr>
    </w:p>
    <w:p>
      <w:pPr>
        <w:ind w:left="840"/>
        <w:spacing w:after="0"/>
        <w:tabs>
          <w:tab w:leader="none" w:pos="4560" w:val="left"/>
          <w:tab w:leader="none" w:pos="4860" w:val="left"/>
        </w:tabs>
        <w:rPr>
          <w:sz w:val="20"/>
          <w:szCs w:val="20"/>
          <w:color w:val="auto"/>
        </w:rPr>
      </w:pPr>
      <w:r>
        <w:rPr>
          <w:rFonts w:ascii="Times New Roman" w:cs="Times New Roman" w:eastAsia="Times New Roman" w:hAnsi="Times New Roman"/>
          <w:sz w:val="12"/>
          <w:szCs w:val="12"/>
          <w:color w:val="auto"/>
        </w:rPr>
        <w:t>Dated: May 10, 2024</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10795</wp:posOffset>
            </wp:positionV>
            <wp:extent cx="209740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Young-Joon Kim</w:t>
      </w:r>
    </w:p>
    <w:p>
      <w:pPr>
        <w:spacing w:after="0" w:line="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148" w:lineRule="exact"/>
        <w:rPr>
          <w:sz w:val="20"/>
          <w:szCs w:val="20"/>
          <w:color w:val="auto"/>
        </w:rPr>
      </w:pPr>
    </w:p>
    <w:p>
      <w:pPr>
        <w:ind w:left="840"/>
        <w:spacing w:after="0"/>
        <w:tabs>
          <w:tab w:leader="none" w:pos="4560" w:val="left"/>
          <w:tab w:leader="none" w:pos="4860" w:val="left"/>
        </w:tabs>
        <w:rPr>
          <w:sz w:val="20"/>
          <w:szCs w:val="20"/>
          <w:color w:val="auto"/>
        </w:rPr>
      </w:pPr>
      <w:r>
        <w:rPr>
          <w:rFonts w:ascii="Times New Roman" w:cs="Times New Roman" w:eastAsia="Times New Roman" w:hAnsi="Times New Roman"/>
          <w:sz w:val="12"/>
          <w:szCs w:val="12"/>
          <w:color w:val="auto"/>
        </w:rPr>
        <w:t>Dated: May 10, 2024</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10795</wp:posOffset>
            </wp:positionV>
            <wp:extent cx="209740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Shin Young Park</w:t>
      </w:r>
    </w:p>
    <w:p>
      <w:pPr>
        <w:spacing w:after="0" w:line="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1"/>
          <w:szCs w:val="11"/>
          <w:color w:val="auto"/>
        </w:rPr>
        <w:t>(Principal Financial Officer and Principal Accounting Officer)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49</w:t>
      </w:r>
    </w:p>
    <w:p>
      <w:pPr>
        <w:sectPr>
          <w:pgSz w:w="11900" w:h="16838" w:orient="portrait"/>
          <w:cols w:equalWidth="0" w:num="1">
            <w:col w:w="9019"/>
          </w:cols>
          <w:pgMar w:left="1440" w:top="242" w:right="1440" w:bottom="1440" w:gutter="0" w:footer="0" w:header="0"/>
        </w:sectPr>
      </w:pPr>
    </w:p>
    <w:bookmarkStart w:id="49" w:name="page50"/>
    <w:bookmarkEnd w:id="49"/>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10.2</w:t>
      </w:r>
    </w:p>
    <w:p>
      <w:pPr>
        <w:spacing w:after="0" w:line="152"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t>[English Translation]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 signatures of the bank’s team member, team manager and deputy general manager of KDB</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Loan Agreement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March 26, 2024</w:t>
      </w:r>
    </w:p>
    <w:p>
      <w:pPr>
        <w:spacing w:after="0" w:line="150" w:lineRule="exact"/>
        <w:rPr>
          <w:sz w:val="20"/>
          <w:szCs w:val="20"/>
          <w:color w:val="auto"/>
        </w:rPr>
      </w:pPr>
    </w:p>
    <w:p>
      <w:pPr>
        <w:ind w:left="840" w:right="999"/>
        <w:spacing w:after="0" w:line="268" w:lineRule="auto"/>
        <w:rPr>
          <w:sz w:val="20"/>
          <w:szCs w:val="20"/>
          <w:color w:val="auto"/>
        </w:rPr>
      </w:pPr>
      <w:r>
        <w:rPr>
          <w:rFonts w:ascii="Times New Roman" w:cs="Times New Roman" w:eastAsia="Times New Roman" w:hAnsi="Times New Roman"/>
          <w:sz w:val="12"/>
          <w:szCs w:val="12"/>
          <w:color w:val="auto"/>
        </w:rPr>
        <w:t>The Bank shall explain the important contents of this loan agreement (the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to the parties involved in the Agreement and deliver all contract documents, including the Bank’s General Terms and Conditions for Credit Transactions (for corporations), a copy of this Agreement, and the corporate loan product description.</w:t>
      </w:r>
    </w:p>
    <w:p>
      <w:pPr>
        <w:sectPr>
          <w:pgSz w:w="11900" w:h="16838" w:orient="portrait"/>
          <w:cols w:equalWidth="0" w:num="1">
            <w:col w:w="9019"/>
          </w:cols>
          <w:pgMar w:left="1440" w:top="125" w:right="1440" w:bottom="1440" w:gutter="0" w:footer="0" w:header="0"/>
        </w:sectPr>
      </w:pPr>
    </w:p>
    <w:p>
      <w:pPr>
        <w:spacing w:after="0" w:line="18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TO THE KOREA DEVELOPMENT BANK (“KDB”)</w:t>
      </w:r>
    </w:p>
    <w:p>
      <w:pPr>
        <w:spacing w:after="0" w:line="172" w:lineRule="exact"/>
        <w:rPr>
          <w:sz w:val="20"/>
          <w:szCs w:val="20"/>
          <w:color w:val="auto"/>
        </w:rPr>
      </w:pPr>
    </w:p>
    <w:p>
      <w:pPr>
        <w:ind w:left="1080" w:right="40" w:hanging="239"/>
        <w:spacing w:after="0" w:line="257" w:lineRule="auto"/>
        <w:rPr>
          <w:sz w:val="20"/>
          <w:szCs w:val="20"/>
          <w:color w:val="auto"/>
        </w:rPr>
      </w:pPr>
      <w:r>
        <w:rPr>
          <w:rFonts w:ascii="Times New Roman" w:cs="Times New Roman" w:eastAsia="Times New Roman" w:hAnsi="Times New Roman"/>
          <w:sz w:val="12"/>
          <w:szCs w:val="12"/>
          <w:color w:val="auto"/>
        </w:rPr>
        <w:t>1.   The undersigned and the joint guarantor will borrow up to the amount set forth in the foregoing from the Korea Development Bank (the “</w:t>
      </w:r>
      <w:r>
        <w:rPr>
          <w:rFonts w:ascii="Times New Roman" w:cs="Times New Roman" w:eastAsia="Times New Roman" w:hAnsi="Times New Roman"/>
          <w:sz w:val="12"/>
          <w:szCs w:val="12"/>
          <w:b w:val="1"/>
          <w:bCs w:val="1"/>
          <w:color w:val="auto"/>
        </w:rPr>
        <w:t>Bank</w:t>
      </w:r>
      <w:r>
        <w:rPr>
          <w:rFonts w:ascii="Times New Roman" w:cs="Times New Roman" w:eastAsia="Times New Roman" w:hAnsi="Times New Roman"/>
          <w:sz w:val="12"/>
          <w:szCs w:val="12"/>
          <w:color w:val="auto"/>
        </w:rPr>
        <w:t>”), and agrees to faithfully carry out the provisions of the General Terms and Conditions for Credit Transactions (as amended or supplemented by the Bank from time to time) and this Agreement.</w:t>
      </w:r>
    </w:p>
    <w:p>
      <w:pPr>
        <w:spacing w:after="0" w:line="62" w:lineRule="exact"/>
        <w:rPr>
          <w:sz w:val="20"/>
          <w:szCs w:val="20"/>
          <w:color w:val="auto"/>
        </w:rPr>
      </w:pPr>
    </w:p>
    <w:p>
      <w:pPr>
        <w:ind w:left="1080" w:hanging="239"/>
        <w:spacing w:after="0" w:line="255" w:lineRule="auto"/>
        <w:rPr>
          <w:sz w:val="20"/>
          <w:szCs w:val="20"/>
          <w:color w:val="auto"/>
        </w:rPr>
      </w:pPr>
      <w:r>
        <w:rPr>
          <w:rFonts w:ascii="Times New Roman" w:cs="Times New Roman" w:eastAsia="Times New Roman" w:hAnsi="Times New Roman"/>
          <w:sz w:val="12"/>
          <w:szCs w:val="12"/>
          <w:color w:val="auto"/>
        </w:rPr>
        <w:t>2.   The undersigned and the joint guarantor have firmly received “all contract documents, including the general terms and conditions, a copy of this agreement, and the corporate loan product description,” and have heard and understood the main contents sufficiently. In addition, the joint guarantor has received sufficient explanation and understands debt status, delinquency status, credit management target information, etc. of the undersigned (the borrower).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spacing w:after="0" w:line="327" w:lineRule="auto"/>
        <w:rPr>
          <w:sz w:val="20"/>
          <w:szCs w:val="20"/>
          <w:color w:val="auto"/>
        </w:rPr>
      </w:pPr>
      <w:r>
        <w:rPr>
          <w:rFonts w:ascii="Times New Roman" w:cs="Times New Roman" w:eastAsia="Times New Roman" w:hAnsi="Times New Roman"/>
          <w:sz w:val="11"/>
          <w:szCs w:val="11"/>
          <w:color w:val="auto"/>
        </w:rPr>
        <w:t>Address of the undersigned</w:t>
      </w:r>
    </w:p>
    <w:p>
      <w:pPr>
        <w:spacing w:after="0" w:line="200" w:lineRule="exact"/>
        <w:rPr>
          <w:sz w:val="20"/>
          <w:szCs w:val="20"/>
          <w:color w:val="auto"/>
        </w:rPr>
      </w:pPr>
    </w:p>
    <w:p>
      <w:pPr>
        <w:spacing w:after="0" w:line="22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Address of the joint guarantor</w:t>
      </w:r>
    </w:p>
    <w:p>
      <w:pPr>
        <w:spacing w:after="0" w:line="4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Address of the joint guarantor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right="1159"/>
        <w:spacing w:after="0" w:line="256" w:lineRule="auto"/>
        <w:rPr>
          <w:sz w:val="20"/>
          <w:szCs w:val="20"/>
          <w:color w:val="auto"/>
        </w:rPr>
      </w:pPr>
      <w:r>
        <w:rPr>
          <w:rFonts w:ascii="Times New Roman" w:cs="Times New Roman" w:eastAsia="Times New Roman" w:hAnsi="Times New Roman"/>
          <w:sz w:val="12"/>
          <w:szCs w:val="12"/>
          <w:color w:val="auto"/>
        </w:rPr>
        <w:t>Magnachip Semiconductor, Ltd. 76 Jikji-daero 436beon-gil, Heungdeok-gu, Cheongju-si, Chungcheongbuk-do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Representative Director: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/s/Young-Joon Kim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[corporate seal stamped]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(seal)</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(seal)</w:t>
      </w:r>
    </w:p>
    <w:p>
      <w:pPr>
        <w:spacing w:after="0" w:line="238" w:lineRule="exact"/>
        <w:rPr>
          <w:sz w:val="20"/>
          <w:szCs w:val="20"/>
          <w:color w:val="auto"/>
        </w:rPr>
      </w:pPr>
    </w:p>
    <w:p>
      <w:pPr>
        <w:sectPr>
          <w:pgSz w:w="11900" w:h="16838" w:orient="portrait"/>
          <w:cols w:equalWidth="0" w:num="3">
            <w:col w:w="4480" w:space="100"/>
            <w:col w:w="720" w:space="320"/>
            <w:col w:w="3399"/>
          </w:cols>
          <w:pgMar w:left="1440" w:top="125" w:right="1440" w:bottom="1440" w:gutter="0" w:footer="0" w:header="0"/>
          <w:type w:val="continuous"/>
        </w:sectPr>
      </w:pPr>
    </w:p>
    <w:p>
      <w:pPr>
        <w:spacing w:after="0" w:line="6"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1</w:t>
      </w:r>
      <w:r>
        <w:rPr>
          <w:sz w:val="20"/>
          <w:szCs w:val="20"/>
          <w:color w:val="auto"/>
        </w:rPr>
        <w:tab/>
      </w:r>
      <w:r>
        <w:rPr>
          <w:rFonts w:ascii="Times New Roman" w:cs="Times New Roman" w:eastAsia="Times New Roman" w:hAnsi="Times New Roman"/>
          <w:sz w:val="12"/>
          <w:szCs w:val="12"/>
          <w:b w:val="1"/>
          <w:bCs w:val="1"/>
          <w:color w:val="auto"/>
        </w:rPr>
        <w:t>Confirmation of Loan Amount</w:t>
      </w:r>
    </w:p>
    <w:p>
      <w:pPr>
        <w:spacing w:after="0" w:line="82" w:lineRule="exact"/>
        <w:rPr>
          <w:sz w:val="20"/>
          <w:szCs w:val="20"/>
          <w:color w:val="auto"/>
        </w:rPr>
      </w:pPr>
    </w:p>
    <w:p>
      <w:pPr>
        <w:ind w:left="840" w:right="959"/>
        <w:spacing w:after="0" w:line="260" w:lineRule="auto"/>
        <w:rPr>
          <w:sz w:val="20"/>
          <w:szCs w:val="20"/>
          <w:color w:val="auto"/>
        </w:rPr>
      </w:pPr>
      <w:r>
        <w:rPr>
          <w:rFonts w:ascii="Times New Roman" w:cs="Times New Roman" w:eastAsia="Times New Roman" w:hAnsi="Times New Roman"/>
          <w:sz w:val="12"/>
          <w:szCs w:val="12"/>
          <w:color w:val="auto"/>
        </w:rPr>
        <w:t>The total amount of the loan, the sum amount based on the Obligor’s repayment plan, receipts and other methods, made available from the Bank to the Obligor shall be confirmed at the time of initial disbursement of the loan (in case of lump sum disbursement per each accounts) or at the time of final disbursement of the loan (in case of multiple disbursements) in accordance with the following criteria by referring to the repayment schedule, receipts, etc.:</w:t>
      </w:r>
    </w:p>
    <w:p>
      <w:pPr>
        <w:spacing w:after="0" w:line="140" w:lineRule="exact"/>
        <w:rPr>
          <w:sz w:val="20"/>
          <w:szCs w:val="20"/>
          <w:color w:val="auto"/>
        </w:rPr>
      </w:pPr>
    </w:p>
    <w:tbl>
      <w:tblPr>
        <w:tblLayout w:type="fixed"/>
        <w:tblInd w:w="840" w:type="dxa"/>
        <w:tblCellMar>
          <w:top w:w="0" w:type="dxa"/>
          <w:left w:w="0" w:type="dxa"/>
          <w:bottom w:w="0" w:type="dxa"/>
          <w:right w:w="0" w:type="dxa"/>
        </w:tblCellMar>
      </w:tblPr>
      <w:tr>
        <w:trPr>
          <w:trHeight w:val="155"/>
        </w:trPr>
        <w:tc>
          <w:tcPr>
            <w:tcW w:w="2360" w:type="dxa"/>
            <w:vAlign w:val="bottom"/>
          </w:tcPr>
          <w:p>
            <w:pPr>
              <w:spacing w:after="0"/>
              <w:rPr>
                <w:sz w:val="20"/>
                <w:szCs w:val="20"/>
                <w:color w:val="auto"/>
              </w:rPr>
            </w:pPr>
            <w:r>
              <w:rPr>
                <w:rFonts w:ascii="Times New Roman" w:cs="Times New Roman" w:eastAsia="Times New Roman" w:hAnsi="Times New Roman"/>
                <w:sz w:val="12"/>
                <w:szCs w:val="12"/>
                <w:color w:val="auto"/>
              </w:rPr>
              <w:t>KRW Loan</w:t>
            </w:r>
          </w:p>
        </w:tc>
        <w:tc>
          <w:tcPr>
            <w:tcW w:w="2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KRW40,000,000,000-</w:t>
            </w:r>
          </w:p>
        </w:tc>
        <w:tc>
          <w:tcPr>
            <w:tcW w:w="288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A sum of disbursed amount in KRW.</w:t>
            </w:r>
          </w:p>
        </w:tc>
      </w:tr>
      <w:tr>
        <w:trPr>
          <w:trHeight w:val="205"/>
        </w:trPr>
        <w:tc>
          <w:tcPr>
            <w:tcW w:w="236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Currency-denominated KRW Loan</w:t>
            </w:r>
          </w:p>
        </w:tc>
        <w:tc>
          <w:tcPr>
            <w:tcW w:w="2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KRW-.</w:t>
            </w:r>
          </w:p>
        </w:tc>
        <w:tc>
          <w:tcPr>
            <w:tcW w:w="288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A sum of disbursed amount denominated in</w:t>
            </w:r>
          </w:p>
        </w:tc>
      </w:tr>
      <w:tr>
        <w:trPr>
          <w:trHeight w:val="144"/>
        </w:trPr>
        <w:tc>
          <w:tcPr>
            <w:tcW w:w="2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880" w:type="dxa"/>
            <w:vAlign w:val="bottom"/>
          </w:tcPr>
          <w:p>
            <w:pPr>
              <w:ind w:left="680"/>
              <w:spacing w:after="0"/>
              <w:rPr>
                <w:sz w:val="20"/>
                <w:szCs w:val="20"/>
                <w:color w:val="auto"/>
              </w:rPr>
            </w:pPr>
            <w:r>
              <w:rPr>
                <w:rFonts w:ascii="Times New Roman" w:cs="Times New Roman" w:eastAsia="Times New Roman" w:hAnsi="Times New Roman"/>
                <w:sz w:val="12"/>
                <w:szCs w:val="12"/>
                <w:color w:val="auto"/>
                <w:w w:val="98"/>
              </w:rPr>
              <w:t>foreign currency exchanged from KRW at the</w:t>
            </w:r>
          </w:p>
        </w:tc>
      </w:tr>
      <w:tr>
        <w:trPr>
          <w:trHeight w:val="144"/>
        </w:trPr>
        <w:tc>
          <w:tcPr>
            <w:tcW w:w="2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88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current basic rate of exchange on the date of</w:t>
            </w:r>
          </w:p>
        </w:tc>
      </w:tr>
      <w:tr>
        <w:trPr>
          <w:trHeight w:val="155"/>
        </w:trPr>
        <w:tc>
          <w:tcPr>
            <w:tcW w:w="23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8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disbursement.</w:t>
            </w:r>
          </w:p>
        </w:tc>
      </w:tr>
      <w:tr>
        <w:trPr>
          <w:trHeight w:val="205"/>
        </w:trPr>
        <w:tc>
          <w:tcPr>
            <w:tcW w:w="236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Loan</w:t>
            </w:r>
          </w:p>
        </w:tc>
        <w:tc>
          <w:tcPr>
            <w:tcW w:w="2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KRW-.</w:t>
            </w:r>
          </w:p>
        </w:tc>
        <w:tc>
          <w:tcPr>
            <w:tcW w:w="288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A sum of disbursed amount in foreign</w:t>
            </w:r>
          </w:p>
        </w:tc>
      </w:tr>
      <w:tr>
        <w:trPr>
          <w:trHeight w:val="155"/>
        </w:trPr>
        <w:tc>
          <w:tcPr>
            <w:tcW w:w="23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8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currency.</w:t>
            </w:r>
          </w:p>
        </w:tc>
      </w:tr>
    </w:tbl>
    <w:p>
      <w:pPr>
        <w:sectPr>
          <w:pgSz w:w="11900" w:h="16838" w:orient="portrait"/>
          <w:cols w:equalWidth="0" w:num="1">
            <w:col w:w="9019"/>
          </w:cols>
          <w:pgMar w:left="1440" w:top="125" w:right="1440" w:bottom="1440" w:gutter="0" w:footer="0" w:header="0"/>
          <w:type w:val="continuous"/>
        </w:sectPr>
      </w:pPr>
    </w:p>
    <w:bookmarkStart w:id="50" w:name="page51"/>
    <w:bookmarkEnd w:id="50"/>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3"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2</w:t>
      </w:r>
      <w:r>
        <w:rPr>
          <w:sz w:val="20"/>
          <w:szCs w:val="20"/>
          <w:color w:val="auto"/>
        </w:rPr>
        <w:tab/>
      </w:r>
      <w:r>
        <w:rPr>
          <w:rFonts w:ascii="Times New Roman" w:cs="Times New Roman" w:eastAsia="Times New Roman" w:hAnsi="Times New Roman"/>
          <w:sz w:val="12"/>
          <w:szCs w:val="12"/>
          <w:b w:val="1"/>
          <w:bCs w:val="1"/>
          <w:color w:val="auto"/>
        </w:rPr>
        <w:t>Repayment Terms</w:t>
      </w:r>
    </w:p>
    <w:p>
      <w:pPr>
        <w:spacing w:after="0" w:line="82" w:lineRule="exact"/>
        <w:rPr>
          <w:sz w:val="20"/>
          <w:szCs w:val="20"/>
          <w:color w:val="auto"/>
        </w:rPr>
      </w:pPr>
    </w:p>
    <w:p>
      <w:pPr>
        <w:ind w:left="840" w:right="859"/>
        <w:spacing w:after="0" w:line="159" w:lineRule="exact"/>
        <w:rPr>
          <w:sz w:val="20"/>
          <w:szCs w:val="20"/>
          <w:color w:val="auto"/>
        </w:rPr>
      </w:pPr>
      <w:r>
        <w:rPr>
          <w:rFonts w:ascii="Times New Roman" w:cs="Times New Roman" w:eastAsia="Times New Roman" w:hAnsi="Times New Roman"/>
          <w:sz w:val="12"/>
          <w:szCs w:val="12"/>
          <w:color w:val="auto"/>
        </w:rPr>
        <w:t>The below repayment terms shall apply. The Obligor shall choose one of the following options for repayment of the principal and the interest of the loan by checking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in the applicable box.</w:t>
      </w:r>
    </w:p>
    <w:p>
      <w:pPr>
        <w:sectPr>
          <w:pgSz w:w="11900" w:h="16838" w:orient="portrait"/>
          <w:cols w:equalWidth="0" w:num="1">
            <w:col w:w="9019"/>
          </w:cols>
          <w:pgMar w:left="1440" w:top="226" w:right="1440" w:bottom="1440" w:gutter="0" w:footer="0" w:header="0"/>
        </w:sectPr>
      </w:pPr>
    </w:p>
    <w:p>
      <w:pPr>
        <w:spacing w:after="0" w:line="134" w:lineRule="exact"/>
        <w:rPr>
          <w:sz w:val="20"/>
          <w:szCs w:val="20"/>
          <w:color w:val="auto"/>
        </w:rPr>
      </w:pPr>
    </w:p>
    <w:tbl>
      <w:tblPr>
        <w:tblLayout w:type="fixed"/>
        <w:tblInd w:w="840" w:type="dxa"/>
        <w:tblCellMar>
          <w:top w:w="0" w:type="dxa"/>
          <w:left w:w="0" w:type="dxa"/>
          <w:bottom w:w="0" w:type="dxa"/>
          <w:right w:w="0" w:type="dxa"/>
        </w:tblCellMar>
      </w:tblPr>
      <w:tr>
        <w:trPr>
          <w:trHeight w:val="155"/>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Category</w:t>
            </w:r>
          </w:p>
        </w:tc>
        <w:tc>
          <w:tcPr>
            <w:tcW w:w="1300" w:type="dxa"/>
            <w:vAlign w:val="bottom"/>
          </w:tcPr>
          <w:p>
            <w:pPr>
              <w:spacing w:after="0"/>
              <w:rPr>
                <w:sz w:val="13"/>
                <w:szCs w:val="13"/>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2"/>
                <w:szCs w:val="12"/>
                <w:color w:val="auto"/>
              </w:rPr>
              <w:t>Loan 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Account title</w:t>
            </w:r>
          </w:p>
        </w:tc>
        <w:tc>
          <w:tcPr>
            <w:tcW w:w="1300" w:type="dxa"/>
            <w:vAlign w:val="bottom"/>
          </w:tcPr>
          <w:p>
            <w:pPr>
              <w:spacing w:after="0"/>
              <w:rPr>
                <w:sz w:val="18"/>
                <w:szCs w:val="18"/>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2"/>
                <w:szCs w:val="12"/>
                <w:color w:val="auto"/>
              </w:rPr>
              <w:t>Corporate working capital term loan</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Loan Amount</w:t>
            </w:r>
          </w:p>
        </w:tc>
        <w:tc>
          <w:tcPr>
            <w:tcW w:w="1300" w:type="dxa"/>
            <w:vAlign w:val="bottom"/>
          </w:tcPr>
          <w:p>
            <w:pPr>
              <w:spacing w:after="0"/>
              <w:rPr>
                <w:sz w:val="18"/>
                <w:szCs w:val="18"/>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2"/>
                <w:szCs w:val="12"/>
                <w:color w:val="auto"/>
              </w:rPr>
              <w:t>KRW40,000,000,000-</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Maturity</w:t>
            </w:r>
          </w:p>
        </w:tc>
        <w:tc>
          <w:tcPr>
            <w:tcW w:w="1300" w:type="dxa"/>
            <w:vAlign w:val="bottom"/>
          </w:tcPr>
          <w:p>
            <w:pPr>
              <w:spacing w:after="0"/>
              <w:rPr>
                <w:sz w:val="18"/>
                <w:szCs w:val="18"/>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2"/>
                <w:szCs w:val="12"/>
                <w:color w:val="auto"/>
                <w:w w:val="99"/>
              </w:rPr>
              <w:t>3 years from the first drawdown date of the loan</w:t>
            </w:r>
          </w:p>
        </w:tc>
      </w:tr>
      <w:tr>
        <w:trPr>
          <w:trHeight w:val="349"/>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Repayment</w:t>
            </w:r>
          </w:p>
        </w:tc>
        <w:tc>
          <w:tcPr>
            <w:tcW w:w="13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Principal</w:t>
            </w:r>
          </w:p>
        </w:tc>
        <w:tc>
          <w:tcPr>
            <w:tcW w:w="2640" w:type="dxa"/>
            <w:vAlign w:val="bottom"/>
            <w:gridSpan w:val="5"/>
          </w:tcPr>
          <w:p>
            <w:pPr>
              <w:ind w:left="320"/>
              <w:spacing w:after="0" w:line="138" w:lineRule="exact"/>
              <w:rPr>
                <w:sz w:val="20"/>
                <w:szCs w:val="20"/>
                <w:color w:val="auto"/>
              </w:rPr>
            </w:pPr>
            <w:r>
              <w:rPr>
                <w:rFonts w:ascii="Times New Roman" w:cs="Times New Roman" w:eastAsia="Times New Roman" w:hAnsi="Times New Roman"/>
                <w:sz w:val="12"/>
                <w:szCs w:val="12"/>
                <w:color w:val="auto"/>
              </w:rPr>
              <w: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Repayment in a lump sum at its maturity</w:t>
            </w:r>
          </w:p>
        </w:tc>
      </w:tr>
      <w:tr>
        <w:trPr>
          <w:trHeight w:val="155"/>
        </w:trPr>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2"/>
                <w:szCs w:val="12"/>
                <w:color w:val="auto"/>
              </w:rPr>
              <w:t>[   ] Repayment in installments</w:t>
            </w:r>
          </w:p>
        </w:tc>
      </w:tr>
      <w:tr>
        <w:trPr>
          <w:trHeight w:val="189"/>
        </w:trPr>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2"/>
                <w:szCs w:val="12"/>
                <w:color w:val="auto"/>
              </w:rPr>
              <w:t>- Grace period:</w:t>
            </w:r>
          </w:p>
        </w:tc>
      </w:tr>
      <w:tr>
        <w:trPr>
          <w:trHeight w:val="189"/>
        </w:trPr>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2"/>
                <w:szCs w:val="12"/>
                <w:color w:val="auto"/>
              </w:rPr>
              <w:t>- Repayment schedule:</w:t>
            </w:r>
          </w:p>
        </w:tc>
      </w:tr>
      <w:tr>
        <w:trPr>
          <w:trHeight w:val="189"/>
        </w:trPr>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2"/>
                <w:szCs w:val="12"/>
                <w:color w:val="auto"/>
              </w:rPr>
              <w:t>- Repayment method:</w:t>
            </w:r>
          </w:p>
        </w:tc>
      </w:tr>
      <w:tr>
        <w:trPr>
          <w:trHeight w:val="214"/>
        </w:trPr>
        <w:tc>
          <w:tcPr>
            <w:tcW w:w="920" w:type="dxa"/>
            <w:vAlign w:val="bottom"/>
          </w:tcPr>
          <w:p>
            <w:pPr>
              <w:spacing w:after="0"/>
              <w:rPr>
                <w:sz w:val="18"/>
                <w:szCs w:val="18"/>
                <w:color w:val="auto"/>
              </w:rPr>
            </w:pPr>
          </w:p>
        </w:tc>
        <w:tc>
          <w:tcPr>
            <w:tcW w:w="13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Agreed interest</w:t>
            </w: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  ] Fixed interest rate (Article 3(2)1 of the</w:t>
            </w:r>
          </w:p>
        </w:tc>
      </w:tr>
      <w:tr>
        <w:trPr>
          <w:trHeight w:val="144"/>
        </w:trPr>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2"/>
                <w:szCs w:val="12"/>
                <w:color w:val="auto"/>
              </w:rPr>
              <w:t>General Terms and Conditions for Credit</w:t>
            </w:r>
          </w:p>
        </w:tc>
      </w:tr>
      <w:tr>
        <w:trPr>
          <w:trHeight w:val="144"/>
        </w:trPr>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2"/>
                <w:szCs w:val="12"/>
                <w:color w:val="auto"/>
              </w:rPr>
              <w:t>Transactions)</w:t>
            </w:r>
          </w:p>
        </w:tc>
      </w:tr>
      <w:tr>
        <w:trPr>
          <w:trHeight w:val="128"/>
        </w:trPr>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40" w:type="dxa"/>
            <w:vAlign w:val="bottom"/>
            <w:gridSpan w:val="5"/>
          </w:tcPr>
          <w:p>
            <w:pPr>
              <w:ind w:left="320"/>
              <w:spacing w:after="0" w:line="128" w:lineRule="exact"/>
              <w:rPr>
                <w:sz w:val="20"/>
                <w:szCs w:val="20"/>
                <w:color w:val="auto"/>
              </w:rPr>
            </w:pPr>
            <w:r>
              <w:rPr>
                <w:rFonts w:ascii="Times New Roman" w:cs="Times New Roman" w:eastAsia="Times New Roman" w:hAnsi="Times New Roman"/>
                <w:sz w:val="12"/>
                <w:szCs w:val="12"/>
                <w:color w:val="auto"/>
                <w:w w:val="98"/>
              </w:rPr>
              <w:t>- the benchmark interest rate       , plus       %</w:t>
            </w:r>
          </w:p>
        </w:tc>
      </w:tr>
      <w:tr>
        <w:trPr>
          <w:trHeight w:val="115"/>
        </w:trPr>
        <w:tc>
          <w:tcPr>
            <w:tcW w:w="9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740" w:type="dxa"/>
            <w:vAlign w:val="bottom"/>
          </w:tcPr>
          <w:p>
            <w:pPr>
              <w:ind w:left="320"/>
              <w:spacing w:after="0" w:line="115" w:lineRule="exact"/>
              <w:rPr>
                <w:sz w:val="20"/>
                <w:szCs w:val="20"/>
                <w:color w:val="auto"/>
              </w:rPr>
            </w:pPr>
            <w:r>
              <w:rPr>
                <w:rFonts w:ascii="Times New Roman" w:cs="Times New Roman" w:eastAsia="Times New Roman" w:hAnsi="Times New Roman"/>
                <w:sz w:val="12"/>
                <w:szCs w:val="12"/>
                <w:color w:val="auto"/>
              </w:rPr>
              <w:t>per annum</w:t>
            </w:r>
          </w:p>
        </w:tc>
        <w:tc>
          <w:tcPr>
            <w:tcW w:w="2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69"/>
        </w:trPr>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40" w:type="dxa"/>
            <w:vAlign w:val="bottom"/>
            <w:gridSpan w:val="5"/>
          </w:tcPr>
          <w:p>
            <w:pPr>
              <w:ind w:left="320"/>
              <w:spacing w:after="0" w:line="138" w:lineRule="exact"/>
              <w:rPr>
                <w:sz w:val="20"/>
                <w:szCs w:val="20"/>
                <w:color w:val="auto"/>
              </w:rPr>
            </w:pPr>
            <w:r>
              <w:rPr>
                <w:rFonts w:ascii="Times New Roman" w:cs="Times New Roman" w:eastAsia="Times New Roman" w:hAnsi="Times New Roman"/>
                <w:sz w:val="12"/>
                <w:szCs w:val="12"/>
                <w:color w:val="auto"/>
              </w:rPr>
              <w: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Floating interest rate (Article 3(2)2 of the</w:t>
            </w:r>
          </w:p>
        </w:tc>
      </w:tr>
      <w:tr>
        <w:trPr>
          <w:trHeight w:val="144"/>
        </w:trPr>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2"/>
                <w:szCs w:val="12"/>
                <w:color w:val="auto"/>
              </w:rPr>
              <w:t>General Terms and Conditions for Credit</w:t>
            </w:r>
          </w:p>
        </w:tc>
      </w:tr>
      <w:tr>
        <w:trPr>
          <w:trHeight w:val="155"/>
        </w:trPr>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2"/>
                <w:szCs w:val="12"/>
                <w:color w:val="auto"/>
              </w:rPr>
              <w:t>Transactions)</w:t>
            </w:r>
          </w:p>
        </w:tc>
      </w:tr>
      <w:tr>
        <w:trPr>
          <w:trHeight w:val="178"/>
        </w:trPr>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2"/>
                <w:szCs w:val="12"/>
                <w:color w:val="auto"/>
              </w:rPr>
              <w:t>- variable rate of 3-month CD rate, plus 1.21%</w:t>
            </w:r>
          </w:p>
        </w:tc>
      </w:tr>
      <w:tr>
        <w:trPr>
          <w:trHeight w:val="155"/>
        </w:trPr>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2"/>
                <w:szCs w:val="12"/>
                <w:color w:val="auto"/>
              </w:rPr>
              <w:t>per annum</w:t>
            </w: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Loan 2</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w w:val="98"/>
              </w:rPr>
              <w:t>      years from the first drawdown date of</w:t>
            </w: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51"/>
        </w:trPr>
        <w:tc>
          <w:tcPr>
            <w:tcW w:w="22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loan</w:t>
            </w:r>
          </w:p>
        </w:tc>
      </w:tr>
      <w:tr>
        <w:trPr>
          <w:trHeight w:val="205"/>
        </w:trPr>
        <w:tc>
          <w:tcPr>
            <w:tcW w:w="10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w w:val="99"/>
              </w:rPr>
              <w:t>] Repayment in a lump sum at its maturity</w:t>
            </w:r>
          </w:p>
        </w:tc>
      </w:tr>
      <w:tr>
        <w:trPr>
          <w:trHeight w:val="155"/>
        </w:trPr>
        <w:tc>
          <w:tcPr>
            <w:tcW w:w="10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Repayment in installments</w:t>
            </w:r>
          </w:p>
        </w:tc>
      </w:tr>
    </w:tbl>
    <w:p>
      <w:pPr>
        <w:ind w:left="80" w:hanging="72"/>
        <w:spacing w:after="0"/>
        <w:tabs>
          <w:tab w:leader="none" w:pos="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Grace period:</w:t>
      </w:r>
    </w:p>
    <w:p>
      <w:pPr>
        <w:spacing w:after="0" w:line="40" w:lineRule="exact"/>
        <w:rPr>
          <w:rFonts w:ascii="Times New Roman" w:cs="Times New Roman" w:eastAsia="Times New Roman" w:hAnsi="Times New Roman"/>
          <w:sz w:val="12"/>
          <w:szCs w:val="12"/>
          <w:color w:val="auto"/>
        </w:rPr>
      </w:pPr>
    </w:p>
    <w:p>
      <w:pPr>
        <w:ind w:left="80" w:hanging="72"/>
        <w:spacing w:after="0"/>
        <w:tabs>
          <w:tab w:leader="none" w:pos="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Repayment schedule:</w:t>
      </w:r>
    </w:p>
    <w:p>
      <w:pPr>
        <w:spacing w:after="0" w:line="51" w:lineRule="exact"/>
        <w:rPr>
          <w:rFonts w:ascii="Times New Roman" w:cs="Times New Roman" w:eastAsia="Times New Roman" w:hAnsi="Times New Roman"/>
          <w:sz w:val="12"/>
          <w:szCs w:val="12"/>
          <w:color w:val="auto"/>
        </w:rPr>
      </w:pPr>
    </w:p>
    <w:p>
      <w:pPr>
        <w:ind w:left="80" w:hanging="72"/>
        <w:spacing w:after="0"/>
        <w:tabs>
          <w:tab w:leader="none" w:pos="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Repayment method:</w:t>
      </w:r>
    </w:p>
    <w:p>
      <w:pPr>
        <w:spacing w:after="0" w:line="132" w:lineRule="exact"/>
        <w:rPr>
          <w:sz w:val="20"/>
          <w:szCs w:val="20"/>
          <w:color w:val="auto"/>
        </w:rPr>
      </w:pPr>
    </w:p>
    <w:p>
      <w:pPr>
        <w:ind w:right="1019"/>
        <w:spacing w:after="0" w:line="256" w:lineRule="auto"/>
        <w:rPr>
          <w:sz w:val="20"/>
          <w:szCs w:val="20"/>
          <w:color w:val="auto"/>
        </w:rPr>
      </w:pPr>
      <w:r>
        <w:rPr>
          <w:rFonts w:ascii="Times New Roman" w:cs="Times New Roman" w:eastAsia="Times New Roman" w:hAnsi="Times New Roman"/>
          <w:sz w:val="12"/>
          <w:szCs w:val="12"/>
          <w:color w:val="auto"/>
        </w:rPr>
        <w:t>[  ] Fixed interest rate (Article 3(2)1 of the General Terms and Conditions for Credit Transactions)</w:t>
      </w:r>
    </w:p>
    <w:p>
      <w:pPr>
        <w:spacing w:after="0" w:line="1" w:lineRule="exact"/>
        <w:rPr>
          <w:sz w:val="20"/>
          <w:szCs w:val="20"/>
          <w:color w:val="auto"/>
        </w:rPr>
      </w:pPr>
    </w:p>
    <w:p>
      <w:pPr>
        <w:ind w:right="1039" w:firstLine="8"/>
        <w:spacing w:after="0" w:line="250" w:lineRule="auto"/>
        <w:tabs>
          <w:tab w:leader="none" w:pos="7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benchmark interest rate     , plus     %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895350</wp:posOffset>
            </wp:positionH>
            <wp:positionV relativeFrom="paragraph">
              <wp:posOffset>-107315</wp:posOffset>
            </wp:positionV>
            <wp:extent cx="15240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52400" cy="571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-107315</wp:posOffset>
            </wp:positionV>
            <wp:extent cx="15240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52400" cy="5715"/>
                    </a:xfrm>
                    <a:prstGeom prst="rect">
                      <a:avLst/>
                    </a:prstGeom>
                    <a:noFill/>
                  </pic:spPr>
                </pic:pic>
              </a:graphicData>
            </a:graphic>
          </wp:anchor>
        </w:drawing>
      </w:r>
    </w:p>
    <w:p>
      <w:pPr>
        <w:ind w:right="899"/>
        <w:spacing w:after="0" w:line="255" w:lineRule="auto"/>
        <w:rPr>
          <w:sz w:val="20"/>
          <w:szCs w:val="20"/>
          <w:color w:val="auto"/>
        </w:rPr>
      </w:pPr>
      <w:r>
        <w:rPr>
          <w:rFonts w:ascii="Times New Roman" w:cs="Times New Roman" w:eastAsia="Times New Roman" w:hAnsi="Times New Roman"/>
          <w:sz w:val="12"/>
          <w:szCs w:val="12"/>
          <w:color w:val="auto"/>
        </w:rPr>
        <w:t>[  ] Floating interest rate (Article 3(2)2 of the General Terms and Conditions for Credit Transactions)</w:t>
      </w:r>
    </w:p>
    <w:p>
      <w:pPr>
        <w:spacing w:after="0" w:line="26" w:lineRule="exact"/>
        <w:rPr>
          <w:sz w:val="20"/>
          <w:szCs w:val="20"/>
          <w:color w:val="auto"/>
        </w:rPr>
      </w:pPr>
    </w:p>
    <w:p>
      <w:pPr>
        <w:ind w:right="1039" w:firstLine="8"/>
        <w:spacing w:after="0" w:line="279" w:lineRule="auto"/>
        <w:tabs>
          <w:tab w:leader="none" w:pos="7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benchmark interest rate     , plus     % per annum</w:t>
      </w:r>
    </w:p>
    <w:p>
      <w:pPr>
        <w:spacing w:after="0" w:line="12" w:lineRule="exact"/>
        <w:rPr>
          <w:rFonts w:ascii="Times New Roman" w:cs="Times New Roman" w:eastAsia="Times New Roman" w:hAnsi="Times New Roman"/>
          <w:sz w:val="12"/>
          <w:szCs w:val="12"/>
          <w:color w:val="auto"/>
        </w:rPr>
      </w:pPr>
    </w:p>
    <w:p>
      <w:pPr>
        <w:ind w:left="80" w:hanging="72"/>
        <w:spacing w:after="0"/>
        <w:tabs>
          <w:tab w:leader="none" w:pos="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rate reset cycle: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895350</wp:posOffset>
            </wp:positionH>
            <wp:positionV relativeFrom="paragraph">
              <wp:posOffset>-217170</wp:posOffset>
            </wp:positionV>
            <wp:extent cx="15240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52400" cy="571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-217170</wp:posOffset>
            </wp:positionV>
            <wp:extent cx="15240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52400" cy="5715"/>
                    </a:xfrm>
                    <a:prstGeom prst="rect">
                      <a:avLst/>
                    </a:prstGeom>
                    <a:noFill/>
                  </pic:spPr>
                </pic:pic>
              </a:graphicData>
            </a:graphic>
          </wp:anchor>
        </w:drawing>
        <w:drawing>
          <wp:anchor simplePos="0" relativeHeight="251657728" behindDoc="1" locked="0" layoutInCell="0" allowOverlap="1">
            <wp:simplePos x="0" y="0"/>
            <wp:positionH relativeFrom="column">
              <wp:posOffset>527050</wp:posOffset>
            </wp:positionH>
            <wp:positionV relativeFrom="paragraph">
              <wp:posOffset>-5715</wp:posOffset>
            </wp:positionV>
            <wp:extent cx="17145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5700" w:space="200"/>
            <w:col w:w="3119"/>
          </w:cols>
          <w:pgMar w:left="1440" w:top="226" w:right="1440" w:bottom="1440" w:gutter="0" w:footer="0" w:header="0"/>
          <w:type w:val="continuous"/>
        </w:sectPr>
      </w:pPr>
    </w:p>
    <w:tbl>
      <w:tblPr>
        <w:tblLayout w:type="fixed"/>
        <w:tblInd w:w="2000" w:type="dxa"/>
        <w:tblCellMar>
          <w:top w:w="0" w:type="dxa"/>
          <w:left w:w="0" w:type="dxa"/>
          <w:bottom w:w="0" w:type="dxa"/>
          <w:right w:w="0" w:type="dxa"/>
        </w:tblCellMar>
      </w:tblPr>
      <w:tr>
        <w:trPr>
          <w:trHeight w:val="138"/>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Interest payment method</w:t>
            </w:r>
          </w:p>
        </w:tc>
        <w:tc>
          <w:tcPr>
            <w:tcW w:w="2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every 1 month</w:t>
            </w:r>
          </w:p>
        </w:tc>
        <w:tc>
          <w:tcPr>
            <w:tcW w:w="2000" w:type="dxa"/>
            <w:vAlign w:val="bottom"/>
            <w:gridSpan w:val="3"/>
          </w:tcPr>
          <w:p>
            <w:pPr>
              <w:ind w:left="540"/>
              <w:spacing w:after="0"/>
              <w:rPr>
                <w:sz w:val="20"/>
                <w:szCs w:val="20"/>
                <w:color w:val="auto"/>
              </w:rPr>
            </w:pPr>
            <w:r>
              <w:rPr>
                <w:rFonts w:ascii="Times New Roman" w:cs="Times New Roman" w:eastAsia="Times New Roman" w:hAnsi="Times New Roman"/>
                <w:sz w:val="12"/>
                <w:szCs w:val="12"/>
                <w:color w:val="auto"/>
              </w:rPr>
              <w:t>every       month</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6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2"/>
                <w:szCs w:val="12"/>
                <w:color w:val="auto"/>
              </w:rPr>
              <w:t>[   ] in advance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in arrears</w:t>
            </w: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300" w:type="dxa"/>
            <w:vAlign w:val="bottom"/>
          </w:tcPr>
          <w:p>
            <w:pPr>
              <w:spacing w:after="0"/>
              <w:rPr>
                <w:sz w:val="15"/>
                <w:szCs w:val="15"/>
                <w:color w:val="auto"/>
              </w:rPr>
            </w:pPr>
          </w:p>
        </w:tc>
        <w:tc>
          <w:tcPr>
            <w:tcW w:w="2060" w:type="dxa"/>
            <w:vAlign w:val="bottom"/>
            <w:vMerge w:val="continue"/>
          </w:tcPr>
          <w:p>
            <w:pPr>
              <w:spacing w:after="0"/>
              <w:rPr>
                <w:sz w:val="15"/>
                <w:szCs w:val="15"/>
                <w:color w:val="auto"/>
              </w:rPr>
            </w:pPr>
          </w:p>
        </w:tc>
        <w:tc>
          <w:tcPr>
            <w:tcW w:w="2000" w:type="dxa"/>
            <w:vAlign w:val="bottom"/>
            <w:gridSpan w:val="3"/>
          </w:tcPr>
          <w:p>
            <w:pPr>
              <w:ind w:left="540"/>
              <w:spacing w:after="0"/>
              <w:rPr>
                <w:sz w:val="20"/>
                <w:szCs w:val="20"/>
                <w:color w:val="auto"/>
              </w:rPr>
            </w:pPr>
            <w:r>
              <w:rPr>
                <w:rFonts w:ascii="Times New Roman" w:cs="Times New Roman" w:eastAsia="Times New Roman" w:hAnsi="Times New Roman"/>
                <w:sz w:val="12"/>
                <w:szCs w:val="12"/>
                <w:color w:val="auto"/>
                <w:w w:val="91"/>
              </w:rPr>
              <w:t>[   ] in advance [   ] in arrears</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00" w:right="939" w:firstLine="2"/>
        <w:spacing w:after="0" w:line="279" w:lineRule="auto"/>
        <w:tabs>
          <w:tab w:leader="none" w:pos="209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case there is no corresponding repayment date, the last day of the corresponding month shall be the repayment date and in case the repayment date falls on a non-banking day, the following business day shall be the repayment date:</w:t>
      </w:r>
    </w:p>
    <w:p>
      <w:pPr>
        <w:spacing w:after="0" w:line="11" w:lineRule="exact"/>
        <w:rPr>
          <w:sz w:val="20"/>
          <w:szCs w:val="20"/>
          <w:color w:val="auto"/>
        </w:rPr>
      </w:pPr>
    </w:p>
    <w:tbl>
      <w:tblPr>
        <w:tblLayout w:type="fixed"/>
        <w:tblInd w:w="200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Requested drawdown date</w:t>
            </w:r>
          </w:p>
        </w:tc>
        <w:tc>
          <w:tcPr>
            <w:tcW w:w="2420" w:type="dxa"/>
            <w:vAlign w:val="bottom"/>
          </w:tcPr>
          <w:p>
            <w:pPr>
              <w:ind w:left="60"/>
              <w:spacing w:after="0" w:line="138" w:lineRule="exact"/>
              <w:rPr>
                <w:sz w:val="20"/>
                <w:szCs w:val="20"/>
                <w:color w:val="auto"/>
              </w:rPr>
            </w:pPr>
            <w:r>
              <w:rPr>
                <w:rFonts w:ascii="Times New Roman" w:cs="Times New Roman" w:eastAsia="Times New Roman" w:hAnsi="Times New Roman"/>
                <w:sz w:val="12"/>
                <w:szCs w:val="12"/>
                <w:color w:val="auto"/>
              </w:rPr>
              <w: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March 26, 2024 (new), Account number:</w:t>
            </w:r>
          </w:p>
        </w:tc>
        <w:tc>
          <w:tcPr>
            <w:tcW w:w="2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[   ] Date:</w:t>
            </w:r>
          </w:p>
        </w:tc>
      </w:tr>
      <w:tr>
        <w:trPr>
          <w:trHeight w:val="146"/>
        </w:trPr>
        <w:tc>
          <w:tcPr>
            <w:tcW w:w="1320" w:type="dxa"/>
            <w:vAlign w:val="bottom"/>
          </w:tcPr>
          <w:p>
            <w:pPr>
              <w:spacing w:after="0"/>
              <w:rPr>
                <w:sz w:val="12"/>
                <w:szCs w:val="1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redacted</w:t>
            </w:r>
            <w:r>
              <w:rPr>
                <w:rFonts w:ascii="Times New Roman" w:cs="Times New Roman" w:eastAsia="Times New Roman" w:hAnsi="Times New Roman"/>
                <w:sz w:val="12"/>
                <w:szCs w:val="12"/>
                <w:color w:val="auto"/>
              </w:rPr>
              <w:t>]</w:t>
            </w:r>
          </w:p>
        </w:tc>
        <w:tc>
          <w:tcPr>
            <w:tcW w:w="2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 number:</w:t>
            </w:r>
          </w:p>
        </w:tc>
      </w:tr>
      <w:tr>
        <w:trPr>
          <w:trHeight w:val="155"/>
        </w:trPr>
        <w:tc>
          <w:tcPr>
            <w:tcW w:w="13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 By submitting a request form</w:t>
            </w:r>
          </w:p>
        </w:tc>
        <w:tc>
          <w:tcPr>
            <w:tcW w:w="2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[   ] By submitting a request form</w:t>
            </w:r>
          </w:p>
        </w:tc>
      </w:tr>
      <w:tr>
        <w:trPr>
          <w:trHeight w:val="214"/>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Prepayment Commissions</w:t>
            </w:r>
          </w:p>
        </w:tc>
        <w:tc>
          <w:tcPr>
            <w:tcW w:w="46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w w:val="99"/>
              </w:rPr>
              <w:t>Prepaid Principal Amount × Commission Rate (%) × (Remaining Term of Loan/Loan Period) in</w:t>
            </w:r>
          </w:p>
        </w:tc>
      </w:tr>
      <w:tr>
        <w:trPr>
          <w:trHeight w:val="119"/>
        </w:trPr>
        <w:tc>
          <w:tcPr>
            <w:tcW w:w="1320" w:type="dxa"/>
            <w:vAlign w:val="bottom"/>
          </w:tcPr>
          <w:p>
            <w:pPr>
              <w:spacing w:after="0"/>
              <w:rPr>
                <w:sz w:val="10"/>
                <w:szCs w:val="10"/>
                <w:color w:val="auto"/>
              </w:rPr>
            </w:pPr>
          </w:p>
        </w:tc>
        <w:tc>
          <w:tcPr>
            <w:tcW w:w="4680" w:type="dxa"/>
            <w:vAlign w:val="bottom"/>
            <w:gridSpan w:val="2"/>
          </w:tcPr>
          <w:p>
            <w:pPr>
              <w:ind w:left="60"/>
              <w:spacing w:after="0" w:line="119" w:lineRule="exact"/>
              <w:rPr>
                <w:sz w:val="20"/>
                <w:szCs w:val="20"/>
                <w:color w:val="auto"/>
              </w:rPr>
            </w:pPr>
            <w:r>
              <w:rPr>
                <w:rFonts w:ascii="Times New Roman" w:cs="Times New Roman" w:eastAsia="Times New Roman" w:hAnsi="Times New Roman"/>
                <w:sz w:val="12"/>
                <w:szCs w:val="12"/>
                <w:color w:val="auto"/>
              </w:rPr>
              <w:t>accordance with the below Commission Rate and Article 4 of this Agreement</w:t>
            </w:r>
          </w:p>
        </w:tc>
      </w:tr>
      <w:tr>
        <w:trPr>
          <w:trHeight w:val="201"/>
        </w:trPr>
        <w:tc>
          <w:tcPr>
            <w:tcW w:w="1320" w:type="dxa"/>
            <w:vAlign w:val="bottom"/>
          </w:tcPr>
          <w:p>
            <w:pPr>
              <w:spacing w:after="0"/>
              <w:rPr>
                <w:sz w:val="17"/>
                <w:szCs w:val="17"/>
                <w:color w:val="auto"/>
              </w:rPr>
            </w:pPr>
          </w:p>
        </w:tc>
        <w:tc>
          <w:tcPr>
            <w:tcW w:w="2420" w:type="dxa"/>
            <w:vAlign w:val="bottom"/>
          </w:tcPr>
          <w:p>
            <w:pPr>
              <w:ind w:left="60"/>
              <w:spacing w:after="0" w:line="138" w:lineRule="exact"/>
              <w:rPr>
                <w:sz w:val="20"/>
                <w:szCs w:val="20"/>
                <w:color w:val="auto"/>
              </w:rPr>
            </w:pPr>
            <w:r>
              <w:rPr>
                <w:rFonts w:ascii="Times New Roman" w:cs="Times New Roman" w:eastAsia="Times New Roman" w:hAnsi="Times New Roman"/>
                <w:sz w:val="12"/>
                <w:szCs w:val="12"/>
                <w:color w:val="auto"/>
              </w:rPr>
              <w:t>[   ] n/a [   ] 1.4% (fixed)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1.2 (variable)</w:t>
            </w:r>
          </w:p>
        </w:tc>
        <w:tc>
          <w:tcPr>
            <w:tcW w:w="2260" w:type="dxa"/>
            <w:vAlign w:val="bottom"/>
          </w:tcPr>
          <w:p>
            <w:pPr>
              <w:spacing w:after="0"/>
              <w:rPr>
                <w:sz w:val="17"/>
                <w:szCs w:val="17"/>
                <w:color w:val="auto"/>
              </w:rPr>
            </w:pPr>
          </w:p>
        </w:tc>
      </w:tr>
    </w:tbl>
    <w:p>
      <w:pPr>
        <w:sectPr>
          <w:pgSz w:w="11900" w:h="16838" w:orient="portrait"/>
          <w:cols w:equalWidth="0" w:num="1">
            <w:col w:w="9019"/>
          </w:cols>
          <w:pgMar w:left="1440" w:top="226" w:right="1440" w:bottom="1440" w:gutter="0" w:footer="0" w:header="0"/>
          <w:type w:val="continuous"/>
        </w:sectPr>
      </w:pPr>
    </w:p>
    <w:bookmarkStart w:id="51" w:name="page52"/>
    <w:bookmarkEnd w:id="51"/>
    <w:p>
      <w:pPr>
        <w:spacing w:after="0" w:line="28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2"/>
          <w:szCs w:val="12"/>
          <w:color w:val="auto"/>
        </w:rPr>
        <w:t>Agreed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2"/>
          <w:szCs w:val="12"/>
          <w:color w:val="auto"/>
        </w:rPr>
        <w:t>Default Compensation</w:t>
      </w:r>
    </w:p>
    <w:p>
      <w:pPr>
        <w:spacing w:after="0" w:line="5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2"/>
          <w:szCs w:val="12"/>
          <w:color w:val="auto"/>
        </w:rPr>
        <w:t>Default Interest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2"/>
          <w:szCs w:val="12"/>
          <w:color w:val="auto"/>
        </w:rPr>
        <w:t>Calculation method of the</w:t>
      </w:r>
    </w:p>
    <w:p>
      <w:pPr>
        <w:spacing w:after="0" w:line="1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2"/>
          <w:szCs w:val="12"/>
          <w:color w:val="auto"/>
        </w:rPr>
        <w:t>interest, commission and</w:t>
      </w:r>
    </w:p>
    <w:p>
      <w:pPr>
        <w:spacing w:after="0" w:line="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2"/>
          <w:szCs w:val="12"/>
          <w:color w:val="auto"/>
        </w:rPr>
        <w:t>default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2"/>
          <w:szCs w:val="12"/>
          <w:color w:val="auto"/>
        </w:rPr>
        <w:t>Automatic Transfer</w:t>
      </w:r>
    </w:p>
    <w:p>
      <w:pPr>
        <w:spacing w:after="0" w:line="20" w:lineRule="exact"/>
        <w:rPr>
          <w:sz w:val="20"/>
          <w:szCs w:val="20"/>
          <w:color w:val="auto"/>
        </w:rPr>
      </w:pPr>
      <w:r>
        <w:rPr>
          <w:sz w:val="20"/>
          <w:szCs w:val="20"/>
          <w:color w:val="auto"/>
        </w:rPr>
        <w:br w:type="column"/>
      </w:r>
    </w:p>
    <w:p>
      <w:pPr>
        <w:ind w:left="3760"/>
        <w:spacing w:after="0"/>
        <w:rPr>
          <w:sz w:val="20"/>
          <w:szCs w:val="20"/>
          <w:color w:val="auto"/>
        </w:rPr>
      </w:pPr>
      <w:r>
        <w:rPr>
          <w:rFonts w:ascii="Times New Roman" w:cs="Times New Roman" w:eastAsia="Times New Roman" w:hAnsi="Times New Roman"/>
          <w:sz w:val="11"/>
          <w:szCs w:val="11"/>
          <w:i w:val="1"/>
          <w:iCs w:val="1"/>
          <w:color w:val="auto"/>
        </w:rPr>
        <w:t>[English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-134620</wp:posOffset>
            </wp:positionV>
            <wp:extent cx="72148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pacing w:after="0" w:line="135" w:lineRule="exact"/>
        <w:rPr>
          <w:sz w:val="20"/>
          <w:szCs w:val="20"/>
          <w:color w:val="auto"/>
        </w:rPr>
      </w:pPr>
    </w:p>
    <w:p>
      <w:pPr>
        <w:ind w:right="879"/>
        <w:spacing w:after="0" w:line="265" w:lineRule="auto"/>
        <w:rPr>
          <w:sz w:val="20"/>
          <w:szCs w:val="20"/>
          <w:color w:val="auto"/>
        </w:rPr>
      </w:pPr>
      <w:r>
        <w:rPr>
          <w:rFonts w:ascii="Times New Roman" w:cs="Times New Roman" w:eastAsia="Times New Roman" w:hAnsi="Times New Roman"/>
          <w:sz w:val="12"/>
          <w:szCs w:val="12"/>
          <w:color w:val="auto"/>
        </w:rPr>
        <w:t>If the Obligor makes a drawdown of the loan facility after the below date, the Obligor shall pay the agreed commissions in accordance with the below commission rate and Article 5 of this Agreement.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n/a</w:t>
      </w:r>
    </w:p>
    <w:p>
      <w:pPr>
        <w:spacing w:after="0" w:line="51" w:lineRule="exact"/>
        <w:rPr>
          <w:sz w:val="20"/>
          <w:szCs w:val="20"/>
          <w:color w:val="auto"/>
        </w:rPr>
      </w:pPr>
    </w:p>
    <w:p>
      <w:pPr>
        <w:ind w:right="2659"/>
        <w:spacing w:after="0" w:line="358" w:lineRule="auto"/>
        <w:rPr>
          <w:sz w:val="20"/>
          <w:szCs w:val="20"/>
          <w:color w:val="auto"/>
        </w:rPr>
      </w:pPr>
      <w:r>
        <w:rPr>
          <w:rFonts w:ascii="Times New Roman" w:cs="Times New Roman" w:eastAsia="Times New Roman" w:hAnsi="Times New Roman"/>
          <w:sz w:val="12"/>
          <w:szCs w:val="12"/>
          <w:color w:val="auto"/>
        </w:rPr>
        <w:t>[  ] more than a year but less than 2 years,     % per annum [  ] more than 2 years,     %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1335405</wp:posOffset>
            </wp:positionH>
            <wp:positionV relativeFrom="paragraph">
              <wp:posOffset>-179705</wp:posOffset>
            </wp:positionV>
            <wp:extent cx="15240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52400" cy="571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-59690</wp:posOffset>
            </wp:positionV>
            <wp:extent cx="15240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52400" cy="5715"/>
                    </a:xfrm>
                    <a:prstGeom prst="rect">
                      <a:avLst/>
                    </a:prstGeom>
                    <a:noFill/>
                  </pic:spPr>
                </pic:pic>
              </a:graphicData>
            </a:graphic>
          </wp:anchor>
        </w:drawing>
      </w:r>
    </w:p>
    <w:p>
      <w:pPr>
        <w:ind w:right="919"/>
        <w:spacing w:after="0" w:line="260" w:lineRule="auto"/>
        <w:rPr>
          <w:sz w:val="20"/>
          <w:szCs w:val="20"/>
          <w:color w:val="auto"/>
        </w:rPr>
      </w:pPr>
      <w:r>
        <w:rPr>
          <w:rFonts w:ascii="Times New Roman" w:cs="Times New Roman" w:eastAsia="Times New Roman" w:hAnsi="Times New Roman"/>
          <w:sz w:val="12"/>
          <w:szCs w:val="12"/>
          <w:color w:val="auto"/>
        </w:rPr>
        <w:t>If the Obligor fails to pay its obligation under this Agreement when due and payable, a default compensation shall be calculated and paid by applying the following default interest rate to the payable amount for the delayed period as calculated in accordance with the calculation method set by the Bank:</w:t>
      </w:r>
    </w:p>
    <w:p>
      <w:pPr>
        <w:spacing w:after="0" w:line="23" w:lineRule="exact"/>
        <w:rPr>
          <w:sz w:val="20"/>
          <w:szCs w:val="20"/>
          <w:color w:val="auto"/>
        </w:rPr>
      </w:pPr>
    </w:p>
    <w:p>
      <w:pPr>
        <w:ind w:right="939"/>
        <w:spacing w:after="0" w:line="279" w:lineRule="auto"/>
        <w:rPr>
          <w:sz w:val="20"/>
          <w:szCs w:val="20"/>
          <w:color w:val="auto"/>
        </w:rPr>
      </w:pPr>
      <w:r>
        <w:rPr>
          <w:rFonts w:ascii="Times New Roman" w:cs="Times New Roman" w:eastAsia="Times New Roman" w:hAnsi="Times New Roman"/>
          <w:sz w:val="12"/>
          <w:szCs w:val="12"/>
          <w:color w:val="auto"/>
        </w:rPr>
        <w:t>The default interest rate shall be calculated by adding 3% additional interest rate per annum to the agreed interest rate, and the maximum default interest rate shall be 15% per annum.</w:t>
      </w:r>
    </w:p>
    <w:p>
      <w:pPr>
        <w:spacing w:after="0" w:line="48" w:lineRule="exact"/>
        <w:rPr>
          <w:sz w:val="20"/>
          <w:szCs w:val="20"/>
          <w:color w:val="auto"/>
        </w:rPr>
      </w:pPr>
    </w:p>
    <w:p>
      <w:pPr>
        <w:jc w:val="both"/>
        <w:ind w:right="919" w:firstLine="8"/>
        <w:spacing w:after="0" w:line="260" w:lineRule="auto"/>
        <w:tabs>
          <w:tab w:leader="none" w:pos="1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agreed interest shall accrue on the balance thereof from the date immediately following the initial drawdown date of the loan (or the previous repayment date) until the repayment date of the loan at the benchmark interest rate set by the Bank as of the date of drawdown of the loan or the adjustment of benchmark interest rate.</w:t>
      </w:r>
    </w:p>
    <w:p>
      <w:pPr>
        <w:spacing w:after="0" w:line="23" w:lineRule="exact"/>
        <w:rPr>
          <w:rFonts w:ascii="Times New Roman" w:cs="Times New Roman" w:eastAsia="Times New Roman" w:hAnsi="Times New Roman"/>
          <w:sz w:val="12"/>
          <w:szCs w:val="12"/>
          <w:color w:val="auto"/>
        </w:rPr>
      </w:pPr>
    </w:p>
    <w:p>
      <w:pPr>
        <w:ind w:right="939" w:firstLine="8"/>
        <w:spacing w:after="0" w:line="260" w:lineRule="auto"/>
        <w:tabs>
          <w:tab w:leader="none" w:pos="1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interest, commission and default interest under this Agreement shall be calculated per day on the basis of a 365 days in a year (or 366 days in leap year;); provided, however, with respect to loans in foreign currency, the number of days in a year shall be calculated on the basis of a 360 days in a year for USD/EUR and a365 days in a year for JPY.</w:t>
      </w:r>
    </w:p>
    <w:p>
      <w:pPr>
        <w:spacing w:after="0" w:line="23" w:lineRule="exact"/>
        <w:rPr>
          <w:rFonts w:ascii="Times New Roman" w:cs="Times New Roman" w:eastAsia="Times New Roman" w:hAnsi="Times New Roman"/>
          <w:sz w:val="12"/>
          <w:szCs w:val="12"/>
          <w:color w:val="auto"/>
        </w:rPr>
      </w:pPr>
    </w:p>
    <w:p>
      <w:pPr>
        <w:ind w:right="959" w:firstLine="8"/>
        <w:spacing w:after="0" w:line="279" w:lineRule="auto"/>
        <w:tabs>
          <w:tab w:leader="none" w:pos="1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loan under this Agreement is a fund loan, such shall be determined by the institution that manages the fund.</w:t>
      </w:r>
    </w:p>
    <w:p>
      <w:pPr>
        <w:spacing w:after="0" w:line="48" w:lineRule="exact"/>
        <w:rPr>
          <w:sz w:val="20"/>
          <w:szCs w:val="20"/>
          <w:color w:val="auto"/>
        </w:rPr>
      </w:pPr>
    </w:p>
    <w:p>
      <w:pPr>
        <w:ind w:right="919"/>
        <w:spacing w:after="0" w:line="260" w:lineRule="auto"/>
        <w:rPr>
          <w:sz w:val="20"/>
          <w:szCs w:val="20"/>
          <w:color w:val="auto"/>
        </w:rPr>
      </w:pPr>
      <w:r>
        <w:rPr>
          <w:rFonts w:ascii="Times New Roman" w:cs="Times New Roman" w:eastAsia="Times New Roman" w:hAnsi="Times New Roman"/>
          <w:sz w:val="12"/>
          <w:szCs w:val="12"/>
          <w:color w:val="auto"/>
        </w:rPr>
        <w:t>[  ] In order to pay the principal and interest of the loan, the Obligor hereby acknowledges and agrees that the terms and conditions of the Bank’s automatic transfer will be applied to the deposit account           and applies for the automatic transfer [  ] Not applying for the automatic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-114935</wp:posOffset>
            </wp:positionV>
            <wp:extent cx="38100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3260" w:space="120"/>
            <w:col w:w="5639"/>
          </w:cols>
          <w:pgMar w:left="1440" w:top="226" w:right="1440" w:bottom="1440" w:gutter="0" w:footer="0" w:header="0"/>
        </w:sectPr>
      </w:pPr>
    </w:p>
    <w:tbl>
      <w:tblPr>
        <w:tblLayout w:type="fixed"/>
        <w:tblInd w:w="2000" w:type="dxa"/>
        <w:tblCellMar>
          <w:top w:w="0" w:type="dxa"/>
          <w:left w:w="0" w:type="dxa"/>
          <w:bottom w:w="0" w:type="dxa"/>
          <w:right w:w="0" w:type="dxa"/>
        </w:tblCellMar>
      </w:tblPr>
      <w:tr>
        <w:trPr>
          <w:trHeight w:val="144"/>
        </w:trPr>
        <w:tc>
          <w:tcPr>
            <w:tcW w:w="1280" w:type="dxa"/>
            <w:vAlign w:val="bottom"/>
          </w:tcPr>
          <w:p>
            <w:pPr>
              <w:spacing w:after="0"/>
              <w:rPr>
                <w:sz w:val="20"/>
                <w:szCs w:val="20"/>
                <w:color w:val="auto"/>
              </w:rPr>
            </w:pPr>
            <w:r>
              <w:rPr>
                <w:rFonts w:ascii="Times New Roman" w:cs="Times New Roman" w:eastAsia="Times New Roman" w:hAnsi="Times New Roman"/>
                <w:sz w:val="12"/>
                <w:szCs w:val="12"/>
                <w:color w:val="auto"/>
              </w:rPr>
              <w:t>Follow-up inspection of</w:t>
            </w:r>
          </w:p>
        </w:tc>
        <w:tc>
          <w:tcPr>
            <w:tcW w:w="220" w:type="dxa"/>
            <w:vAlign w:val="bottom"/>
          </w:tcPr>
          <w:p>
            <w:pPr>
              <w:ind w:left="100"/>
              <w:spacing w:after="0"/>
              <w:rPr>
                <w:sz w:val="20"/>
                <w:szCs w:val="20"/>
                <w:color w:val="auto"/>
              </w:rPr>
            </w:pPr>
            <w:r>
              <w:rPr>
                <w:rFonts w:ascii="Times New Roman" w:cs="Times New Roman" w:eastAsia="Times New Roman" w:hAnsi="Times New Roman"/>
                <w:sz w:val="10"/>
                <w:szCs w:val="10"/>
                <w:color w:val="auto"/>
                <w:w w:val="74"/>
              </w:rPr>
              <w:t>[ </w:t>
            </w:r>
          </w:p>
        </w:tc>
        <w:tc>
          <w:tcPr>
            <w:tcW w:w="21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not applicable</w:t>
            </w:r>
          </w:p>
        </w:tc>
        <w:tc>
          <w:tcPr>
            <w:tcW w:w="36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74"/>
              </w:rPr>
              <w:t>[ </w:t>
            </w:r>
          </w:p>
        </w:tc>
        <w:tc>
          <w:tcPr>
            <w:tcW w:w="19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not applicable</w:t>
            </w:r>
          </w:p>
        </w:tc>
      </w:tr>
      <w:tr>
        <w:trPr>
          <w:trHeight w:val="218"/>
        </w:trPr>
        <w:tc>
          <w:tcPr>
            <w:tcW w:w="1280" w:type="dxa"/>
            <w:vAlign w:val="bottom"/>
          </w:tcPr>
          <w:p>
            <w:pPr>
              <w:spacing w:after="0"/>
              <w:rPr>
                <w:sz w:val="20"/>
                <w:szCs w:val="20"/>
                <w:color w:val="auto"/>
              </w:rPr>
            </w:pPr>
            <w:r>
              <w:rPr>
                <w:rFonts w:ascii="Times New Roman" w:cs="Times New Roman" w:eastAsia="Times New Roman" w:hAnsi="Times New Roman"/>
                <w:sz w:val="12"/>
                <w:szCs w:val="12"/>
                <w:color w:val="auto"/>
              </w:rPr>
              <w:t>the use of funds</w:t>
            </w:r>
          </w:p>
        </w:tc>
        <w:tc>
          <w:tcPr>
            <w:tcW w:w="238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2"/>
                <w:szCs w:val="12"/>
                <w:color w:val="auto"/>
              </w:rPr>
              <w: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applicable</w:t>
            </w:r>
          </w:p>
        </w:tc>
        <w:tc>
          <w:tcPr>
            <w:tcW w:w="36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74"/>
              </w:rPr>
              <w:t>[ </w:t>
            </w:r>
          </w:p>
        </w:tc>
        <w:tc>
          <w:tcPr>
            <w:tcW w:w="19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applicable</w:t>
            </w: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2"/>
                <w:szCs w:val="12"/>
                <w:color w:val="auto"/>
              </w:rPr>
              <w:t>Obligation to Maintain</w:t>
            </w:r>
          </w:p>
        </w:tc>
        <w:tc>
          <w:tcPr>
            <w:tcW w:w="220" w:type="dxa"/>
            <w:vAlign w:val="bottom"/>
          </w:tcPr>
          <w:p>
            <w:pPr>
              <w:ind w:left="100"/>
              <w:spacing w:after="0"/>
              <w:rPr>
                <w:sz w:val="20"/>
                <w:szCs w:val="20"/>
                <w:color w:val="auto"/>
              </w:rPr>
            </w:pPr>
            <w:r>
              <w:rPr>
                <w:rFonts w:ascii="Times New Roman" w:cs="Times New Roman" w:eastAsia="Times New Roman" w:hAnsi="Times New Roman"/>
                <w:sz w:val="10"/>
                <w:szCs w:val="10"/>
                <w:color w:val="auto"/>
                <w:w w:val="74"/>
              </w:rPr>
              <w:t>[ </w:t>
            </w:r>
          </w:p>
        </w:tc>
        <w:tc>
          <w:tcPr>
            <w:tcW w:w="21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n/a [   ] Section 1 [   ] Section 2 [   ]</w:t>
            </w:r>
          </w:p>
        </w:tc>
        <w:tc>
          <w:tcPr>
            <w:tcW w:w="36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74"/>
              </w:rPr>
              <w:t>[ </w:t>
            </w:r>
          </w:p>
        </w:tc>
        <w:tc>
          <w:tcPr>
            <w:tcW w:w="192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0"/>
              </w:rPr>
              <w:t>] n/a [   ] Section 1 [   ] Section 2 [   ]</w:t>
            </w:r>
          </w:p>
        </w:tc>
      </w:tr>
      <w:tr>
        <w:trPr>
          <w:trHeight w:val="155"/>
        </w:trPr>
        <w:tc>
          <w:tcPr>
            <w:tcW w:w="1280" w:type="dxa"/>
            <w:vAlign w:val="bottom"/>
          </w:tcPr>
          <w:p>
            <w:pPr>
              <w:spacing w:after="0"/>
              <w:rPr>
                <w:sz w:val="20"/>
                <w:szCs w:val="20"/>
                <w:color w:val="auto"/>
              </w:rPr>
            </w:pPr>
            <w:r>
              <w:rPr>
                <w:rFonts w:ascii="Times New Roman" w:cs="Times New Roman" w:eastAsia="Times New Roman" w:hAnsi="Times New Roman"/>
                <w:sz w:val="12"/>
                <w:szCs w:val="12"/>
                <w:color w:val="auto"/>
              </w:rPr>
              <w:t>Solvency</w:t>
            </w: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Section 3</w:t>
            </w:r>
          </w:p>
        </w:tc>
        <w:tc>
          <w:tcPr>
            <w:tcW w:w="22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Section 3</w:t>
            </w:r>
          </w:p>
        </w:tc>
      </w:tr>
    </w:tbl>
    <w:p>
      <w:pPr>
        <w:spacing w:after="0" w:line="1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(1) Notice of Repayment Schedule</w:t>
      </w:r>
    </w:p>
    <w:p>
      <w:pPr>
        <w:spacing w:after="0" w:line="78" w:lineRule="exact"/>
        <w:rPr>
          <w:sz w:val="20"/>
          <w:szCs w:val="20"/>
          <w:color w:val="auto"/>
        </w:rPr>
      </w:pPr>
    </w:p>
    <w:p>
      <w:pPr>
        <w:ind w:left="840" w:right="979"/>
        <w:spacing w:after="0" w:line="279" w:lineRule="auto"/>
        <w:rPr>
          <w:sz w:val="20"/>
          <w:szCs w:val="20"/>
          <w:color w:val="auto"/>
        </w:rPr>
      </w:pPr>
      <w:r>
        <w:rPr>
          <w:rFonts w:ascii="Times New Roman" w:cs="Times New Roman" w:eastAsia="Times New Roman" w:hAnsi="Times New Roman"/>
          <w:sz w:val="12"/>
          <w:szCs w:val="12"/>
          <w:color w:val="auto"/>
        </w:rPr>
        <w:t>In case of installment loan, the Bank shall notify the repayment schedule for the total amount of loan to the Obligor, joint guarantors, joint debtors and security providers.</w:t>
      </w:r>
    </w:p>
    <w:p>
      <w:pPr>
        <w:spacing w:after="0" w:line="1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(2) Size of the company</w:t>
      </w:r>
    </w:p>
    <w:p>
      <w:pPr>
        <w:spacing w:after="0" w:line="78" w:lineRule="exact"/>
        <w:rPr>
          <w:sz w:val="20"/>
          <w:szCs w:val="20"/>
          <w:color w:val="auto"/>
        </w:rPr>
      </w:pPr>
    </w:p>
    <w:p>
      <w:pPr>
        <w:ind w:left="840" w:right="1119"/>
        <w:spacing w:after="0" w:line="265" w:lineRule="auto"/>
        <w:rPr>
          <w:sz w:val="20"/>
          <w:szCs w:val="20"/>
          <w:color w:val="auto"/>
        </w:rPr>
      </w:pPr>
      <w:r>
        <w:rPr>
          <w:rFonts w:ascii="Times New Roman" w:cs="Times New Roman" w:eastAsia="Times New Roman" w:hAnsi="Times New Roman"/>
          <w:sz w:val="12"/>
          <w:szCs w:val="12"/>
          <w:color w:val="auto"/>
        </w:rPr>
        <w:t>Because the support product and applicable interest rate were determined upon the consideration of the size of the company at the time of this agreement, if the size of the company changes at the time of loan disbursement, the agreed interest rate may change depending on the change in the support product or interest rate conditions.</w:t>
      </w:r>
    </w:p>
    <w:p>
      <w:pPr>
        <w:sectPr>
          <w:pgSz w:w="11900" w:h="16838" w:orient="portrait"/>
          <w:cols w:equalWidth="0" w:num="1">
            <w:col w:w="9019"/>
          </w:cols>
          <w:pgMar w:left="1440" w:top="226" w:right="1440" w:bottom="1440" w:gutter="0" w:footer="0" w:header="0"/>
          <w:type w:val="continuous"/>
        </w:sectPr>
      </w:pPr>
    </w:p>
    <w:bookmarkStart w:id="52" w:name="page53"/>
    <w:bookmarkEnd w:id="52"/>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3"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3</w:t>
      </w:r>
      <w:r>
        <w:rPr>
          <w:sz w:val="20"/>
          <w:szCs w:val="20"/>
          <w:color w:val="auto"/>
        </w:rPr>
        <w:tab/>
      </w:r>
      <w:r>
        <w:rPr>
          <w:rFonts w:ascii="Times New Roman" w:cs="Times New Roman" w:eastAsia="Times New Roman" w:hAnsi="Times New Roman"/>
          <w:sz w:val="12"/>
          <w:szCs w:val="12"/>
          <w:b w:val="1"/>
          <w:bCs w:val="1"/>
          <w:color w:val="auto"/>
        </w:rPr>
        <w:t>Repayment Currency and Applicable Exchange Rate</w:t>
      </w:r>
    </w:p>
    <w:p>
      <w:pPr>
        <w:spacing w:after="0" w:line="82" w:lineRule="exact"/>
        <w:rPr>
          <w:sz w:val="20"/>
          <w:szCs w:val="20"/>
          <w:color w:val="auto"/>
        </w:rPr>
      </w:pPr>
    </w:p>
    <w:p>
      <w:pPr>
        <w:ind w:left="840" w:right="1079"/>
        <w:spacing w:after="0" w:line="279" w:lineRule="auto"/>
        <w:rPr>
          <w:sz w:val="20"/>
          <w:szCs w:val="20"/>
          <w:color w:val="auto"/>
        </w:rPr>
      </w:pPr>
      <w:r>
        <w:rPr>
          <w:rFonts w:ascii="Times New Roman" w:cs="Times New Roman" w:eastAsia="Times New Roman" w:hAnsi="Times New Roman"/>
          <w:sz w:val="12"/>
          <w:szCs w:val="12"/>
          <w:color w:val="auto"/>
        </w:rPr>
        <w:t>The principal, interest, commission and default interest on foreign currency-denominated KRW loans and foreign currency loans shall be paid in the following currency applying the following exchange rate:</w:t>
      </w:r>
    </w:p>
    <w:p>
      <w:pPr>
        <w:spacing w:after="0" w:line="111" w:lineRule="exact"/>
        <w:rPr>
          <w:sz w:val="20"/>
          <w:szCs w:val="20"/>
          <w:color w:val="auto"/>
        </w:rPr>
      </w:pPr>
    </w:p>
    <w:p>
      <w:pPr>
        <w:ind w:left="840" w:right="859" w:hanging="8"/>
        <w:spacing w:after="0" w:line="265" w:lineRule="auto"/>
        <w:tabs>
          <w:tab w:leader="none" w:pos="101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principal, interest, commission and default interest on foreign currency-denominated KRW loans shall be paid in KRW exchanged from the base amount in foreign currency applying </w:t>
      </w:r>
      <w:r>
        <w:rPr>
          <w:rFonts w:ascii="Times New Roman" w:cs="Times New Roman" w:eastAsia="Times New Roman" w:hAnsi="Times New Roman"/>
          <w:sz w:val="12"/>
          <w:szCs w:val="12"/>
          <w:u w:val="single" w:color="auto"/>
          <w:color w:val="auto"/>
        </w:rPr>
        <w:t>basic rate of exchange</w:t>
      </w:r>
      <w:r>
        <w:rPr>
          <w:rFonts w:ascii="Times New Roman" w:cs="Times New Roman" w:eastAsia="Times New Roman" w:hAnsi="Times New Roman"/>
          <w:sz w:val="12"/>
          <w:szCs w:val="12"/>
          <w:color w:val="auto"/>
        </w:rPr>
        <w:t>, as first announced by the Bank on the actual repayment date; provided, however, if the Bank provides otherwise, repayment may be made in the designated foreign currency.</w:t>
      </w:r>
    </w:p>
    <w:p>
      <w:pPr>
        <w:spacing w:after="0" w:line="118" w:lineRule="exact"/>
        <w:rPr>
          <w:rFonts w:ascii="Times New Roman" w:cs="Times New Roman" w:eastAsia="Times New Roman" w:hAnsi="Times New Roman"/>
          <w:sz w:val="12"/>
          <w:szCs w:val="12"/>
          <w:color w:val="auto"/>
        </w:rPr>
      </w:pPr>
    </w:p>
    <w:p>
      <w:pPr>
        <w:ind w:left="840" w:right="999" w:hanging="8"/>
        <w:spacing w:after="0" w:line="265" w:lineRule="auto"/>
        <w:tabs>
          <w:tab w:leader="none" w:pos="101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principal, interest, commission and default interest on foreign currency loans shall be paid in the borrowing currency or KRW equivalent thereto; if repayment is made in KRW, the amount shall be exchanged from the borrowing currency at </w:t>
      </w:r>
      <w:r>
        <w:rPr>
          <w:rFonts w:ascii="Times New Roman" w:cs="Times New Roman" w:eastAsia="Times New Roman" w:hAnsi="Times New Roman"/>
          <w:sz w:val="12"/>
          <w:szCs w:val="12"/>
          <w:u w:val="single" w:color="auto"/>
          <w:color w:val="auto"/>
        </w:rPr>
        <w:t>TT selling rate</w:t>
      </w:r>
      <w:r>
        <w:rPr>
          <w:rFonts w:ascii="Times New Roman" w:cs="Times New Roman" w:eastAsia="Times New Roman" w:hAnsi="Times New Roman"/>
          <w:sz w:val="12"/>
          <w:szCs w:val="12"/>
          <w:color w:val="auto"/>
        </w:rPr>
        <w:t xml:space="preserve"> as of the actual repayment date, but if repayment is made in the borrowing currency, the commission-in-lieu-of-exchange shall be paid as provided by the Bank.</w:t>
      </w:r>
    </w:p>
    <w:p>
      <w:pPr>
        <w:spacing w:after="0" w:line="118" w:lineRule="exact"/>
        <w:rPr>
          <w:rFonts w:ascii="Times New Roman" w:cs="Times New Roman" w:eastAsia="Times New Roman" w:hAnsi="Times New Roman"/>
          <w:sz w:val="12"/>
          <w:szCs w:val="12"/>
          <w:color w:val="auto"/>
        </w:rPr>
      </w:pPr>
    </w:p>
    <w:p>
      <w:pPr>
        <w:ind w:left="840" w:right="899" w:hanging="8"/>
        <w:spacing w:after="0" w:line="279" w:lineRule="auto"/>
        <w:tabs>
          <w:tab w:leader="none" w:pos="101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exchange rate is not confirmed on the date of repayment of the principal, interest, commission or default interest, the repayment shall be made by applying a tentative exchange rate set by the Bank, and the Bank shall confirm the exchange rate and settle the difference thereafter.</w:t>
      </w:r>
    </w:p>
    <w:p>
      <w:pPr>
        <w:spacing w:after="0" w:line="206"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4</w:t>
      </w:r>
      <w:r>
        <w:rPr>
          <w:sz w:val="20"/>
          <w:szCs w:val="20"/>
          <w:color w:val="auto"/>
        </w:rPr>
        <w:tab/>
      </w:r>
      <w:r>
        <w:rPr>
          <w:rFonts w:ascii="Times New Roman" w:cs="Times New Roman" w:eastAsia="Times New Roman" w:hAnsi="Times New Roman"/>
          <w:sz w:val="12"/>
          <w:szCs w:val="12"/>
          <w:b w:val="1"/>
          <w:bCs w:val="1"/>
          <w:color w:val="auto"/>
        </w:rPr>
        <w:t>Pre-Payment or Acceleration of Payment</w:t>
      </w:r>
    </w:p>
    <w:p>
      <w:pPr>
        <w:spacing w:after="0" w:line="82" w:lineRule="exact"/>
        <w:rPr>
          <w:sz w:val="20"/>
          <w:szCs w:val="20"/>
          <w:color w:val="auto"/>
        </w:rPr>
      </w:pPr>
    </w:p>
    <w:p>
      <w:pPr>
        <w:ind w:left="840" w:right="979" w:hanging="8"/>
        <w:spacing w:after="0" w:line="279" w:lineRule="auto"/>
        <w:tabs>
          <w:tab w:leader="none" w:pos="101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 may repay the principal prior to the repayment date thereof all or parts of the loan prior to its maturity, in which case the Obligor shall pay the prepayment commission in accordance with Article 2 of this Agreement. The relevant terms are defined as follows:</w:t>
      </w:r>
    </w:p>
    <w:p>
      <w:pPr>
        <w:spacing w:after="0" w:line="48" w:lineRule="exact"/>
        <w:rPr>
          <w:rFonts w:ascii="Times New Roman" w:cs="Times New Roman" w:eastAsia="Times New Roman" w:hAnsi="Times New Roman"/>
          <w:sz w:val="12"/>
          <w:szCs w:val="12"/>
          <w:color w:val="auto"/>
        </w:rPr>
      </w:pPr>
    </w:p>
    <w:p>
      <w:pPr>
        <w:ind w:left="1480" w:right="1059" w:hanging="360"/>
        <w:spacing w:after="0" w:line="279" w:lineRule="auto"/>
        <w:tabs>
          <w:tab w:leader="none" w:pos="148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Prepaid Principal Amount: the principal loan amount repaid prior to the repayment date thereof, and in case of an installment loan, this includes the principal loan amount repaid prior to the repayment date designated in respect of each installment.</w:t>
      </w:r>
    </w:p>
    <w:p>
      <w:pPr>
        <w:spacing w:after="0" w:line="48" w:lineRule="exact"/>
        <w:rPr>
          <w:rFonts w:ascii="Times New Roman" w:cs="Times New Roman" w:eastAsia="Times New Roman" w:hAnsi="Times New Roman"/>
          <w:sz w:val="12"/>
          <w:szCs w:val="12"/>
          <w:color w:val="auto"/>
        </w:rPr>
      </w:pPr>
    </w:p>
    <w:p>
      <w:pPr>
        <w:ind w:left="1480" w:right="919" w:hanging="360"/>
        <w:spacing w:after="0" w:line="260" w:lineRule="auto"/>
        <w:tabs>
          <w:tab w:leader="none" w:pos="148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Remaining Term of Loan: the number of days calculated beginning from the day following the prepayment date until the repayment date, and in case where the term of the loan (which term shall take into account any extension period) exceeds 3 years, the repayment date shall be deemed to be the date that is 3 years after the initial drawdown date for the respective account. In case of an installment loan, the Remaining Term of Loan shall be calculated in respect of each installment,</w:t>
      </w:r>
    </w:p>
    <w:p>
      <w:pPr>
        <w:spacing w:after="0" w:line="59" w:lineRule="exact"/>
        <w:rPr>
          <w:rFonts w:ascii="Times New Roman" w:cs="Times New Roman" w:eastAsia="Times New Roman" w:hAnsi="Times New Roman"/>
          <w:sz w:val="12"/>
          <w:szCs w:val="12"/>
          <w:color w:val="auto"/>
        </w:rPr>
      </w:pPr>
    </w:p>
    <w:p>
      <w:pPr>
        <w:ind w:left="1480" w:right="1159" w:hanging="360"/>
        <w:spacing w:after="0" w:line="279" w:lineRule="auto"/>
        <w:tabs>
          <w:tab w:leader="none" w:pos="148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Loan Period: the number of days beginning from the initial drawdown date until the repayment date, provided in case the loan period (which period shall take into account any extension period) exceeds 3 years the loan period shall be deemed to be 3 years.</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Details on the commission rate, etc. shall be posted on The Korea Development Bank website at www.kdb.co.kr.</w:t>
      </w:r>
    </w:p>
    <w:p>
      <w:pPr>
        <w:spacing w:after="0" w:line="150" w:lineRule="exact"/>
        <w:rPr>
          <w:rFonts w:ascii="Times New Roman" w:cs="Times New Roman" w:eastAsia="Times New Roman" w:hAnsi="Times New Roman"/>
          <w:sz w:val="12"/>
          <w:szCs w:val="12"/>
          <w:color w:val="auto"/>
        </w:rPr>
      </w:pPr>
    </w:p>
    <w:p>
      <w:pPr>
        <w:ind w:left="840" w:right="959" w:hanging="8"/>
        <w:spacing w:after="0" w:line="265" w:lineRule="auto"/>
        <w:tabs>
          <w:tab w:leader="none" w:pos="101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prepayment commission may be reduced in part or exempt under applicable laws and regulations, governmental policies, or for causes separately specified by the Bank. In case the loan under this Agreement is a fund loan, the matters prescribed in this Article shall be determined by the institution that manages the fund.</w:t>
      </w:r>
    </w:p>
    <w:p>
      <w:pPr>
        <w:sectPr>
          <w:pgSz w:w="11900" w:h="16838" w:orient="portrait"/>
          <w:cols w:equalWidth="0" w:num="1">
            <w:col w:w="9019"/>
          </w:cols>
          <w:pgMar w:left="1440" w:top="226" w:right="1440" w:bottom="1440" w:gutter="0" w:footer="0" w:header="0"/>
        </w:sectPr>
      </w:pPr>
    </w:p>
    <w:bookmarkStart w:id="53" w:name="page54"/>
    <w:bookmarkEnd w:id="53"/>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3"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5</w:t>
      </w:r>
      <w:r>
        <w:rPr>
          <w:sz w:val="20"/>
          <w:szCs w:val="20"/>
          <w:color w:val="auto"/>
        </w:rPr>
        <w:tab/>
      </w:r>
      <w:r>
        <w:rPr>
          <w:rFonts w:ascii="Times New Roman" w:cs="Times New Roman" w:eastAsia="Times New Roman" w:hAnsi="Times New Roman"/>
          <w:sz w:val="12"/>
          <w:szCs w:val="12"/>
          <w:b w:val="1"/>
          <w:bCs w:val="1"/>
          <w:color w:val="auto"/>
        </w:rPr>
        <w:t>Agreed Commissions</w:t>
      </w:r>
    </w:p>
    <w:p>
      <w:pPr>
        <w:spacing w:after="0" w:line="82" w:lineRule="exact"/>
        <w:rPr>
          <w:sz w:val="20"/>
          <w:szCs w:val="20"/>
          <w:color w:val="auto"/>
        </w:rPr>
      </w:pPr>
    </w:p>
    <w:p>
      <w:pPr>
        <w:ind w:left="840" w:right="1039" w:hanging="8"/>
        <w:spacing w:after="0" w:line="279" w:lineRule="auto"/>
        <w:tabs>
          <w:tab w:leader="none" w:pos="101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Obligor makes a drawdown of the loan facility after a period set out in the following from the date of this loan agreement, the Obligor shall pay the agreed commissions as provided by the Bank.</w:t>
      </w:r>
    </w:p>
    <w:p>
      <w:pPr>
        <w:spacing w:after="0" w:line="111" w:lineRule="exact"/>
        <w:rPr>
          <w:rFonts w:ascii="Times New Roman" w:cs="Times New Roman" w:eastAsia="Times New Roman" w:hAnsi="Times New Roman"/>
          <w:sz w:val="12"/>
          <w:szCs w:val="12"/>
          <w:color w:val="auto"/>
        </w:rPr>
      </w:pPr>
    </w:p>
    <w:p>
      <w:pPr>
        <w:ind w:left="840" w:right="939" w:hanging="8"/>
        <w:spacing w:after="0" w:line="265" w:lineRule="auto"/>
        <w:tabs>
          <w:tab w:leader="none" w:pos="101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agreed commissions shall be imposed at the rate set forth in Article 2 with respect to the outstanding balance of the Loan from the date immediately following the date indicated in Article 2 until the date immediately prior to the date of drawdown, and shall be paid on the drawdown date of the Loan or every three (3) months.</w:t>
      </w:r>
    </w:p>
    <w:p>
      <w:pPr>
        <w:spacing w:after="0" w:line="214"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6</w:t>
      </w:r>
      <w:r>
        <w:rPr>
          <w:sz w:val="20"/>
          <w:szCs w:val="20"/>
          <w:color w:val="auto"/>
        </w:rPr>
        <w:tab/>
      </w:r>
      <w:r>
        <w:rPr>
          <w:rFonts w:ascii="Times New Roman" w:cs="Times New Roman" w:eastAsia="Times New Roman" w:hAnsi="Times New Roman"/>
          <w:sz w:val="12"/>
          <w:szCs w:val="12"/>
          <w:b w:val="1"/>
          <w:bCs w:val="1"/>
          <w:color w:val="auto"/>
        </w:rPr>
        <w:t>Payment of Revenue Stamp Tax</w:t>
      </w:r>
    </w:p>
    <w:p>
      <w:pPr>
        <w:spacing w:after="0" w:line="82" w:lineRule="exact"/>
        <w:rPr>
          <w:sz w:val="20"/>
          <w:szCs w:val="20"/>
          <w:color w:val="auto"/>
        </w:rPr>
      </w:pPr>
    </w:p>
    <w:p>
      <w:pPr>
        <w:ind w:left="1000" w:hanging="168"/>
        <w:spacing w:after="0"/>
        <w:tabs>
          <w:tab w:leader="none" w:pos="100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 and the Bank shall each bear 50% of the stamp tax under this Agreement.</w:t>
      </w:r>
    </w:p>
    <w:p>
      <w:pPr>
        <w:spacing w:after="0" w:line="150" w:lineRule="exact"/>
        <w:rPr>
          <w:rFonts w:ascii="Times New Roman" w:cs="Times New Roman" w:eastAsia="Times New Roman" w:hAnsi="Times New Roman"/>
          <w:sz w:val="12"/>
          <w:szCs w:val="12"/>
          <w:color w:val="auto"/>
        </w:rPr>
      </w:pPr>
    </w:p>
    <w:p>
      <w:pPr>
        <w:ind w:left="840" w:right="859" w:hanging="8"/>
        <w:spacing w:after="0" w:line="279" w:lineRule="auto"/>
        <w:tabs>
          <w:tab w:leader="none" w:pos="101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stamp tax to be borne by the Obligor pursuant to paragraph (1) is paid by the Bank, the Obligor shall repay the Bank in accordance with Article 4(2) of the General Terms and Conditions for Credit Transactions.</w:t>
      </w:r>
    </w:p>
    <w:p>
      <w:pPr>
        <w:spacing w:after="0" w:line="206"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7</w:t>
      </w:r>
      <w:r>
        <w:rPr>
          <w:sz w:val="20"/>
          <w:szCs w:val="20"/>
          <w:color w:val="auto"/>
        </w:rPr>
        <w:tab/>
      </w:r>
      <w:r>
        <w:rPr>
          <w:rFonts w:ascii="Times New Roman" w:cs="Times New Roman" w:eastAsia="Times New Roman" w:hAnsi="Times New Roman"/>
          <w:sz w:val="12"/>
          <w:szCs w:val="12"/>
          <w:b w:val="1"/>
          <w:bCs w:val="1"/>
          <w:color w:val="auto"/>
        </w:rPr>
        <w:t>Receipt of the Loan</w:t>
      </w:r>
    </w:p>
    <w:p>
      <w:pPr>
        <w:spacing w:after="0" w:line="82" w:lineRule="exact"/>
        <w:rPr>
          <w:sz w:val="20"/>
          <w:szCs w:val="20"/>
          <w:color w:val="auto"/>
        </w:rPr>
      </w:pPr>
    </w:p>
    <w:p>
      <w:pPr>
        <w:ind w:left="840" w:right="919"/>
        <w:spacing w:after="0" w:line="279" w:lineRule="auto"/>
        <w:rPr>
          <w:sz w:val="20"/>
          <w:szCs w:val="20"/>
          <w:color w:val="auto"/>
        </w:rPr>
      </w:pPr>
      <w:r>
        <w:rPr>
          <w:rFonts w:ascii="Times New Roman" w:cs="Times New Roman" w:eastAsia="Times New Roman" w:hAnsi="Times New Roman"/>
          <w:sz w:val="12"/>
          <w:szCs w:val="12"/>
          <w:color w:val="auto"/>
        </w:rPr>
        <w:t>The Obligor shall submit a receipt for drawdown of the loan; provided, however, the Obligor may not submit such receipt when the loan is deposited to the account of the Obligor or the loan is used to repay a loan in the Obligor’s name.</w:t>
      </w:r>
    </w:p>
    <w:p>
      <w:pPr>
        <w:spacing w:after="0" w:line="206"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8</w:t>
      </w:r>
      <w:r>
        <w:rPr>
          <w:sz w:val="20"/>
          <w:szCs w:val="20"/>
          <w:color w:val="auto"/>
        </w:rPr>
        <w:tab/>
      </w:r>
      <w:r>
        <w:rPr>
          <w:rFonts w:ascii="Times New Roman" w:cs="Times New Roman" w:eastAsia="Times New Roman" w:hAnsi="Times New Roman"/>
          <w:sz w:val="12"/>
          <w:szCs w:val="12"/>
          <w:b w:val="1"/>
          <w:bCs w:val="1"/>
          <w:color w:val="auto"/>
        </w:rPr>
        <w:t>Purpose of the Loan and Sanctions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loan subject to follow-up inspection of the use of funds according to Article 2 of this Agreement will be implemented as follows:</w:t>
      </w:r>
    </w:p>
    <w:p>
      <w:pPr>
        <w:spacing w:after="0" w:line="17" w:lineRule="exact"/>
        <w:rPr>
          <w:sz w:val="20"/>
          <w:szCs w:val="20"/>
          <w:color w:val="auto"/>
        </w:rPr>
      </w:pPr>
    </w:p>
    <w:p>
      <w:pPr>
        <w:ind w:left="840" w:right="939"/>
        <w:spacing w:after="0" w:line="253" w:lineRule="auto"/>
        <w:rPr>
          <w:sz w:val="20"/>
          <w:szCs w:val="20"/>
          <w:color w:val="auto"/>
        </w:rPr>
      </w:pPr>
      <w:r>
        <w:rPr>
          <w:rFonts w:ascii="Times New Roman" w:cs="Times New Roman" w:eastAsia="Times New Roman" w:hAnsi="Times New Roman"/>
          <w:sz w:val="12"/>
          <w:szCs w:val="12"/>
          <w:color w:val="auto"/>
        </w:rPr>
        <w:t>If the Obligor does not submit the detailed table of usage of the loan amount within three (3) months from the drawdown date or if the Bank finds that the transaction between the Obligor and the Bank cannot be continued upon the Bank’s discovery of the Obligor’s deviation from the intended purpose of the Loan, all obligations of the Obligor shall be accelerated and immediately become due and payable upon written notice of the Bank. Also, new loan will be limited for one (1) year (upon the Bank’s first discovery of deviation from the intended purpose of the Loan) and for five (5) years (upon second first discovery of deviation from the intended purpose of the Loan) from the repayment date of the respective loan.</w:t>
      </w:r>
    </w:p>
    <w:p>
      <w:pPr>
        <w:spacing w:after="0" w:line="221"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9</w:t>
      </w:r>
      <w:r>
        <w:rPr>
          <w:sz w:val="20"/>
          <w:szCs w:val="20"/>
          <w:color w:val="auto"/>
        </w:rPr>
        <w:tab/>
      </w:r>
      <w:r>
        <w:rPr>
          <w:rFonts w:ascii="Times New Roman" w:cs="Times New Roman" w:eastAsia="Times New Roman" w:hAnsi="Times New Roman"/>
          <w:sz w:val="12"/>
          <w:szCs w:val="12"/>
          <w:b w:val="1"/>
          <w:bCs w:val="1"/>
          <w:color w:val="auto"/>
        </w:rPr>
        <w:t>Third Party’s Repayment and Subrogation</w:t>
      </w:r>
    </w:p>
    <w:p>
      <w:pPr>
        <w:spacing w:after="0" w:line="82" w:lineRule="exact"/>
        <w:rPr>
          <w:sz w:val="20"/>
          <w:szCs w:val="20"/>
          <w:color w:val="auto"/>
        </w:rPr>
      </w:pPr>
    </w:p>
    <w:p>
      <w:pPr>
        <w:ind w:left="1000" w:hanging="168"/>
        <w:spacing w:after="0"/>
        <w:tabs>
          <w:tab w:leader="none" w:pos="100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third-party desires to repay part or all of the debts in subrogation of the Obligor, the Obligor shall obtain consent thereto from the Bank.</w:t>
      </w:r>
    </w:p>
    <w:p>
      <w:pPr>
        <w:spacing w:after="0" w:line="150" w:lineRule="exact"/>
        <w:rPr>
          <w:rFonts w:ascii="Times New Roman" w:cs="Times New Roman" w:eastAsia="Times New Roman" w:hAnsi="Times New Roman"/>
          <w:sz w:val="12"/>
          <w:szCs w:val="12"/>
          <w:color w:val="auto"/>
        </w:rPr>
      </w:pPr>
    </w:p>
    <w:p>
      <w:pPr>
        <w:ind w:left="840" w:right="919" w:hanging="8"/>
        <w:spacing w:after="0" w:line="265" w:lineRule="auto"/>
        <w:tabs>
          <w:tab w:leader="none" w:pos="101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interested parties including joint guarantors, joint debtors agree not to exercise any right obtained from the Bank by repayment or subrogation without the consent of the Bank while the transaction between the Bank and the Obligor continues, and even in case the interested parties exercise their rights at the same time with the Bank, the interested parties will be repaid only after the Bank is fully repaid.</w:t>
      </w:r>
    </w:p>
    <w:p>
      <w:pPr>
        <w:sectPr>
          <w:pgSz w:w="11900" w:h="16838" w:orient="portrait"/>
          <w:cols w:equalWidth="0" w:num="1">
            <w:col w:w="9019"/>
          </w:cols>
          <w:pgMar w:left="1440" w:top="226" w:right="1440" w:bottom="1440" w:gutter="0" w:footer="0" w:header="0"/>
        </w:sectPr>
      </w:pPr>
    </w:p>
    <w:bookmarkStart w:id="54" w:name="page55"/>
    <w:bookmarkEnd w:id="54"/>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3"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10</w:t>
      </w:r>
      <w:r>
        <w:rPr>
          <w:sz w:val="20"/>
          <w:szCs w:val="20"/>
          <w:color w:val="auto"/>
        </w:rPr>
        <w:tab/>
      </w:r>
      <w:r>
        <w:rPr>
          <w:rFonts w:ascii="Times New Roman" w:cs="Times New Roman" w:eastAsia="Times New Roman" w:hAnsi="Times New Roman"/>
          <w:sz w:val="12"/>
          <w:szCs w:val="12"/>
          <w:b w:val="1"/>
          <w:bCs w:val="1"/>
          <w:color w:val="auto"/>
        </w:rPr>
        <w:t>Cancellation of the Loan Agreement, etc.</w:t>
      </w:r>
    </w:p>
    <w:p>
      <w:pPr>
        <w:spacing w:after="0" w:line="82" w:lineRule="exact"/>
        <w:rPr>
          <w:sz w:val="20"/>
          <w:szCs w:val="20"/>
          <w:color w:val="auto"/>
        </w:rPr>
      </w:pPr>
    </w:p>
    <w:p>
      <w:pPr>
        <w:ind w:left="840" w:right="899"/>
        <w:spacing w:after="0" w:line="265" w:lineRule="auto"/>
        <w:rPr>
          <w:sz w:val="20"/>
          <w:szCs w:val="20"/>
          <w:color w:val="auto"/>
        </w:rPr>
      </w:pPr>
      <w:r>
        <w:rPr>
          <w:rFonts w:ascii="Times New Roman" w:cs="Times New Roman" w:eastAsia="Times New Roman" w:hAnsi="Times New Roman"/>
          <w:sz w:val="12"/>
          <w:szCs w:val="12"/>
          <w:color w:val="auto"/>
        </w:rPr>
        <w:t>In the event an acceleration of payment occurs as set forth in Article 7 of the General Terms and Conditions for Credit Transactions, or if the loan is not withdrawn within the withdrawal period provided by the Bank due to reasons attributable to the Obligor, the Bank may cancel part or all of Loan Agreement, or suspend the drawdowns of the Loan or the Deposited Fund.</w:t>
      </w:r>
    </w:p>
    <w:p>
      <w:pPr>
        <w:spacing w:after="0" w:line="214"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11</w:t>
      </w:r>
      <w:r>
        <w:rPr>
          <w:sz w:val="20"/>
          <w:szCs w:val="20"/>
          <w:color w:val="auto"/>
        </w:rPr>
        <w:tab/>
      </w:r>
      <w:r>
        <w:rPr>
          <w:rFonts w:ascii="Times New Roman" w:cs="Times New Roman" w:eastAsia="Times New Roman" w:hAnsi="Times New Roman"/>
          <w:sz w:val="12"/>
          <w:szCs w:val="12"/>
          <w:b w:val="1"/>
          <w:bCs w:val="1"/>
          <w:color w:val="auto"/>
        </w:rPr>
        <w:t>Agreement on the Foreign Currency Loans</w:t>
      </w:r>
    </w:p>
    <w:p>
      <w:pPr>
        <w:spacing w:after="0" w:line="82" w:lineRule="exact"/>
        <w:rPr>
          <w:sz w:val="20"/>
          <w:szCs w:val="20"/>
          <w:color w:val="auto"/>
        </w:rPr>
      </w:pPr>
    </w:p>
    <w:p>
      <w:pPr>
        <w:ind w:left="840" w:right="859" w:hanging="8"/>
        <w:spacing w:after="0" w:line="279" w:lineRule="auto"/>
        <w:tabs>
          <w:tab w:leader="none" w:pos="101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 shall make deposits with the Bank as designated by the Bank the fund in foreign currency required for the planned project other than the approved amount of loan.</w:t>
      </w:r>
    </w:p>
    <w:p>
      <w:pPr>
        <w:spacing w:after="0" w:line="111" w:lineRule="exact"/>
        <w:rPr>
          <w:rFonts w:ascii="Times New Roman" w:cs="Times New Roman" w:eastAsia="Times New Roman" w:hAnsi="Times New Roman"/>
          <w:sz w:val="12"/>
          <w:szCs w:val="12"/>
          <w:color w:val="auto"/>
        </w:rPr>
      </w:pPr>
    </w:p>
    <w:p>
      <w:pPr>
        <w:ind w:left="840" w:right="859" w:hanging="8"/>
        <w:spacing w:after="0" w:line="279" w:lineRule="auto"/>
        <w:tabs>
          <w:tab w:leader="none" w:pos="101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Damages or any other cost claimed by a third party against the Bank due to breach by the Obligor shall be borne by the Obligor and the Obligor shall not raise any objection if the Bank exercises its right against the Obligor in the same manner as under this Agreement.</w:t>
      </w:r>
    </w:p>
    <w:p>
      <w:pPr>
        <w:spacing w:after="0" w:line="111" w:lineRule="exact"/>
        <w:rPr>
          <w:rFonts w:ascii="Times New Roman" w:cs="Times New Roman" w:eastAsia="Times New Roman" w:hAnsi="Times New Roman"/>
          <w:sz w:val="12"/>
          <w:szCs w:val="12"/>
          <w:color w:val="auto"/>
        </w:rPr>
      </w:pPr>
    </w:p>
    <w:p>
      <w:pPr>
        <w:ind w:left="1000" w:hanging="168"/>
        <w:spacing w:after="0"/>
        <w:tabs>
          <w:tab w:leader="none" w:pos="10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 shall be subject to compensation for damages in the following cases:</w:t>
      </w:r>
    </w:p>
    <w:p>
      <w:pPr>
        <w:spacing w:after="0" w:line="150" w:lineRule="exact"/>
        <w:rPr>
          <w:sz w:val="20"/>
          <w:szCs w:val="20"/>
          <w:color w:val="auto"/>
        </w:rPr>
      </w:pPr>
    </w:p>
    <w:p>
      <w:pPr>
        <w:ind w:left="840" w:right="1259" w:hanging="8"/>
        <w:spacing w:after="0" w:line="279" w:lineRule="auto"/>
        <w:tabs>
          <w:tab w:leader="none" w:pos="96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 shall not raise any objection even when the Bank or its designated person exercises the Obligor’s right to claim compensation for damages arising from shortage in quantity, damage or different size of brought-in items due to supplier’s negligence.</w:t>
      </w:r>
    </w:p>
    <w:p>
      <w:pPr>
        <w:spacing w:after="0" w:line="111" w:lineRule="exact"/>
        <w:rPr>
          <w:rFonts w:ascii="Times New Roman" w:cs="Times New Roman" w:eastAsia="Times New Roman" w:hAnsi="Times New Roman"/>
          <w:sz w:val="12"/>
          <w:szCs w:val="12"/>
          <w:color w:val="auto"/>
        </w:rPr>
      </w:pPr>
    </w:p>
    <w:p>
      <w:pPr>
        <w:ind w:left="840" w:right="879" w:hanging="8"/>
        <w:spacing w:after="0" w:line="279" w:lineRule="auto"/>
        <w:tabs>
          <w:tab w:leader="none" w:pos="96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Obligor receives compensation for damages, or if the Bank receives compensation for damages pursuant to the provision of subparagraph 1, the equivalent KRW amount of the compensation for damages shall be deposited to the Deposited Fund account in the name of the Obligor.</w:t>
      </w:r>
    </w:p>
    <w:p>
      <w:pPr>
        <w:spacing w:after="0" w:line="111" w:lineRule="exact"/>
        <w:rPr>
          <w:sz w:val="20"/>
          <w:szCs w:val="20"/>
          <w:color w:val="auto"/>
        </w:rPr>
      </w:pPr>
    </w:p>
    <w:p>
      <w:pPr>
        <w:ind w:left="840" w:right="979" w:hanging="8"/>
        <w:spacing w:after="0" w:line="265" w:lineRule="auto"/>
        <w:tabs>
          <w:tab w:leader="none" w:pos="101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case of foreign currency loans, if the repayment date falls on a non-banking day or non-banking day of the country of such foreign currency, the following business day (the day where both the bank and the bank of the country of such foreign currency are open) shall be the repayment date. The same will be applicable to prepayments.</w:t>
      </w:r>
    </w:p>
    <w:p>
      <w:pPr>
        <w:spacing w:after="0" w:line="214"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12</w:t>
      </w:r>
      <w:r>
        <w:rPr>
          <w:sz w:val="20"/>
          <w:szCs w:val="20"/>
          <w:color w:val="auto"/>
        </w:rPr>
        <w:tab/>
      </w:r>
      <w:r>
        <w:rPr>
          <w:rFonts w:ascii="Times New Roman" w:cs="Times New Roman" w:eastAsia="Times New Roman" w:hAnsi="Times New Roman"/>
          <w:sz w:val="12"/>
          <w:szCs w:val="12"/>
          <w:b w:val="1"/>
          <w:bCs w:val="1"/>
          <w:color w:val="auto"/>
        </w:rPr>
        <w:t>Obligation to Maintain Solvency</w:t>
      </w:r>
    </w:p>
    <w:p>
      <w:pPr>
        <w:spacing w:after="0" w:line="82" w:lineRule="exact"/>
        <w:rPr>
          <w:sz w:val="20"/>
          <w:szCs w:val="20"/>
          <w:color w:val="auto"/>
        </w:rPr>
      </w:pPr>
    </w:p>
    <w:p>
      <w:pPr>
        <w:ind w:left="840" w:right="1119" w:hanging="8"/>
        <w:spacing w:after="0" w:line="265" w:lineRule="auto"/>
        <w:tabs>
          <w:tab w:leader="none" w:pos="101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 agrees to maintain the appropriate financial ratio specified below for the purpose of maintaining solvency in relation to obligations arising from this Agreement. If there are any additional financial restructuring agreements, such agreements shall be attached to the end of this Agreement and the terms of such agreements shall be deemed as part of this Agreement.</w:t>
      </w:r>
    </w:p>
    <w:p>
      <w:pPr>
        <w:spacing w:after="0" w:line="13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120" w:type="dxa"/>
            <w:vAlign w:val="bottom"/>
          </w:tcPr>
          <w:p>
            <w:pPr>
              <w:spacing w:after="0"/>
              <w:rPr>
                <w:sz w:val="10"/>
                <w:szCs w:val="10"/>
                <w:color w:val="auto"/>
              </w:rPr>
            </w:pPr>
          </w:p>
        </w:tc>
        <w:tc>
          <w:tcPr>
            <w:tcW w:w="4260" w:type="dxa"/>
            <w:vAlign w:val="bottom"/>
          </w:tcPr>
          <w:p>
            <w:pPr>
              <w:ind w:left="4100"/>
              <w:spacing w:after="0"/>
              <w:rPr>
                <w:sz w:val="20"/>
                <w:szCs w:val="20"/>
                <w:color w:val="auto"/>
              </w:rPr>
            </w:pPr>
            <w:r>
              <w:rPr>
                <w:rFonts w:ascii="Times New Roman" w:cs="Times New Roman" w:eastAsia="Times New Roman" w:hAnsi="Times New Roman"/>
                <w:sz w:val="8"/>
                <w:szCs w:val="8"/>
                <w:color w:val="auto"/>
                <w:w w:val="87"/>
              </w:rPr>
              <w:t>20 </w:t>
            </w:r>
          </w:p>
        </w:tc>
        <w:tc>
          <w:tcPr>
            <w:tcW w:w="160" w:type="dxa"/>
            <w:vAlign w:val="bottom"/>
          </w:tcPr>
          <w:p>
            <w:pPr>
              <w:ind w:left="40"/>
              <w:spacing w:after="0"/>
              <w:rPr>
                <w:sz w:val="20"/>
                <w:szCs w:val="20"/>
                <w:color w:val="auto"/>
              </w:rPr>
            </w:pPr>
            <w:r>
              <w:rPr>
                <w:rFonts w:ascii="Times New Roman" w:cs="Times New Roman" w:eastAsia="Times New Roman" w:hAnsi="Times New Roman"/>
                <w:sz w:val="8"/>
                <w:szCs w:val="8"/>
                <w:color w:val="auto"/>
                <w:w w:val="71"/>
              </w:rPr>
              <w:t>   .</w:t>
            </w:r>
          </w:p>
        </w:tc>
        <w:tc>
          <w:tcPr>
            <w:tcW w:w="220" w:type="dxa"/>
            <w:vAlign w:val="bottom"/>
          </w:tcPr>
          <w:p>
            <w:pPr>
              <w:spacing w:after="0"/>
              <w:rPr>
                <w:sz w:val="10"/>
                <w:szCs w:val="10"/>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85"/>
              </w:rPr>
              <w:t>20      .</w:t>
            </w:r>
          </w:p>
        </w:tc>
        <w:tc>
          <w:tcPr>
            <w:tcW w:w="220" w:type="dxa"/>
            <w:vAlign w:val="bottom"/>
          </w:tcPr>
          <w:p>
            <w:pPr>
              <w:spacing w:after="0"/>
              <w:rPr>
                <w:sz w:val="10"/>
                <w:szCs w:val="10"/>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0"/>
                <w:szCs w:val="10"/>
                <w:color w:val="auto"/>
                <w:w w:val="79"/>
              </w:rPr>
              <w:t>20      .</w:t>
            </w:r>
          </w:p>
        </w:tc>
        <w:tc>
          <w:tcPr>
            <w:tcW w:w="240" w:type="dxa"/>
            <w:vAlign w:val="bottom"/>
          </w:tcPr>
          <w:p>
            <w:pPr>
              <w:spacing w:after="0"/>
              <w:rPr>
                <w:sz w:val="10"/>
                <w:szCs w:val="10"/>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85"/>
              </w:rPr>
              <w:t>20      .</w:t>
            </w:r>
          </w:p>
        </w:tc>
        <w:tc>
          <w:tcPr>
            <w:tcW w:w="220" w:type="dxa"/>
            <w:vAlign w:val="bottom"/>
          </w:tcPr>
          <w:p>
            <w:pPr>
              <w:spacing w:after="0"/>
              <w:rPr>
                <w:sz w:val="10"/>
                <w:szCs w:val="10"/>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85"/>
              </w:rPr>
              <w:t>20      .</w:t>
            </w:r>
          </w:p>
        </w:tc>
        <w:tc>
          <w:tcPr>
            <w:tcW w:w="140" w:type="dxa"/>
            <w:vAlign w:val="bottom"/>
          </w:tcPr>
          <w:p>
            <w:pPr>
              <w:spacing w:after="0"/>
              <w:rPr>
                <w:sz w:val="10"/>
                <w:szCs w:val="10"/>
                <w:color w:val="auto"/>
              </w:rPr>
            </w:pPr>
          </w:p>
        </w:tc>
      </w:tr>
      <w:tr>
        <w:trPr>
          <w:trHeight w:val="144"/>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ratio</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82"/>
              </w:rPr>
              <w:t> </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79"/>
              </w:rPr>
              <w:t>%</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w w:val="82"/>
              </w:rPr>
              <w:t> </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79"/>
              </w:rPr>
              <w:t>%</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w w:val="82"/>
              </w:rPr>
              <w:t> </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79"/>
              </w:rPr>
              <w:t>%</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w w:val="82"/>
              </w:rPr>
              <w:t> </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79"/>
              </w:rPr>
              <w:t>%</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w w:val="82"/>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w:t>
            </w:r>
          </w:p>
        </w:tc>
      </w:tr>
      <w:tr>
        <w:trPr>
          <w:trHeight w:val="144"/>
        </w:trPr>
        <w:tc>
          <w:tcPr>
            <w:tcW w:w="4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Equity ratio</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 </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79"/>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82"/>
              </w:rPr>
              <w:t> </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79"/>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82"/>
              </w:rPr>
              <w:t> </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79"/>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82"/>
              </w:rPr>
              <w:t> </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79"/>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8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79"/>
              </w:rPr>
              <w:t>%</w:t>
            </w:r>
          </w:p>
        </w:tc>
      </w:tr>
      <w:tr>
        <w:trPr>
          <w:trHeight w:val="144"/>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4"/>
              </w:rPr>
              <w:t>( </w:t>
            </w:r>
          </w:p>
        </w:tc>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 ratio</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82"/>
              </w:rPr>
              <w:t> </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79"/>
              </w:rPr>
              <w:t>%</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w w:val="82"/>
              </w:rPr>
              <w:t> </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79"/>
              </w:rPr>
              <w:t>%</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w w:val="82"/>
              </w:rPr>
              <w:t> </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79"/>
              </w:rPr>
              <w:t>%</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w w:val="82"/>
              </w:rPr>
              <w:t> </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79"/>
              </w:rPr>
              <w:t>%</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w w:val="82"/>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w:t>
            </w:r>
          </w:p>
        </w:tc>
      </w:tr>
      <w:tr>
        <w:trPr>
          <w:trHeight w:val="155"/>
        </w:trPr>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w w:val="74"/>
              </w:rPr>
              <w:t>( </w:t>
            </w:r>
          </w:p>
        </w:tc>
        <w:tc>
          <w:tcPr>
            <w:tcW w:w="4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ratio</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 </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79"/>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82"/>
              </w:rPr>
              <w:t> </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79"/>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82"/>
              </w:rPr>
              <w:t> </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79"/>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82"/>
              </w:rPr>
              <w:t> </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79"/>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8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79"/>
              </w:rPr>
              <w:t>%</w:t>
            </w:r>
          </w:p>
        </w:tc>
      </w:tr>
    </w:tbl>
    <w:p>
      <w:pPr>
        <w:sectPr>
          <w:pgSz w:w="11900" w:h="16838" w:orient="portrait"/>
          <w:cols w:equalWidth="0" w:num="1">
            <w:col w:w="9019"/>
          </w:cols>
          <w:pgMar w:left="1440" w:top="226" w:right="1440" w:bottom="1440" w:gutter="0" w:footer="0" w:header="0"/>
        </w:sectPr>
      </w:pPr>
    </w:p>
    <w:bookmarkStart w:id="55" w:name="page56"/>
    <w:bookmarkEnd w:id="55"/>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1000" w:hanging="168"/>
        <w:spacing w:after="0"/>
        <w:tabs>
          <w:tab w:leader="none" w:pos="10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Obligor intends to engage in any of the following activities, the Obligor shall consult thereon with the Bank in advance:</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Merger, business transfer/acquisition and sale or lease of material properties;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in fixed assets deviating from the intended purpose under the Agreement;</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Provision of guaranty for a third party’s obligation;</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Participation in a new business or overseas investment; or</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Activities which are likely to cause material change in management including application for work out or private composition.</w:t>
      </w:r>
    </w:p>
    <w:p>
      <w:pPr>
        <w:spacing w:after="0" w:line="150" w:lineRule="exact"/>
        <w:rPr>
          <w:rFonts w:ascii="Times New Roman" w:cs="Times New Roman" w:eastAsia="Times New Roman" w:hAnsi="Times New Roman"/>
          <w:sz w:val="12"/>
          <w:szCs w:val="12"/>
          <w:color w:val="auto"/>
        </w:rPr>
      </w:pPr>
    </w:p>
    <w:p>
      <w:pPr>
        <w:ind w:left="840" w:right="959" w:hanging="8"/>
        <w:spacing w:after="0" w:line="279" w:lineRule="auto"/>
        <w:tabs>
          <w:tab w:leader="none" w:pos="101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 shall comply with the requests of the Bank for the following activities which are deemed necessary by the Bank for the administration of this Agreement:</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 of real estate or the securities held by the Obligor;</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Contribution of the majority shareholder;</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Paid-in capital increase or initial public offering.</w:t>
      </w:r>
    </w:p>
    <w:p>
      <w:pPr>
        <w:spacing w:after="0" w:line="121" w:lineRule="exact"/>
        <w:rPr>
          <w:rFonts w:ascii="Times New Roman" w:cs="Times New Roman" w:eastAsia="Times New Roman" w:hAnsi="Times New Roman"/>
          <w:sz w:val="12"/>
          <w:szCs w:val="12"/>
          <w:color w:val="auto"/>
        </w:rPr>
      </w:pPr>
    </w:p>
    <w:p>
      <w:pPr>
        <w:ind w:left="1000" w:hanging="168"/>
        <w:spacing w:after="0" w:line="138" w:lineRule="exact"/>
        <w:tabs>
          <w:tab w:leader="none" w:pos="10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Paragraphs (1) to (3) shall apply only in cases where the Obligor checked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the box in the Article 2 indicating obligation to maintain solvency.</w:t>
      </w:r>
    </w:p>
    <w:p>
      <w:pPr>
        <w:spacing w:after="0" w:line="273"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13</w:t>
      </w:r>
      <w:r>
        <w:rPr>
          <w:sz w:val="20"/>
          <w:szCs w:val="20"/>
          <w:color w:val="auto"/>
        </w:rPr>
        <w:tab/>
      </w:r>
      <w:r>
        <w:rPr>
          <w:rFonts w:ascii="Times New Roman" w:cs="Times New Roman" w:eastAsia="Times New Roman" w:hAnsi="Times New Roman"/>
          <w:sz w:val="12"/>
          <w:szCs w:val="12"/>
          <w:b w:val="1"/>
          <w:bCs w:val="1"/>
          <w:color w:val="auto"/>
        </w:rPr>
        <w:t>Guarantee</w:t>
      </w:r>
    </w:p>
    <w:p>
      <w:pPr>
        <w:spacing w:after="0" w:line="82" w:lineRule="exact"/>
        <w:rPr>
          <w:sz w:val="20"/>
          <w:szCs w:val="20"/>
          <w:color w:val="auto"/>
        </w:rPr>
      </w:pPr>
    </w:p>
    <w:p>
      <w:pPr>
        <w:jc w:val="both"/>
        <w:ind w:left="840" w:right="1079"/>
        <w:spacing w:after="0" w:line="265" w:lineRule="auto"/>
        <w:rPr>
          <w:sz w:val="20"/>
          <w:szCs w:val="20"/>
          <w:color w:val="auto"/>
        </w:rPr>
      </w:pPr>
      <w:r>
        <w:rPr>
          <w:rFonts w:ascii="Times New Roman" w:cs="Times New Roman" w:eastAsia="Times New Roman" w:hAnsi="Times New Roman"/>
          <w:sz w:val="12"/>
          <w:szCs w:val="12"/>
          <w:color w:val="auto"/>
        </w:rPr>
        <w:t>Joint guarantors signing and affixing their seals to this Agreement shall approve the General Terms and Conditions for Credit Transactions and each provision of this Agreement, be jointly and severally liable with the Obligor for the Loan, and shall comply with the following subparagraphs in the performance of their obligations:</w:t>
      </w:r>
    </w:p>
    <w:p>
      <w:pPr>
        <w:spacing w:after="0" w:line="119" w:lineRule="exact"/>
        <w:rPr>
          <w:sz w:val="20"/>
          <w:szCs w:val="20"/>
          <w:color w:val="auto"/>
        </w:rPr>
      </w:pPr>
    </w:p>
    <w:p>
      <w:pPr>
        <w:ind w:left="840" w:right="1219"/>
        <w:spacing w:after="0" w:line="279" w:lineRule="auto"/>
        <w:rPr>
          <w:sz w:val="20"/>
          <w:szCs w:val="20"/>
          <w:color w:val="auto"/>
        </w:rPr>
      </w:pPr>
      <w:r>
        <w:rPr>
          <w:rFonts w:ascii="Times New Roman" w:cs="Times New Roman" w:eastAsia="Times New Roman" w:hAnsi="Times New Roman"/>
          <w:sz w:val="12"/>
          <w:szCs w:val="12"/>
          <w:color w:val="auto"/>
        </w:rPr>
        <w:t>1. The scope of the guaranteed liabilities shall include the principal, interest, default interest and any additional liabilities, and be limited to KRW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-30480</wp:posOffset>
            </wp:positionV>
            <wp:extent cx="38100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9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2. Guarantee by the following financial institutions (or its equivalents) shall be excluded from the scope of guaranteed liabilities in 1. above.</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Banks under the Banking Act and other special acts;</w:t>
      </w:r>
    </w:p>
    <w:p>
      <w:pPr>
        <w:spacing w:after="0" w:line="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Credit Guarantee Fund under the Credit Guarantee Fund Act;</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Korea Technology Finance Corporation under the Korea Technology Finance Corporation Act;</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Regional Credit Guarantee Foundation under the Regional Credit Guarantee Foundation Act;</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Korea Trade Insurance Corporation under the Trade Insurance Act;</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Korea Housing Finance Corporation under the Korea Housing Finance Corporation Act;</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Housing and Urban Fund under the Housing and Urban Fund Act; and</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Surety insurance company under the Insurance Business Act.</w:t>
      </w:r>
    </w:p>
    <w:p>
      <w:pPr>
        <w:spacing w:after="0" w:line="139" w:lineRule="exact"/>
        <w:rPr>
          <w:sz w:val="20"/>
          <w:szCs w:val="20"/>
          <w:color w:val="auto"/>
        </w:rPr>
      </w:pPr>
    </w:p>
    <w:p>
      <w:pPr>
        <w:ind w:left="840" w:right="939" w:hanging="8"/>
        <w:spacing w:after="0" w:line="260" w:lineRule="auto"/>
        <w:tabs>
          <w:tab w:leader="none" w:pos="96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Bank may amend, terminate or release, as applicable, other securities or guarantees if the joint guarantors consent thereto or if the Bank determines that the Mortgagor’s subrogation right will not be adversely affected by substituting the existing security with a higher value security or the guarantor with another guarantor with comparable financial resources, or the release of the security or the guarantee in proportion to the Obligor’s partial payment of the guaranteed or secured obligations.</w:t>
      </w:r>
    </w:p>
    <w:p>
      <w:pPr>
        <w:spacing w:after="0" w:line="122" w:lineRule="exact"/>
        <w:rPr>
          <w:rFonts w:ascii="Times New Roman" w:cs="Times New Roman" w:eastAsia="Times New Roman" w:hAnsi="Times New Roman"/>
          <w:sz w:val="12"/>
          <w:szCs w:val="12"/>
          <w:color w:val="auto"/>
        </w:rPr>
      </w:pPr>
    </w:p>
    <w:p>
      <w:pPr>
        <w:ind w:left="840" w:right="919" w:hanging="8"/>
        <w:spacing w:after="0" w:line="279" w:lineRule="auto"/>
        <w:tabs>
          <w:tab w:leader="none" w:pos="96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there is a separate guarantee for transactions between the Bank and the Obligor, such other guarantee shall not affect this guarantee provided under this Agreement.</w:t>
      </w:r>
    </w:p>
    <w:p>
      <w:pPr>
        <w:sectPr>
          <w:pgSz w:w="11900" w:h="16838" w:orient="portrait"/>
          <w:cols w:equalWidth="0" w:num="1">
            <w:col w:w="9019"/>
          </w:cols>
          <w:pgMar w:left="1440" w:top="226" w:right="1440" w:bottom="1440" w:gutter="0" w:footer="0" w:header="0"/>
        </w:sectPr>
      </w:pPr>
    </w:p>
    <w:bookmarkStart w:id="56" w:name="page57"/>
    <w:bookmarkEnd w:id="56"/>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840" w:right="999" w:hanging="8"/>
        <w:spacing w:after="0" w:line="279" w:lineRule="auto"/>
        <w:tabs>
          <w:tab w:leader="none" w:pos="96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provision of the General Terms and Conditions for Credit Transactions shall be applied to the joint guarantors unless each provision thereof is contrary to the nature of the guarantee.</w:t>
      </w:r>
    </w:p>
    <w:p>
      <w:pPr>
        <w:spacing w:after="0" w:line="206"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14</w:t>
      </w:r>
      <w:r>
        <w:rPr>
          <w:sz w:val="20"/>
          <w:szCs w:val="20"/>
          <w:color w:val="auto"/>
        </w:rPr>
        <w:tab/>
      </w:r>
      <w:r>
        <w:rPr>
          <w:rFonts w:ascii="Times New Roman" w:cs="Times New Roman" w:eastAsia="Times New Roman" w:hAnsi="Times New Roman"/>
          <w:sz w:val="12"/>
          <w:szCs w:val="12"/>
          <w:b w:val="1"/>
          <w:bCs w:val="1"/>
          <w:color w:val="auto"/>
        </w:rPr>
        <w:t>Special Terms and Conditions</w:t>
      </w:r>
    </w:p>
    <w:p>
      <w:pPr>
        <w:spacing w:after="0" w:line="172" w:lineRule="exact"/>
        <w:rPr>
          <w:sz w:val="20"/>
          <w:szCs w:val="20"/>
          <w:color w:val="auto"/>
        </w:rPr>
      </w:pPr>
    </w:p>
    <w:p>
      <w:pPr>
        <w:ind w:left="840" w:right="859" w:hanging="8"/>
        <w:spacing w:after="0" w:line="300" w:lineRule="auto"/>
        <w:tabs>
          <w:tab w:leader="none" w:pos="96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the Bank determines that the recovery of claims becomes notably challenging due to substantial deterioration of the creditworthiness of the Obligor, the Bank may require the Obligor necessary measures to improve credit standing and the Obligor shall implement without delay. In the event that the Obligor fails to such implement, at the Bank’s request, all obligations which the Obligor owes to the Bank shall immediately become due and payable.</w:t>
      </w:r>
    </w:p>
    <w:p>
      <w:pPr>
        <w:sectPr>
          <w:pgSz w:w="11900" w:h="16838" w:orient="portrait"/>
          <w:cols w:equalWidth="0" w:num="1">
            <w:col w:w="9019"/>
          </w:cols>
          <w:pgMar w:left="1440" w:top="226" w:right="1440" w:bottom="1440" w:gutter="0" w:footer="0" w:header="0"/>
        </w:sectPr>
      </w:pPr>
    </w:p>
    <w:p>
      <w:pPr>
        <w:spacing w:after="0" w:line="3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The Undersigned</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Magnachip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Semiconductor, Ltd.</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Joint Guarantor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Joint Guarantor</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         </w:t>
      </w:r>
    </w:p>
    <w:p>
      <w:pPr>
        <w:spacing w:after="0" w:line="160" w:lineRule="exact"/>
        <w:rPr>
          <w:sz w:val="20"/>
          <w:szCs w:val="20"/>
          <w:color w:val="auto"/>
        </w:rPr>
      </w:pPr>
    </w:p>
    <w:p>
      <w:pPr>
        <w:sectPr>
          <w:pgSz w:w="11900" w:h="16838" w:orient="portrait"/>
          <w:cols w:equalWidth="0" w:num="4">
            <w:col w:w="1660" w:space="440"/>
            <w:col w:w="3100" w:space="720"/>
            <w:col w:w="760" w:space="460"/>
            <w:col w:w="1879"/>
          </w:cols>
          <w:pgMar w:left="1440" w:top="226" w:right="1440"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11"/>
          <w:szCs w:val="11"/>
          <w:color w:val="auto"/>
        </w:rPr>
        <w:t>76 Jikji-daero 436beon-gil, Heungdeok-gu, Cheongju-si, Chungcheongbuk-do</w:t>
      </w:r>
    </w:p>
    <w:p>
      <w:pPr>
        <w:spacing w:after="0" w:line="1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color w:val="auto"/>
        </w:rPr>
        <w:t xml:space="preserve">Representative Director: </w:t>
      </w:r>
      <w:r>
        <w:rPr>
          <w:rFonts w:ascii="Times New Roman" w:cs="Times New Roman" w:eastAsia="Times New Roman" w:hAnsi="Times New Roman"/>
          <w:sz w:val="12"/>
          <w:szCs w:val="12"/>
          <w:i w:val="1"/>
          <w:iCs w:val="1"/>
          <w:color w:val="auto"/>
        </w:rPr>
        <w:t>/s/Young-Joon Kim</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corporate seal stamped</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226" w:right="1440" w:bottom="1440" w:gutter="0" w:footer="0" w:header="0"/>
          <w:type w:val="continuous"/>
        </w:sectPr>
      </w:pPr>
    </w:p>
    <w:bookmarkStart w:id="57" w:name="page58"/>
    <w:bookmarkEnd w:id="57"/>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Korea Development Bank</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General Terms and Conditions for Credit Transactions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Corporate Borrower)</w:t>
      </w:r>
    </w:p>
    <w:p>
      <w:pPr>
        <w:spacing w:after="0" w:line="150" w:lineRule="exact"/>
        <w:rPr>
          <w:sz w:val="20"/>
          <w:szCs w:val="20"/>
          <w:color w:val="auto"/>
        </w:rPr>
      </w:pPr>
    </w:p>
    <w:p>
      <w:pPr>
        <w:jc w:val="both"/>
        <w:ind w:left="840" w:right="999"/>
        <w:spacing w:after="0" w:line="262" w:lineRule="auto"/>
        <w:rPr>
          <w:sz w:val="20"/>
          <w:szCs w:val="20"/>
          <w:color w:val="auto"/>
        </w:rPr>
      </w:pPr>
      <w:r>
        <w:rPr>
          <w:rFonts w:ascii="Times New Roman" w:cs="Times New Roman" w:eastAsia="Times New Roman" w:hAnsi="Times New Roman"/>
          <w:sz w:val="12"/>
          <w:szCs w:val="12"/>
          <w:color w:val="auto"/>
        </w:rPr>
        <w:t>These General Terms and Conditions for Credit Transactions (the “</w:t>
      </w:r>
      <w:r>
        <w:rPr>
          <w:rFonts w:ascii="Times New Roman" w:cs="Times New Roman" w:eastAsia="Times New Roman" w:hAnsi="Times New Roman"/>
          <w:sz w:val="12"/>
          <w:szCs w:val="12"/>
          <w:b w:val="1"/>
          <w:bCs w:val="1"/>
          <w:color w:val="auto"/>
        </w:rPr>
        <w:t>General Terms and Conditions</w:t>
      </w:r>
      <w:r>
        <w:rPr>
          <w:rFonts w:ascii="Times New Roman" w:cs="Times New Roman" w:eastAsia="Times New Roman" w:hAnsi="Times New Roman"/>
          <w:sz w:val="12"/>
          <w:szCs w:val="12"/>
          <w:color w:val="auto"/>
        </w:rPr>
        <w:t>”) are established to facilitate the prompt and fair credit transactions between the Korea Development Bank (the “</w:t>
      </w:r>
      <w:r>
        <w:rPr>
          <w:rFonts w:ascii="Times New Roman" w:cs="Times New Roman" w:eastAsia="Times New Roman" w:hAnsi="Times New Roman"/>
          <w:sz w:val="12"/>
          <w:szCs w:val="12"/>
          <w:b w:val="1"/>
          <w:bCs w:val="1"/>
          <w:color w:val="auto"/>
        </w:rPr>
        <w:t>Bank</w:t>
      </w:r>
      <w:r>
        <w:rPr>
          <w:rFonts w:ascii="Times New Roman" w:cs="Times New Roman" w:eastAsia="Times New Roman" w:hAnsi="Times New Roman"/>
          <w:sz w:val="12"/>
          <w:szCs w:val="12"/>
          <w:color w:val="auto"/>
        </w:rPr>
        <w:t>”) and the customer (the “</w:t>
      </w:r>
      <w:r>
        <w:rPr>
          <w:rFonts w:ascii="Times New Roman" w:cs="Times New Roman" w:eastAsia="Times New Roman" w:hAnsi="Times New Roman"/>
          <w:sz w:val="12"/>
          <w:szCs w:val="12"/>
          <w:b w:val="1"/>
          <w:bCs w:val="1"/>
          <w:color w:val="auto"/>
        </w:rPr>
        <w:t>Obligor</w:t>
      </w:r>
      <w:r>
        <w:rPr>
          <w:rFonts w:ascii="Times New Roman" w:cs="Times New Roman" w:eastAsia="Times New Roman" w:hAnsi="Times New Roman"/>
          <w:sz w:val="12"/>
          <w:szCs w:val="12"/>
          <w:color w:val="auto"/>
        </w:rPr>
        <w:t>”) based on mutual trust. The Bank shall post this General Terms and Conditions at all offices of the Bank and on the electronic financial media, and the Obligor may access the General Terms and Conditions and request to deliver a copy thereof.</w:t>
      </w:r>
    </w:p>
    <w:p>
      <w:pPr>
        <w:spacing w:after="0" w:line="216"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1</w:t>
      </w:r>
      <w:r>
        <w:rPr>
          <w:sz w:val="20"/>
          <w:szCs w:val="20"/>
          <w:color w:val="auto"/>
        </w:rPr>
        <w:tab/>
      </w:r>
      <w:r>
        <w:rPr>
          <w:rFonts w:ascii="Times New Roman" w:cs="Times New Roman" w:eastAsia="Times New Roman" w:hAnsi="Times New Roman"/>
          <w:sz w:val="12"/>
          <w:szCs w:val="12"/>
          <w:b w:val="1"/>
          <w:bCs w:val="1"/>
          <w:color w:val="auto"/>
        </w:rPr>
        <w:t>Scope of Application</w:t>
      </w:r>
    </w:p>
    <w:p>
      <w:pPr>
        <w:spacing w:after="0" w:line="91" w:lineRule="exact"/>
        <w:rPr>
          <w:sz w:val="20"/>
          <w:szCs w:val="20"/>
          <w:color w:val="auto"/>
        </w:rPr>
      </w:pPr>
    </w:p>
    <w:p>
      <w:pPr>
        <w:ind w:left="1480" w:right="959" w:hanging="360"/>
        <w:spacing w:after="0" w:line="260" w:lineRule="auto"/>
        <w:tabs>
          <w:tab w:leader="none" w:pos="14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General Terms and Conditions shall apply to all credit transactions arising between the Bank and the Obligor (which is the person or entity owing obligations to the Bank including a borrower, a discount applicant and a payment guarantee applicant; hereinafter the same shall apply) that includes without limitation to loans, subscription of public and corporate bonds, payment guarantees, lending of instruments and securities, foreign exchange-related transactions, etc.</w:t>
      </w:r>
    </w:p>
    <w:p>
      <w:pPr>
        <w:spacing w:after="0" w:line="59" w:lineRule="exact"/>
        <w:rPr>
          <w:rFonts w:ascii="Times New Roman" w:cs="Times New Roman" w:eastAsia="Times New Roman" w:hAnsi="Times New Roman"/>
          <w:sz w:val="12"/>
          <w:szCs w:val="12"/>
          <w:color w:val="auto"/>
        </w:rPr>
      </w:pPr>
    </w:p>
    <w:p>
      <w:pPr>
        <w:ind w:left="1480" w:right="859" w:hanging="360"/>
        <w:spacing w:after="0" w:line="265" w:lineRule="auto"/>
        <w:tabs>
          <w:tab w:leader="none" w:pos="14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Bank has, through credit transactions with any third party, acquired bills (including checks, hereinafter the same) drawn, endorsed, accepted, accepted for honor or guaranteed by the Obligor, the General Terms and Conditions shall apply to the Obligor’s performance of the obligations evidenced by such bills; provided however, Articles 2, 3, 5, 7, 12(1) and 15(1) shall not apply.</w:t>
      </w:r>
    </w:p>
    <w:p>
      <w:pPr>
        <w:spacing w:after="0" w:line="55" w:lineRule="exact"/>
        <w:rPr>
          <w:rFonts w:ascii="Times New Roman" w:cs="Times New Roman" w:eastAsia="Times New Roman" w:hAnsi="Times New Roman"/>
          <w:sz w:val="12"/>
          <w:szCs w:val="12"/>
          <w:color w:val="auto"/>
        </w:rPr>
      </w:pPr>
    </w:p>
    <w:p>
      <w:pPr>
        <w:ind w:left="1480" w:right="919" w:hanging="360"/>
        <w:spacing w:after="0" w:line="265" w:lineRule="auto"/>
        <w:tabs>
          <w:tab w:leader="none" w:pos="14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General Terms and Conditions shall apply to all transactions and performance of obligations between the head office or branches of the Bank and the head office or branches of the Obligor to the extent that the transaction or the performance of obligations falls within the scope of Paragraph (1) or (2) above.</w:t>
      </w:r>
    </w:p>
    <w:p>
      <w:pPr>
        <w:spacing w:after="0" w:line="214"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2</w:t>
      </w:r>
      <w:r>
        <w:rPr>
          <w:sz w:val="20"/>
          <w:szCs w:val="20"/>
          <w:color w:val="auto"/>
        </w:rPr>
        <w:tab/>
      </w:r>
      <w:r>
        <w:rPr>
          <w:rFonts w:ascii="Times New Roman" w:cs="Times New Roman" w:eastAsia="Times New Roman" w:hAnsi="Times New Roman"/>
          <w:sz w:val="12"/>
          <w:szCs w:val="12"/>
          <w:b w:val="1"/>
          <w:bCs w:val="1"/>
          <w:color w:val="auto"/>
        </w:rPr>
        <w:t>Obligations on Bills and Credits</w:t>
      </w:r>
    </w:p>
    <w:p>
      <w:pPr>
        <w:spacing w:after="0" w:line="82" w:lineRule="exact"/>
        <w:rPr>
          <w:sz w:val="20"/>
          <w:szCs w:val="20"/>
          <w:color w:val="auto"/>
        </w:rPr>
      </w:pPr>
    </w:p>
    <w:p>
      <w:pPr>
        <w:ind w:left="1120" w:right="939"/>
        <w:spacing w:after="0" w:line="265" w:lineRule="auto"/>
        <w:rPr>
          <w:sz w:val="20"/>
          <w:szCs w:val="20"/>
          <w:color w:val="auto"/>
        </w:rPr>
      </w:pPr>
      <w:r>
        <w:rPr>
          <w:rFonts w:ascii="Times New Roman" w:cs="Times New Roman" w:eastAsia="Times New Roman" w:hAnsi="Times New Roman"/>
          <w:sz w:val="12"/>
          <w:szCs w:val="12"/>
          <w:color w:val="auto"/>
        </w:rPr>
        <w:t>In the event the Obligor receives credit from the bills drawn, endorsed, accepted, accepted for honor or guaranteed by the Obligor, the Bank may demand from the Obligor the performance of the Obligor’s obligations by exercising the Bank’s rights either under such bills or under such underlying credits.</w:t>
      </w:r>
    </w:p>
    <w:p>
      <w:pPr>
        <w:spacing w:after="0" w:line="214"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3</w:t>
      </w:r>
      <w:r>
        <w:rPr>
          <w:sz w:val="20"/>
          <w:szCs w:val="20"/>
          <w:color w:val="auto"/>
        </w:rPr>
        <w:tab/>
      </w:r>
      <w:r>
        <w:rPr>
          <w:rFonts w:ascii="Times New Roman" w:cs="Times New Roman" w:eastAsia="Times New Roman" w:hAnsi="Times New Roman"/>
          <w:sz w:val="12"/>
          <w:szCs w:val="12"/>
          <w:b w:val="1"/>
          <w:bCs w:val="1"/>
          <w:color w:val="auto"/>
        </w:rPr>
        <w:t>Interest and Default Interest</w:t>
      </w:r>
    </w:p>
    <w:p>
      <w:pPr>
        <w:spacing w:after="0" w:line="91" w:lineRule="exact"/>
        <w:rPr>
          <w:sz w:val="20"/>
          <w:szCs w:val="20"/>
          <w:color w:val="auto"/>
        </w:rPr>
      </w:pPr>
    </w:p>
    <w:p>
      <w:pPr>
        <w:ind w:left="1480" w:right="879" w:hanging="360"/>
        <w:spacing w:after="0" w:line="260" w:lineRule="auto"/>
        <w:tabs>
          <w:tab w:leader="none" w:pos="148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rates, calculation method or the time and manner of payment, respectively, of the interest, discount charge, guarantee fee or commission (“</w:t>
      </w:r>
      <w:r>
        <w:rPr>
          <w:rFonts w:ascii="Times New Roman" w:cs="Times New Roman" w:eastAsia="Times New Roman" w:hAnsi="Times New Roman"/>
          <w:sz w:val="12"/>
          <w:szCs w:val="12"/>
          <w:b w:val="1"/>
          <w:bCs w:val="1"/>
          <w:color w:val="auto"/>
        </w:rPr>
        <w:t>Interest and other fees</w:t>
      </w:r>
      <w:r>
        <w:rPr>
          <w:rFonts w:ascii="Times New Roman" w:cs="Times New Roman" w:eastAsia="Times New Roman" w:hAnsi="Times New Roman"/>
          <w:sz w:val="12"/>
          <w:szCs w:val="12"/>
          <w:color w:val="auto"/>
        </w:rPr>
        <w:t>”) shall be determined by the Bank to the extent permitted by applicable laws and regulations, and the Bank shall make available through product description and the Bank’s website for the Obligor to check the Interest and other fees prior to entering into relevant agreements.</w:t>
      </w:r>
    </w:p>
    <w:p>
      <w:pPr>
        <w:spacing w:after="0" w:line="59" w:lineRule="exact"/>
        <w:rPr>
          <w:rFonts w:ascii="Times New Roman" w:cs="Times New Roman" w:eastAsia="Times New Roman" w:hAnsi="Times New Roman"/>
          <w:sz w:val="12"/>
          <w:szCs w:val="12"/>
          <w:color w:val="auto"/>
        </w:rPr>
      </w:pPr>
    </w:p>
    <w:p>
      <w:pPr>
        <w:ind w:left="1480" w:right="1459" w:hanging="360"/>
        <w:spacing w:after="0" w:line="420" w:lineRule="auto"/>
        <w:tabs>
          <w:tab w:leader="none" w:pos="1471"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rate of the Interest and other fees, the Obligor may select one of the following at the time of the agreement: 1. The Bank shall not, in principle, change the rate until the Obligor’s obligations are fully performed; or</w:t>
      </w:r>
    </w:p>
    <w:p>
      <w:pPr>
        <w:sectPr>
          <w:pgSz w:w="11900" w:h="16838" w:orient="portrait"/>
          <w:cols w:equalWidth="0" w:num="1">
            <w:col w:w="9019"/>
          </w:cols>
          <w:pgMar w:left="1440" w:top="226" w:right="1440" w:bottom="1440" w:gutter="0" w:footer="0" w:header="0"/>
        </w:sectPr>
      </w:pPr>
    </w:p>
    <w:bookmarkStart w:id="58" w:name="page59"/>
    <w:bookmarkEnd w:id="58"/>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2.   The Bank may change the rate from time to time until the Obligor’s obligations are fully performed.</w:t>
      </w:r>
    </w:p>
    <w:p>
      <w:pPr>
        <w:spacing w:after="0" w:line="87" w:lineRule="exact"/>
        <w:rPr>
          <w:sz w:val="20"/>
          <w:szCs w:val="20"/>
          <w:color w:val="auto"/>
        </w:rPr>
      </w:pPr>
    </w:p>
    <w:p>
      <w:pPr>
        <w:ind w:left="1480" w:right="959" w:hanging="360"/>
        <w:spacing w:after="0" w:line="291" w:lineRule="auto"/>
        <w:tabs>
          <w:tab w:leader="none" w:pos="148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the Obligor selects Paragraph (2) 1. above and there is a material change in circumstances due to sudden changes in the national economy or financial situation, which could not be expected at the time of execution of the agreement, before the obligations are fully performed, then the Bank may increase or decrease the rates of the Interest and other fees by providing notice to the Obligor. In the event the cause for such change ceases to exist, the Bank shall change the rate of the Interest and other fees to conform to such circumstance.</w:t>
      </w:r>
    </w:p>
    <w:p>
      <w:pPr>
        <w:spacing w:after="0" w:line="43" w:lineRule="exact"/>
        <w:rPr>
          <w:rFonts w:ascii="Times New Roman" w:cs="Times New Roman" w:eastAsia="Times New Roman" w:hAnsi="Times New Roman"/>
          <w:sz w:val="11"/>
          <w:szCs w:val="11"/>
          <w:color w:val="auto"/>
        </w:rPr>
      </w:pPr>
    </w:p>
    <w:p>
      <w:pPr>
        <w:ind w:left="1480" w:right="899" w:hanging="360"/>
        <w:spacing w:after="0" w:line="279" w:lineRule="auto"/>
        <w:tabs>
          <w:tab w:leader="none" w:pos="148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Obligor selects Paragraph (2) 2. above, the Bank shall increase or decrease the rates of Interest and other fees in accordance with the financial practices to a reasonable extent.</w:t>
      </w:r>
    </w:p>
    <w:p>
      <w:pPr>
        <w:spacing w:after="0" w:line="48" w:lineRule="exact"/>
        <w:rPr>
          <w:rFonts w:ascii="Times New Roman" w:cs="Times New Roman" w:eastAsia="Times New Roman" w:hAnsi="Times New Roman"/>
          <w:sz w:val="12"/>
          <w:szCs w:val="12"/>
          <w:color w:val="auto"/>
        </w:rPr>
      </w:pPr>
    </w:p>
    <w:p>
      <w:pPr>
        <w:ind w:left="1480" w:right="899" w:hanging="360"/>
        <w:spacing w:after="0" w:line="260" w:lineRule="auto"/>
        <w:tabs>
          <w:tab w:leader="none" w:pos="148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not paid by the Obligor to the Bank when due and payable shall bear interest at the default rate determined by the Bank to the extent permitted under the applicable laws and regulations, calculated on a daily basis on 365 days in a year (366 days in a leap year); provided that, the Bank may change the rates to the extent permitted under the applicable laws and regulations in the event of change in financial condition or any other comparable causes.</w:t>
      </w:r>
    </w:p>
    <w:p>
      <w:pPr>
        <w:spacing w:after="0" w:line="59" w:lineRule="exact"/>
        <w:rPr>
          <w:rFonts w:ascii="Times New Roman" w:cs="Times New Roman" w:eastAsia="Times New Roman" w:hAnsi="Times New Roman"/>
          <w:sz w:val="12"/>
          <w:szCs w:val="12"/>
          <w:color w:val="auto"/>
        </w:rPr>
      </w:pPr>
    </w:p>
    <w:p>
      <w:pPr>
        <w:ind w:left="1480" w:right="839" w:hanging="360"/>
        <w:spacing w:after="0" w:line="260" w:lineRule="auto"/>
        <w:tabs>
          <w:tab w:leader="none" w:pos="148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Bank needs to change the calculation method or time and manner of payment of the Interest and other fees and the default interest due to changes in the financial circumstances or any other circumstances affecting credit transactions, such change may be made by the Bank to the extent permitted under the applicable laws and regulations, and shall apply from the date of the first interest payment after such change.</w:t>
      </w:r>
    </w:p>
    <w:p>
      <w:pPr>
        <w:spacing w:after="0" w:line="59" w:lineRule="exact"/>
        <w:rPr>
          <w:rFonts w:ascii="Times New Roman" w:cs="Times New Roman" w:eastAsia="Times New Roman" w:hAnsi="Times New Roman"/>
          <w:sz w:val="12"/>
          <w:szCs w:val="12"/>
          <w:color w:val="auto"/>
        </w:rPr>
      </w:pPr>
    </w:p>
    <w:p>
      <w:pPr>
        <w:ind w:left="1480" w:right="859" w:hanging="360"/>
        <w:spacing w:after="0" w:line="265" w:lineRule="auto"/>
        <w:tabs>
          <w:tab w:leader="none" w:pos="148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change is made pursuant to Paragraph (4), (5) or (6) above, the Bank shall post a notice of change at each office of the Bank and on electronic financial media as designated by the Bank for one (1) month from the effective date of such change; provided, that, if the change applies to certain Obligors, the change shall be notified to such Obligors separately.</w:t>
      </w:r>
    </w:p>
    <w:p>
      <w:pPr>
        <w:spacing w:after="0" w:line="55"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Obligor incurs unexpected disadvantage pursuant to Paragraph (3) or (6) above, the Obligor may terminate the agreement within one</w:t>
      </w:r>
    </w:p>
    <w:p>
      <w:pPr>
        <w:spacing w:after="0" w:line="16" w:lineRule="exact"/>
        <w:rPr>
          <w:rFonts w:ascii="Times New Roman" w:cs="Times New Roman" w:eastAsia="Times New Roman" w:hAnsi="Times New Roman"/>
          <w:sz w:val="12"/>
          <w:szCs w:val="12"/>
          <w:color w:val="auto"/>
        </w:rPr>
      </w:pPr>
    </w:p>
    <w:p>
      <w:pPr>
        <w:ind w:left="1480" w:right="859"/>
        <w:spacing w:after="0" w:line="25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 month from the date of the first interest payment after such change. In this case, the interest shall accrue at the rate effective prior to the change until the date of termination, and any amount not paid by the Obligor to the Bank when due and payable as a result of such termination shall bear interest at the default interest rate that was effective prior to such change.</w:t>
      </w:r>
    </w:p>
    <w:p>
      <w:pPr>
        <w:spacing w:after="0" w:line="220"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4</w:t>
      </w:r>
      <w:r>
        <w:rPr>
          <w:sz w:val="20"/>
          <w:szCs w:val="20"/>
          <w:color w:val="auto"/>
        </w:rPr>
        <w:tab/>
      </w:r>
      <w:r>
        <w:rPr>
          <w:rFonts w:ascii="Times New Roman" w:cs="Times New Roman" w:eastAsia="Times New Roman" w:hAnsi="Times New Roman"/>
          <w:sz w:val="12"/>
          <w:szCs w:val="12"/>
          <w:b w:val="1"/>
          <w:bCs w:val="1"/>
          <w:color w:val="auto"/>
        </w:rPr>
        <w:t>Costs and Expenses</w:t>
      </w:r>
    </w:p>
    <w:p>
      <w:pPr>
        <w:spacing w:after="0" w:line="91" w:lineRule="exact"/>
        <w:rPr>
          <w:sz w:val="20"/>
          <w:szCs w:val="20"/>
          <w:color w:val="auto"/>
        </w:rPr>
      </w:pPr>
    </w:p>
    <w:p>
      <w:pPr>
        <w:ind w:left="1480" w:right="1339" w:hanging="360"/>
        <w:spacing w:after="0" w:line="279" w:lineRule="auto"/>
        <w:tabs>
          <w:tab w:leader="none" w:pos="14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 shall bear the costs and expenses set forth in the following as a result of default or non-performance of the Obligor’s obligation:</w:t>
      </w:r>
    </w:p>
    <w:p>
      <w:pPr>
        <w:spacing w:after="0" w:line="48" w:lineRule="exact"/>
        <w:rPr>
          <w:rFonts w:ascii="Times New Roman" w:cs="Times New Roman" w:eastAsia="Times New Roman" w:hAnsi="Times New Roman"/>
          <w:sz w:val="12"/>
          <w:szCs w:val="12"/>
          <w:color w:val="auto"/>
        </w:rPr>
      </w:pPr>
    </w:p>
    <w:p>
      <w:pPr>
        <w:ind w:left="1780" w:right="1039" w:hanging="291"/>
        <w:spacing w:after="0" w:line="265" w:lineRule="auto"/>
        <w:tabs>
          <w:tab w:leader="none" w:pos="1780"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and expenses incurred by the Bank in enforcing or protecting the Bank’s rights including without limitation to claims or security right against the Obligor, guarantor or guarantor in rem [including provisional attachment or provisional injunction (including termination thereof)];</w:t>
      </w:r>
    </w:p>
    <w:p>
      <w:pPr>
        <w:spacing w:after="0" w:line="55"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and expenses incurred by the Bank for inspection of any collateral or collection of claims; and</w:t>
      </w:r>
    </w:p>
    <w:p>
      <w:pPr>
        <w:sectPr>
          <w:pgSz w:w="11900" w:h="16838" w:orient="portrait"/>
          <w:cols w:equalWidth="0" w:num="1">
            <w:col w:w="9019"/>
          </w:cols>
          <w:pgMar w:left="1440" w:top="226" w:right="1440" w:bottom="1440" w:gutter="0" w:footer="0" w:header="0"/>
        </w:sectPr>
      </w:pPr>
    </w:p>
    <w:bookmarkStart w:id="59" w:name="page60"/>
    <w:bookmarkEnd w:id="59"/>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3.   the costs and expenses incurred by the Bank for sending notices to demand performance of the Obligor’s obligations.</w:t>
      </w:r>
    </w:p>
    <w:p>
      <w:pPr>
        <w:spacing w:after="0" w:line="87" w:lineRule="exact"/>
        <w:rPr>
          <w:sz w:val="20"/>
          <w:szCs w:val="20"/>
          <w:color w:val="auto"/>
        </w:rPr>
      </w:pPr>
    </w:p>
    <w:p>
      <w:pPr>
        <w:jc w:val="both"/>
        <w:ind w:left="1480" w:right="899" w:hanging="360"/>
        <w:spacing w:after="0" w:line="257" w:lineRule="auto"/>
        <w:tabs>
          <w:tab w:leader="none" w:pos="14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Bank pays on the Obligor’s behalf any cost and expenses set forth in Paragraph (1) above not paid by the Obligor, the Obligor shall immediately reimburse the Bank for such payment. Any of such payment not paid immediately shall bear the agreed interest of which the maximum rate is 6% per annum as stipulated in Article 54 of the Korean Commercial Code, calculated on a daily basis based on 365 days in a year (366 days in leap year) for the period from the date of the payment by the Bank to the date of full reimbursement by the Obligor.</w:t>
      </w:r>
    </w:p>
    <w:p>
      <w:pPr>
        <w:spacing w:after="0" w:line="62" w:lineRule="exact"/>
        <w:rPr>
          <w:rFonts w:ascii="Times New Roman" w:cs="Times New Roman" w:eastAsia="Times New Roman" w:hAnsi="Times New Roman"/>
          <w:sz w:val="12"/>
          <w:szCs w:val="12"/>
          <w:color w:val="auto"/>
        </w:rPr>
      </w:pPr>
    </w:p>
    <w:p>
      <w:pPr>
        <w:ind w:left="1480" w:right="979" w:hanging="360"/>
        <w:spacing w:after="0" w:line="265" w:lineRule="auto"/>
        <w:tabs>
          <w:tab w:leader="none" w:pos="14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Before executing any loan agreement, the Bank shall inform the Obligor in writing in advance of the type and amount of incidental costs and expenses required for extending loans, in addition to the agreed interest and prepayment fees. Further, the Bank shall calculate and inform the actual interest which adds up to the agreed interest and any other charges of similar nature to be borne by the Obligor.</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Article 4-2 Withdrawal of Offer</w:t>
      </w:r>
    </w:p>
    <w:p>
      <w:pPr>
        <w:spacing w:after="0" w:line="78" w:lineRule="exact"/>
        <w:rPr>
          <w:sz w:val="20"/>
          <w:szCs w:val="20"/>
          <w:color w:val="auto"/>
        </w:rPr>
      </w:pPr>
    </w:p>
    <w:p>
      <w:pPr>
        <w:ind w:left="840" w:right="1199" w:hanging="8"/>
        <w:spacing w:after="0" w:line="286" w:lineRule="auto"/>
        <w:tabs>
          <w:tab w:leader="none" w:pos="93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Please note that the underlined portion of this Article is different from the “General Terms and Conditions for Credit Transactions (for Corporate Borrower)” set out by the Korea Fair Trade Commission.</w:t>
      </w:r>
    </w:p>
    <w:p>
      <w:pPr>
        <w:spacing w:after="0" w:line="44" w:lineRule="exact"/>
        <w:rPr>
          <w:rFonts w:ascii="Times New Roman" w:cs="Times New Roman" w:eastAsia="Times New Roman" w:hAnsi="Times New Roman"/>
          <w:sz w:val="12"/>
          <w:szCs w:val="12"/>
          <w:color w:val="auto"/>
        </w:rPr>
      </w:pPr>
    </w:p>
    <w:p>
      <w:pPr>
        <w:ind w:left="1480" w:right="1359" w:hanging="360"/>
        <w:spacing w:after="0" w:line="279" w:lineRule="auto"/>
        <w:tabs>
          <w:tab w:leader="none" w:pos="1480"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The Obligor may withdraw its offer of the loan contract concluded with the Bank in accordance with Article 46 of the Act on the Protection of Financial Consumers and related regulations.</w:t>
      </w:r>
    </w:p>
    <w:p>
      <w:pPr>
        <w:spacing w:after="0" w:line="48" w:lineRule="exact"/>
        <w:rPr>
          <w:rFonts w:ascii="Times New Roman" w:cs="Times New Roman" w:eastAsia="Times New Roman" w:hAnsi="Times New Roman"/>
          <w:sz w:val="12"/>
          <w:szCs w:val="12"/>
          <w:color w:val="auto"/>
        </w:rPr>
      </w:pPr>
    </w:p>
    <w:p>
      <w:pPr>
        <w:ind w:left="1480" w:right="1079" w:hanging="360"/>
        <w:spacing w:after="0" w:line="327" w:lineRule="auto"/>
        <w:tabs>
          <w:tab w:leader="none" w:pos="1480" w:val="left"/>
        </w:tabs>
        <w:numPr>
          <w:ilvl w:val="1"/>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In the event that the Obligor, who has withdrawn its offer of the loan contract concluded with the Bank pursuant to Paragraph 1 above, insists on repaying the loan amount in whole, the Bank shall process upon confirming the Obligor’s intention to withdraw its offer.</w:t>
      </w:r>
    </w:p>
    <w:p>
      <w:pPr>
        <w:spacing w:after="0" w:line="1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Article 4-3 Termination of illegal contract</w:t>
      </w:r>
    </w:p>
    <w:p>
      <w:pPr>
        <w:spacing w:after="0" w:line="78" w:lineRule="exact"/>
        <w:rPr>
          <w:sz w:val="20"/>
          <w:szCs w:val="20"/>
          <w:color w:val="auto"/>
        </w:rPr>
      </w:pPr>
    </w:p>
    <w:p>
      <w:pPr>
        <w:ind w:left="840" w:right="959" w:hanging="8"/>
        <w:spacing w:after="0" w:line="286" w:lineRule="auto"/>
        <w:tabs>
          <w:tab w:leader="none" w:pos="93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Please note that this Article is different from the “General Terms and Conditions for Credit Transactions (for Corporate Borrower)” set out by the Korea Fair Trade Commission.</w:t>
      </w:r>
    </w:p>
    <w:p>
      <w:pPr>
        <w:spacing w:after="0" w:line="35" w:lineRule="exact"/>
        <w:rPr>
          <w:sz w:val="20"/>
          <w:szCs w:val="20"/>
          <w:color w:val="auto"/>
        </w:rPr>
      </w:pPr>
    </w:p>
    <w:p>
      <w:pPr>
        <w:ind w:left="840" w:right="879"/>
        <w:spacing w:after="0" w:line="279" w:lineRule="auto"/>
        <w:rPr>
          <w:sz w:val="20"/>
          <w:szCs w:val="20"/>
          <w:color w:val="auto"/>
        </w:rPr>
      </w:pPr>
      <w:r>
        <w:rPr>
          <w:rFonts w:ascii="Times New Roman" w:cs="Times New Roman" w:eastAsia="Times New Roman" w:hAnsi="Times New Roman"/>
          <w:sz w:val="12"/>
          <w:szCs w:val="12"/>
          <w:color w:val="auto"/>
        </w:rPr>
        <w:t>If the Obligor executed a contract with illegality with the Bank, the Obligor may request the termination of the contract in accordance with Article 47 of the Act on the Protection of Financial Consumers and related regulations.</w:t>
      </w:r>
    </w:p>
    <w:p>
      <w:pPr>
        <w:spacing w:after="0" w:line="206"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5</w:t>
      </w:r>
      <w:r>
        <w:rPr>
          <w:sz w:val="20"/>
          <w:szCs w:val="20"/>
          <w:color w:val="auto"/>
        </w:rPr>
        <w:tab/>
      </w:r>
      <w:r>
        <w:rPr>
          <w:rFonts w:ascii="Times New Roman" w:cs="Times New Roman" w:eastAsia="Times New Roman" w:hAnsi="Times New Roman"/>
          <w:sz w:val="12"/>
          <w:szCs w:val="12"/>
          <w:b w:val="1"/>
          <w:bCs w:val="1"/>
          <w:color w:val="auto"/>
        </w:rPr>
        <w:t>Purpose and Use of Fund</w:t>
      </w:r>
    </w:p>
    <w:p>
      <w:pPr>
        <w:spacing w:after="0" w:line="91" w:lineRule="exact"/>
        <w:rPr>
          <w:sz w:val="20"/>
          <w:szCs w:val="20"/>
          <w:color w:val="auto"/>
        </w:rPr>
      </w:pPr>
    </w:p>
    <w:p>
      <w:pPr>
        <w:ind w:left="1480" w:right="859" w:hanging="360"/>
        <w:spacing w:after="0" w:line="265" w:lineRule="auto"/>
        <w:tabs>
          <w:tab w:leader="none" w:pos="14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 shall clearly describe the purpose of the fund in the application for credit. The fund disbursed to the Obligor by the Bank or the securities borrowed by the Obligor from the Bank under the credit transactions shall not be used for any purpose other than the purpose agreed to under the agreement. The same shall apply to payment guarantees and other types of credits extended by the Bank.</w:t>
      </w:r>
    </w:p>
    <w:p>
      <w:pPr>
        <w:spacing w:after="0" w:line="55" w:lineRule="exact"/>
        <w:rPr>
          <w:rFonts w:ascii="Times New Roman" w:cs="Times New Roman" w:eastAsia="Times New Roman" w:hAnsi="Times New Roman"/>
          <w:sz w:val="12"/>
          <w:szCs w:val="12"/>
          <w:color w:val="auto"/>
        </w:rPr>
      </w:pPr>
    </w:p>
    <w:p>
      <w:pPr>
        <w:ind w:left="1480" w:right="1099" w:hanging="360"/>
        <w:spacing w:after="0" w:line="279" w:lineRule="auto"/>
        <w:tabs>
          <w:tab w:leader="none" w:pos="14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 shall actively cooperate with any and all actions of the Bank in relation to the use and management of the fund, borrowed securities or credit under Paragraph (1) above.</w:t>
      </w:r>
    </w:p>
    <w:p>
      <w:pPr>
        <w:sectPr>
          <w:pgSz w:w="11900" w:h="16838" w:orient="portrait"/>
          <w:cols w:equalWidth="0" w:num="1">
            <w:col w:w="9019"/>
          </w:cols>
          <w:pgMar w:left="1440" w:top="226" w:right="1440" w:bottom="1440" w:gutter="0" w:footer="0" w:header="0"/>
        </w:sectPr>
      </w:pPr>
    </w:p>
    <w:bookmarkStart w:id="60" w:name="page61"/>
    <w:bookmarkEnd w:id="60"/>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3"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6</w:t>
      </w:r>
      <w:r>
        <w:rPr>
          <w:sz w:val="20"/>
          <w:szCs w:val="20"/>
          <w:color w:val="auto"/>
        </w:rPr>
        <w:tab/>
      </w:r>
      <w:r>
        <w:rPr>
          <w:rFonts w:ascii="Times New Roman" w:cs="Times New Roman" w:eastAsia="Times New Roman" w:hAnsi="Times New Roman"/>
          <w:sz w:val="12"/>
          <w:szCs w:val="12"/>
          <w:b w:val="1"/>
          <w:bCs w:val="1"/>
          <w:color w:val="auto"/>
        </w:rPr>
        <w:t>Security and Insurance</w:t>
      </w:r>
    </w:p>
    <w:p>
      <w:pPr>
        <w:spacing w:after="0" w:line="91" w:lineRule="exact"/>
        <w:rPr>
          <w:sz w:val="20"/>
          <w:szCs w:val="20"/>
          <w:color w:val="auto"/>
        </w:rPr>
      </w:pPr>
    </w:p>
    <w:p>
      <w:pPr>
        <w:ind w:left="1480" w:hanging="360"/>
        <w:spacing w:after="0"/>
        <w:tabs>
          <w:tab w:leader="none" w:pos="14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 shall provide the Bank with security as prescribed by the Bank in connection with the obligations owed to the Bank.</w:t>
      </w:r>
    </w:p>
    <w:p>
      <w:pPr>
        <w:spacing w:after="0" w:line="87" w:lineRule="exact"/>
        <w:rPr>
          <w:rFonts w:ascii="Times New Roman" w:cs="Times New Roman" w:eastAsia="Times New Roman" w:hAnsi="Times New Roman"/>
          <w:sz w:val="12"/>
          <w:szCs w:val="12"/>
          <w:color w:val="auto"/>
        </w:rPr>
      </w:pPr>
    </w:p>
    <w:p>
      <w:pPr>
        <w:jc w:val="both"/>
        <w:ind w:left="1480" w:right="939" w:hanging="360"/>
        <w:spacing w:after="0" w:line="260" w:lineRule="auto"/>
        <w:tabs>
          <w:tab w:leader="none" w:pos="14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the Bank demands otherwise, the Obligor shall provide the Bank with the facilities to be installed with the fund, together with the land and the building on or in which the facilities are installed including any and all facilities within the land and the building as security, and shall enter into an insurance agreement with respect to any security as instructed by the Bank and pledge the insurance claim in favor of the Bank.</w:t>
      </w:r>
    </w:p>
    <w:p>
      <w:pPr>
        <w:spacing w:after="0" w:line="59" w:lineRule="exact"/>
        <w:rPr>
          <w:rFonts w:ascii="Times New Roman" w:cs="Times New Roman" w:eastAsia="Times New Roman" w:hAnsi="Times New Roman"/>
          <w:sz w:val="12"/>
          <w:szCs w:val="12"/>
          <w:color w:val="auto"/>
        </w:rPr>
      </w:pPr>
    </w:p>
    <w:p>
      <w:pPr>
        <w:ind w:left="1480" w:right="899" w:hanging="360"/>
        <w:spacing w:after="0" w:line="265" w:lineRule="auto"/>
        <w:tabs>
          <w:tab w:leader="none" w:pos="14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case of deterioration in the Obligor’s or the guarantor’s creditworthiness due to a reason attributable to the Obligor or the guarantor or a significant reduction in the value of any security, the Obligor or the guarantor shall, upon demand by the Bank for the protection of security, effect the restoration or supplementation of such security.</w:t>
      </w:r>
    </w:p>
    <w:p>
      <w:pPr>
        <w:spacing w:after="0" w:line="55" w:lineRule="exact"/>
        <w:rPr>
          <w:rFonts w:ascii="Times New Roman" w:cs="Times New Roman" w:eastAsia="Times New Roman" w:hAnsi="Times New Roman"/>
          <w:sz w:val="12"/>
          <w:szCs w:val="12"/>
          <w:color w:val="auto"/>
        </w:rPr>
      </w:pPr>
    </w:p>
    <w:p>
      <w:pPr>
        <w:ind w:left="1480" w:right="839" w:hanging="360"/>
        <w:spacing w:after="0" w:line="254" w:lineRule="auto"/>
        <w:tabs>
          <w:tab w:leader="none" w:pos="14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security shall, in principle, be disposed of in accordance with the procedures prescribed by the voluntary auction procedure in accordance with the Civil Execution Act (provided, in the case that the Trust Act or other specific laws prescribe for the disposition of such security, then in accordance with the foregoing),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in the case of each of the following sub-paragraphs, the Bank may directly apply the security for the payment of the Obligor’s obligations, or may sell the security and may deduct any expenses incurred from the proceeds and apply the remaining amount to the payment of the Obligor’s obligations to the Bank pursuant to Article 13 hereof. In this case, the Obligor shall agree to promptly repay any outstanding obligations if applicable, and the Bank shall pay to the Obligor, etc. any amount remaining after deducting the amount of the Obligor’s obligations from the assessed value of the security or sale proceeds. “Obligor, etc.” shall mean the Obligor, pledger, the third party acquirer of the security.</w:t>
      </w:r>
    </w:p>
    <w:p>
      <w:pPr>
        <w:spacing w:after="0" w:line="64"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that the value of the security is insignificant such that an auction shall be impractical;</w:t>
      </w:r>
    </w:p>
    <w:p>
      <w:pPr>
        <w:spacing w:after="0" w:line="87"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that there exist circumstances that make it difficult for a fair value to be assessed during an auction;</w:t>
      </w:r>
    </w:p>
    <w:p>
      <w:pPr>
        <w:spacing w:after="0" w:line="87"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that a fair market value is available such that a fair value can be assessed without recourse to an auction; or</w:t>
      </w:r>
    </w:p>
    <w:p>
      <w:pPr>
        <w:spacing w:after="0" w:line="87"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that a justifiable reason can be seen to exist.</w:t>
      </w:r>
    </w:p>
    <w:p>
      <w:pPr>
        <w:spacing w:after="0" w:line="87" w:lineRule="exact"/>
        <w:rPr>
          <w:rFonts w:ascii="Times New Roman" w:cs="Times New Roman" w:eastAsia="Times New Roman" w:hAnsi="Times New Roman"/>
          <w:sz w:val="12"/>
          <w:szCs w:val="12"/>
          <w:color w:val="auto"/>
        </w:rPr>
      </w:pPr>
    </w:p>
    <w:p>
      <w:pPr>
        <w:ind w:left="1480" w:right="899" w:hanging="360"/>
        <w:spacing w:after="0" w:line="256" w:lineRule="auto"/>
        <w:tabs>
          <w:tab w:leader="none" w:pos="14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that reliance is not made on the voluntary auction procedure (or a method of disposition of security prescribed under specific laws and regulations), the Bank shall notify the content of each of the following sub-paragraphs to the Obligor, etc. and persons of interest of which the Bank is aware, and only in the event that the person of interest does not provide a method of disposition resulting in an amount greater than the amount of expected sale proceeds assessed by the Bank during the period that is 1 months from the date of delivery of the above-referenced notice may the disposition be made. Provided, the foregoing shall not be applicable if there is a risk of loss or damage to the security or there is a risk of a rapid decrease in value of the security.</w:t>
      </w:r>
    </w:p>
    <w:p>
      <w:pPr>
        <w:spacing w:after="0" w:line="61"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Method of enforcing security;</w:t>
      </w:r>
    </w:p>
    <w:p>
      <w:pPr>
        <w:spacing w:after="0" w:line="87"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of the secured obligations;</w:t>
      </w:r>
    </w:p>
    <w:p>
      <w:pPr>
        <w:sectPr>
          <w:pgSz w:w="11900" w:h="16838" w:orient="portrait"/>
          <w:cols w:equalWidth="0" w:num="1">
            <w:col w:w="9019"/>
          </w:cols>
          <w:pgMar w:left="1440" w:top="226" w:right="1440" w:bottom="1440" w:gutter="0" w:footer="0" w:header="0"/>
        </w:sectPr>
      </w:pPr>
    </w:p>
    <w:bookmarkStart w:id="61" w:name="page62"/>
    <w:bookmarkEnd w:id="61"/>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1780" w:hanging="291"/>
        <w:spacing w:after="0"/>
        <w:tabs>
          <w:tab w:leader="none" w:pos="178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assessed value of the security or the amount of expected sales proceeds; and</w:t>
      </w:r>
    </w:p>
    <w:p>
      <w:pPr>
        <w:spacing w:after="0" w:line="87"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Reason for directly applying the security for the payment of the Obligor’s obligations or for selling the security.</w:t>
      </w:r>
    </w:p>
    <w:p>
      <w:pPr>
        <w:spacing w:after="0" w:line="87" w:lineRule="exact"/>
        <w:rPr>
          <w:rFonts w:ascii="Times New Roman" w:cs="Times New Roman" w:eastAsia="Times New Roman" w:hAnsi="Times New Roman"/>
          <w:sz w:val="12"/>
          <w:szCs w:val="12"/>
          <w:color w:val="auto"/>
        </w:rPr>
      </w:pPr>
    </w:p>
    <w:p>
      <w:pPr>
        <w:ind w:left="1480" w:right="879" w:hanging="360"/>
        <w:spacing w:after="0" w:line="265" w:lineRule="auto"/>
        <w:tabs>
          <w:tab w:leader="none" w:pos="14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case of any delay in the Obligor’s performance of any obligations owing to the Bank, the Bank may continue to possess, or make collections on or dispose of, pursuant to the Paragraph (4) above, all or part of the Obligor’s personal properties, bills, and other negotiable instruments and securities in the Bank’s possession or management, even if it was not furnished to the Bank as security.</w:t>
      </w:r>
    </w:p>
    <w:p>
      <w:pPr>
        <w:spacing w:after="0" w:line="214"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7</w:t>
      </w:r>
      <w:r>
        <w:rPr>
          <w:sz w:val="20"/>
          <w:szCs w:val="20"/>
          <w:color w:val="auto"/>
        </w:rPr>
        <w:tab/>
      </w:r>
      <w:r>
        <w:rPr>
          <w:rFonts w:ascii="Times New Roman" w:cs="Times New Roman" w:eastAsia="Times New Roman" w:hAnsi="Times New Roman"/>
          <w:sz w:val="12"/>
          <w:szCs w:val="12"/>
          <w:b w:val="1"/>
          <w:bCs w:val="1"/>
          <w:color w:val="auto"/>
        </w:rPr>
        <w:t>Acceleration of Payment</w:t>
      </w:r>
    </w:p>
    <w:p>
      <w:pPr>
        <w:spacing w:after="0" w:line="78" w:lineRule="exact"/>
        <w:rPr>
          <w:sz w:val="20"/>
          <w:szCs w:val="20"/>
          <w:color w:val="auto"/>
        </w:rPr>
      </w:pPr>
    </w:p>
    <w:p>
      <w:pPr>
        <w:ind w:left="840" w:right="1199" w:hanging="8"/>
        <w:spacing w:after="0" w:line="286" w:lineRule="auto"/>
        <w:tabs>
          <w:tab w:leader="none" w:pos="93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Please note that the underlined portion of this Article is different from the “General Terms and Conditions for Credit Transactions (for Corporate Borrower)” set out by the Korea Fair Trade Commission.</w:t>
      </w:r>
    </w:p>
    <w:p>
      <w:pPr>
        <w:spacing w:after="0" w:line="44" w:lineRule="exact"/>
        <w:rPr>
          <w:rFonts w:ascii="Times New Roman" w:cs="Times New Roman" w:eastAsia="Times New Roman" w:hAnsi="Times New Roman"/>
          <w:sz w:val="12"/>
          <w:szCs w:val="12"/>
          <w:color w:val="auto"/>
        </w:rPr>
      </w:pPr>
    </w:p>
    <w:p>
      <w:pPr>
        <w:ind w:left="1480" w:right="899" w:hanging="360"/>
        <w:spacing w:after="0" w:line="260" w:lineRule="auto"/>
        <w:tabs>
          <w:tab w:leader="none" w:pos="1480"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Upon occurrence of any of the events set forth below, all obligations which the Obligor owes to the Bank shall immediately become due and payable without notice or demand from the Bank, and the Obligor shall immediately pay (or perform) such obligations (including without limitation the obligation to make advance reimbursements for a payment guarantee, and the obligation to return and to release any registered security interests on the instruments and securities on loan by the Bank to the Obligor; hereinafter the same shall apply):</w:t>
      </w:r>
    </w:p>
    <w:p>
      <w:pPr>
        <w:spacing w:after="0" w:line="59" w:lineRule="exact"/>
        <w:rPr>
          <w:rFonts w:ascii="Times New Roman" w:cs="Times New Roman" w:eastAsia="Times New Roman" w:hAnsi="Times New Roman"/>
          <w:sz w:val="12"/>
          <w:szCs w:val="12"/>
          <w:color w:val="auto"/>
        </w:rPr>
      </w:pPr>
    </w:p>
    <w:p>
      <w:pPr>
        <w:ind w:left="1780" w:right="899" w:hanging="291"/>
        <w:spacing w:after="0" w:line="260" w:lineRule="auto"/>
        <w:tabs>
          <w:tab w:leader="none" w:pos="1780" w:val="left"/>
        </w:tabs>
        <w:numPr>
          <w:ilvl w:val="2"/>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an order or notice of attachment, provisional attachment, or attachment for delinquent taxes or public imposts is issued with respect to any of the Obligor’s deposit with or other claims against the Bank (“</w:t>
      </w:r>
      <w:r>
        <w:rPr>
          <w:rFonts w:ascii="Times New Roman" w:cs="Times New Roman" w:eastAsia="Times New Roman" w:hAnsi="Times New Roman"/>
          <w:sz w:val="12"/>
          <w:szCs w:val="12"/>
          <w:b w:val="1"/>
          <w:bCs w:val="1"/>
          <w:u w:val="single" w:color="auto"/>
          <w:color w:val="auto"/>
        </w:rPr>
        <w:t>Deposits and other claims</w:t>
      </w:r>
      <w:r>
        <w:rPr>
          <w:rFonts w:ascii="Times New Roman" w:cs="Times New Roman" w:eastAsia="Times New Roman" w:hAnsi="Times New Roman"/>
          <w:sz w:val="12"/>
          <w:szCs w:val="12"/>
          <w:u w:val="single" w:color="auto"/>
          <w:color w:val="auto"/>
        </w:rPr>
        <w:t>”); provided however, in case of obligations secured by any collateral, such obligation shall be immediately due and payable for the reason of provisional attachment only if the recovery of claims is notably difficult;</w:t>
      </w:r>
    </w:p>
    <w:p>
      <w:pPr>
        <w:spacing w:after="0" w:line="59" w:lineRule="exact"/>
        <w:rPr>
          <w:rFonts w:ascii="Times New Roman" w:cs="Times New Roman" w:eastAsia="Times New Roman" w:hAnsi="Times New Roman"/>
          <w:sz w:val="12"/>
          <w:szCs w:val="12"/>
          <w:color w:val="auto"/>
        </w:rPr>
      </w:pPr>
    </w:p>
    <w:p>
      <w:pPr>
        <w:ind w:left="1780" w:right="1359" w:hanging="291"/>
        <w:spacing w:after="0" w:line="279" w:lineRule="auto"/>
        <w:tabs>
          <w:tab w:leader="none" w:pos="1780" w:val="left"/>
        </w:tabs>
        <w:numPr>
          <w:ilvl w:val="2"/>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 decision to commence a compulsory execution or public auction by exercise of a security right is made or disposition for delinquent taxes or public imposts is commenced with respect to any of the collaterals provided by the Obligor;</w:t>
      </w:r>
    </w:p>
    <w:p>
      <w:pPr>
        <w:spacing w:after="0" w:line="48" w:lineRule="exact"/>
        <w:rPr>
          <w:rFonts w:ascii="Times New Roman" w:cs="Times New Roman" w:eastAsia="Times New Roman" w:hAnsi="Times New Roman"/>
          <w:sz w:val="12"/>
          <w:szCs w:val="12"/>
          <w:color w:val="auto"/>
        </w:rPr>
      </w:pPr>
    </w:p>
    <w:p>
      <w:pPr>
        <w:ind w:left="1780" w:right="1039" w:hanging="291"/>
        <w:spacing w:after="0" w:line="279" w:lineRule="auto"/>
        <w:tabs>
          <w:tab w:leader="none" w:pos="1780" w:val="left"/>
        </w:tabs>
        <w:numPr>
          <w:ilvl w:val="2"/>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an application is filed for bankruptcy, rehabilitation or debtor rehabilitation of the Obligor, or an application is filed for listing the Obligor on the registry of delinquent debtors;</w:t>
      </w:r>
    </w:p>
    <w:p>
      <w:pPr>
        <w:spacing w:after="0" w:line="48" w:lineRule="exact"/>
        <w:rPr>
          <w:rFonts w:ascii="Times New Roman" w:cs="Times New Roman" w:eastAsia="Times New Roman" w:hAnsi="Times New Roman"/>
          <w:sz w:val="12"/>
          <w:szCs w:val="12"/>
          <w:color w:val="auto"/>
        </w:rPr>
      </w:pPr>
    </w:p>
    <w:p>
      <w:pPr>
        <w:ind w:left="1780" w:right="879" w:hanging="291"/>
        <w:spacing w:after="0" w:line="279" w:lineRule="auto"/>
        <w:tabs>
          <w:tab w:leader="none" w:pos="1780" w:val="left"/>
        </w:tabs>
        <w:numPr>
          <w:ilvl w:val="2"/>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notice is received for the collection of taxes or other public imposts prior to the due date thereof or the clearing house suspends the Obligor’s transactions;</w:t>
      </w:r>
    </w:p>
    <w:p>
      <w:pPr>
        <w:spacing w:after="0" w:line="48"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2"/>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 is deemed to fail to make payment due to its suspension of business or its fleeing or otherwise;</w:t>
      </w:r>
    </w:p>
    <w:p>
      <w:pPr>
        <w:spacing w:after="0" w:line="87" w:lineRule="exact"/>
        <w:rPr>
          <w:rFonts w:ascii="Times New Roman" w:cs="Times New Roman" w:eastAsia="Times New Roman" w:hAnsi="Times New Roman"/>
          <w:sz w:val="12"/>
          <w:szCs w:val="12"/>
          <w:color w:val="auto"/>
        </w:rPr>
      </w:pPr>
    </w:p>
    <w:p>
      <w:pPr>
        <w:ind w:left="1780" w:right="1279" w:hanging="291"/>
        <w:spacing w:after="0" w:line="279" w:lineRule="auto"/>
        <w:tabs>
          <w:tab w:leader="none" w:pos="1780" w:val="left"/>
        </w:tabs>
        <w:numPr>
          <w:ilvl w:val="2"/>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 xml:space="preserve">any of the events described in subparagraph 1 above occurs with respect to the Deposit and other claims of any oligopolistic shareholder or </w:t>
      </w:r>
      <w:r>
        <w:rPr>
          <w:rFonts w:ascii="Times New Roman" w:cs="Times New Roman" w:eastAsia="Times New Roman" w:hAnsi="Times New Roman"/>
          <w:sz w:val="12"/>
          <w:szCs w:val="12"/>
          <w:i w:val="1"/>
          <w:iCs w:val="1"/>
          <w:u w:val="single" w:color="auto"/>
          <w:color w:val="auto"/>
        </w:rPr>
        <w:t>de facto</w:t>
      </w:r>
      <w:r>
        <w:rPr>
          <w:rFonts w:ascii="Times New Roman" w:cs="Times New Roman" w:eastAsia="Times New Roman" w:hAnsi="Times New Roman"/>
          <w:sz w:val="12"/>
          <w:szCs w:val="12"/>
          <w:u w:val="single" w:color="auto"/>
          <w:color w:val="auto"/>
        </w:rPr>
        <w:t xml:space="preserve"> owner of the Obligor who is also a comprehensive keun-guarantor; or</w:t>
      </w:r>
    </w:p>
    <w:p>
      <w:pPr>
        <w:spacing w:after="0" w:line="48"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2"/>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payment obligation is accelerated by any applicable law or regulation.</w:t>
      </w:r>
    </w:p>
    <w:p>
      <w:pPr>
        <w:sectPr>
          <w:pgSz w:w="11900" w:h="16838" w:orient="portrait"/>
          <w:cols w:equalWidth="0" w:num="1">
            <w:col w:w="9019"/>
          </w:cols>
          <w:pgMar w:left="1440" w:top="226" w:right="1440" w:bottom="1440" w:gutter="0" w:footer="0" w:header="0"/>
        </w:sectPr>
      </w:pPr>
    </w:p>
    <w:bookmarkStart w:id="62" w:name="page63"/>
    <w:bookmarkEnd w:id="62"/>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1480" w:right="959" w:hanging="360"/>
        <w:spacing w:after="0" w:line="286" w:lineRule="auto"/>
        <w:tabs>
          <w:tab w:leader="none" w:pos="148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Upon the occurrence of any of the events set forth below and as a result the preservation of the Bank’s rights are notably and adversely affected, the Bank may, in its sole discretion upon providing notice to the Obligor, demand the Obligor to repay the obligations, to cancel attachment, etc. and to restore creditworthiness, and all obligations that the Obligor owes to the Bank will immediately become due and payable on the date when the grace period (which should be at least ten (10) days) designated in a written notice or demand given by the Bank has elapsed after the receipt of such notice or demand, and the Obligor shall immediately pay (or perform) such obligations:</w:t>
      </w:r>
    </w:p>
    <w:p>
      <w:pPr>
        <w:spacing w:after="0" w:line="47" w:lineRule="exact"/>
        <w:rPr>
          <w:rFonts w:ascii="Times New Roman" w:cs="Times New Roman" w:eastAsia="Times New Roman" w:hAnsi="Times New Roman"/>
          <w:sz w:val="11"/>
          <w:szCs w:val="11"/>
          <w:color w:val="auto"/>
        </w:rPr>
      </w:pPr>
    </w:p>
    <w:p>
      <w:pPr>
        <w:ind w:left="1780" w:right="959" w:hanging="291"/>
        <w:spacing w:after="0" w:line="279" w:lineRule="auto"/>
        <w:tabs>
          <w:tab w:leader="none" w:pos="1780"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the Obligor fails to pay any of its obligations owed to the Bank on the due date or fails to pay the obligations which are accelerated pursuant to Paragraph (3) of this Article;</w:t>
      </w:r>
    </w:p>
    <w:p>
      <w:pPr>
        <w:spacing w:after="0" w:line="48" w:lineRule="exact"/>
        <w:rPr>
          <w:rFonts w:ascii="Times New Roman" w:cs="Times New Roman" w:eastAsia="Times New Roman" w:hAnsi="Times New Roman"/>
          <w:sz w:val="12"/>
          <w:szCs w:val="12"/>
          <w:color w:val="auto"/>
        </w:rPr>
      </w:pPr>
    </w:p>
    <w:p>
      <w:pPr>
        <w:ind w:left="1780" w:right="859" w:hanging="291"/>
        <w:spacing w:after="0" w:line="279" w:lineRule="auto"/>
        <w:tabs>
          <w:tab w:leader="none" w:pos="1780"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it becomes difficult for the Bank to maintain a client relationship with the Obligor due to the breach by the Obligor of any provisions in Article 5, 9 or 19 hereof;</w:t>
      </w:r>
    </w:p>
    <w:p>
      <w:pPr>
        <w:spacing w:after="0" w:line="48" w:lineRule="exact"/>
        <w:rPr>
          <w:rFonts w:ascii="Times New Roman" w:cs="Times New Roman" w:eastAsia="Times New Roman" w:hAnsi="Times New Roman"/>
          <w:sz w:val="12"/>
          <w:szCs w:val="12"/>
          <w:color w:val="auto"/>
        </w:rPr>
      </w:pPr>
    </w:p>
    <w:p>
      <w:pPr>
        <w:ind w:left="1780" w:right="899" w:hanging="291"/>
        <w:spacing w:after="0" w:line="265" w:lineRule="auto"/>
        <w:tabs>
          <w:tab w:leader="none" w:pos="1780"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 decision to commence a compulsory execution or public auction by exercise of security right is made or disposition for delinquent taxes or public imposts is commenced with respect to the property other than the property set forth in Paragraph (1)1 or (1)2 of this Article;</w:t>
      </w:r>
    </w:p>
    <w:p>
      <w:pPr>
        <w:spacing w:after="0" w:line="55" w:lineRule="exact"/>
        <w:rPr>
          <w:rFonts w:ascii="Times New Roman" w:cs="Times New Roman" w:eastAsia="Times New Roman" w:hAnsi="Times New Roman"/>
          <w:sz w:val="12"/>
          <w:szCs w:val="12"/>
          <w:color w:val="auto"/>
        </w:rPr>
      </w:pPr>
    </w:p>
    <w:p>
      <w:pPr>
        <w:jc w:val="both"/>
        <w:ind w:left="1780" w:right="1199" w:hanging="291"/>
        <w:spacing w:after="0" w:line="265" w:lineRule="auto"/>
        <w:tabs>
          <w:tab w:leader="none" w:pos="1780"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an order of provisional attachment is made with respect to the property other than the property set forth Paragraph (1)1 of this Article, and the recovery of claims becomes notably challenging due to substantial deterioration of the creditworthiness of the Obligor;</w:t>
      </w:r>
    </w:p>
    <w:p>
      <w:pPr>
        <w:spacing w:after="0" w:line="55" w:lineRule="exact"/>
        <w:rPr>
          <w:rFonts w:ascii="Times New Roman" w:cs="Times New Roman" w:eastAsia="Times New Roman" w:hAnsi="Times New Roman"/>
          <w:sz w:val="12"/>
          <w:szCs w:val="12"/>
          <w:color w:val="auto"/>
        </w:rPr>
      </w:pPr>
    </w:p>
    <w:p>
      <w:pPr>
        <w:ind w:left="1780" w:right="1059" w:hanging="291"/>
        <w:spacing w:after="0" w:line="279" w:lineRule="auto"/>
        <w:tabs>
          <w:tab w:leader="none" w:pos="1780"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it is determined that the Obligor obtained any loan by illegal and/or fraudulent methods including but not limited to intentionally submitting documents that are forged or altered to the Bank in violation of financial order;</w:t>
      </w:r>
    </w:p>
    <w:p>
      <w:pPr>
        <w:spacing w:after="0" w:line="48" w:lineRule="exact"/>
        <w:rPr>
          <w:rFonts w:ascii="Times New Roman" w:cs="Times New Roman" w:eastAsia="Times New Roman" w:hAnsi="Times New Roman"/>
          <w:sz w:val="12"/>
          <w:szCs w:val="12"/>
          <w:color w:val="auto"/>
        </w:rPr>
      </w:pPr>
    </w:p>
    <w:p>
      <w:pPr>
        <w:ind w:left="1780" w:right="1019" w:hanging="291"/>
        <w:spacing w:after="0" w:line="279" w:lineRule="auto"/>
        <w:tabs>
          <w:tab w:leader="none" w:pos="1780"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the project or business related to the Bank’s loan is delayed or suspended for a considerable period without prior consent from the Bank;</w:t>
      </w:r>
    </w:p>
    <w:p>
      <w:pPr>
        <w:spacing w:after="0" w:line="48" w:lineRule="exact"/>
        <w:rPr>
          <w:rFonts w:ascii="Times New Roman" w:cs="Times New Roman" w:eastAsia="Times New Roman" w:hAnsi="Times New Roman"/>
          <w:sz w:val="12"/>
          <w:szCs w:val="12"/>
          <w:color w:val="auto"/>
        </w:rPr>
      </w:pPr>
    </w:p>
    <w:p>
      <w:pPr>
        <w:ind w:left="1780" w:right="1079" w:hanging="291"/>
        <w:spacing w:after="0" w:line="279" w:lineRule="auto"/>
        <w:tabs>
          <w:tab w:leader="none" w:pos="1780"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the Obligor receives financial sanctions from governmental authorities or other entities due to violation of the applicable laws or regulations;</w:t>
      </w:r>
    </w:p>
    <w:p>
      <w:pPr>
        <w:spacing w:after="0" w:line="48" w:lineRule="exact"/>
        <w:rPr>
          <w:rFonts w:ascii="Times New Roman" w:cs="Times New Roman" w:eastAsia="Times New Roman" w:hAnsi="Times New Roman"/>
          <w:sz w:val="12"/>
          <w:szCs w:val="12"/>
          <w:color w:val="auto"/>
        </w:rPr>
      </w:pPr>
    </w:p>
    <w:p>
      <w:pPr>
        <w:jc w:val="both"/>
        <w:ind w:left="1780" w:right="1059" w:hanging="291"/>
        <w:spacing w:after="0" w:line="265" w:lineRule="auto"/>
        <w:tabs>
          <w:tab w:leader="none" w:pos="1780"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creditworthiness of the Obligor decreases substantially as a result of the commencement of liquidation procedures against the Obligor, merger with another company having a deficit, lockout or suspension of business due to labor disputes, bankruptcy of a related company or occurrence of any legal disputes which may affect the management of the Obligor, or otherwise;</w:t>
      </w:r>
    </w:p>
    <w:p>
      <w:pPr>
        <w:spacing w:after="0" w:line="55" w:lineRule="exact"/>
        <w:rPr>
          <w:rFonts w:ascii="Times New Roman" w:cs="Times New Roman" w:eastAsia="Times New Roman" w:hAnsi="Times New Roman"/>
          <w:sz w:val="12"/>
          <w:szCs w:val="12"/>
          <w:color w:val="auto"/>
        </w:rPr>
      </w:pPr>
    </w:p>
    <w:p>
      <w:pPr>
        <w:ind w:left="1780" w:right="919" w:hanging="291"/>
        <w:spacing w:after="0" w:line="279" w:lineRule="auto"/>
        <w:tabs>
          <w:tab w:leader="none" w:pos="1780"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the Obligor’s credit information is registered as information on default, subrogation or substitute payment, dishonor, related parties, disruption of financial order or public records under the Credit Information Management Rules.</w:t>
      </w:r>
    </w:p>
    <w:p>
      <w:pPr>
        <w:spacing w:after="0" w:line="48" w:lineRule="exact"/>
        <w:rPr>
          <w:rFonts w:ascii="Times New Roman" w:cs="Times New Roman" w:eastAsia="Times New Roman" w:hAnsi="Times New Roman"/>
          <w:sz w:val="12"/>
          <w:szCs w:val="12"/>
          <w:color w:val="auto"/>
        </w:rPr>
      </w:pPr>
    </w:p>
    <w:p>
      <w:pPr>
        <w:ind w:left="1480" w:right="859" w:hanging="360"/>
        <w:spacing w:after="0" w:line="257" w:lineRule="auto"/>
        <w:tabs>
          <w:tab w:leader="none" w:pos="148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Upon the occurrence of any of the events set forth below, the Bank may, in its sole discretion upon providing notice to the Obligor, demand the Obligor to repay the obligations, to cancel attachment, etc. and to restore creditworthiness, and all obligations that the Obligor owes to the Bank immediately become due and payable on the date when the grace period (which should be at least ten (10) days) designated in a written notice or demand given by the Bank has elapsed after the receipt of such notice or demand, and the Obligor shall immediately pay (or perform) such obligations:</w:t>
      </w:r>
    </w:p>
    <w:p>
      <w:pPr>
        <w:spacing w:after="0" w:line="62"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 violates any provisions in Article 6(3) and/or Article 15 hereof;</w:t>
      </w:r>
    </w:p>
    <w:p>
      <w:pPr>
        <w:sectPr>
          <w:pgSz w:w="11900" w:h="16838" w:orient="portrait"/>
          <w:cols w:equalWidth="0" w:num="1">
            <w:col w:w="9019"/>
          </w:cols>
          <w:pgMar w:left="1440" w:top="226" w:right="1440" w:bottom="1440" w:gutter="0" w:footer="0" w:header="0"/>
        </w:sectPr>
      </w:pPr>
    </w:p>
    <w:bookmarkStart w:id="63" w:name="page64"/>
    <w:bookmarkEnd w:id="63"/>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1780" w:right="979" w:hanging="291"/>
        <w:spacing w:after="0" w:line="257" w:lineRule="auto"/>
        <w:tabs>
          <w:tab w:leader="none" w:pos="178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Bank determines it to be difficult to maintain a client relationship with the Obligor due to the breach by the Obligor of the provisions of the agreement with the Bank, including without limitation such as the Obligor does not obtain fire insurance with respect to the collateral, intentionally transfers the collateral to a third party without the consent of the Bank to the detriment of the Bank’s interest, or delays providing collateral to the Bank the machinery or building which has been constructed, installed or manufactured with the proceeds of the loans extended by the Bank to the Obligor;</w:t>
      </w:r>
    </w:p>
    <w:p>
      <w:pPr>
        <w:spacing w:after="0" w:line="62" w:lineRule="exact"/>
        <w:rPr>
          <w:rFonts w:ascii="Times New Roman" w:cs="Times New Roman" w:eastAsia="Times New Roman" w:hAnsi="Times New Roman"/>
          <w:sz w:val="12"/>
          <w:szCs w:val="12"/>
          <w:color w:val="auto"/>
        </w:rPr>
      </w:pPr>
    </w:p>
    <w:p>
      <w:pPr>
        <w:ind w:left="1780" w:right="1139" w:hanging="291"/>
        <w:spacing w:after="0" w:line="279" w:lineRule="auto"/>
        <w:tabs>
          <w:tab w:leader="none" w:pos="178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if the guarantor falls in any of the events under Paragraph (1)1 to (1)5, (1)7, (2)3 or (2)4 of this Article, and the guarantor is not replaced within a considerable period; or</w:t>
      </w:r>
    </w:p>
    <w:p>
      <w:pPr>
        <w:spacing w:after="0" w:line="48" w:lineRule="exact"/>
        <w:rPr>
          <w:rFonts w:ascii="Times New Roman" w:cs="Times New Roman" w:eastAsia="Times New Roman" w:hAnsi="Times New Roman"/>
          <w:sz w:val="12"/>
          <w:szCs w:val="12"/>
          <w:color w:val="auto"/>
        </w:rPr>
      </w:pPr>
    </w:p>
    <w:p>
      <w:pPr>
        <w:ind w:left="1780" w:right="1259" w:hanging="291"/>
        <w:spacing w:after="0" w:line="279" w:lineRule="auto"/>
        <w:tabs>
          <w:tab w:leader="none" w:pos="178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any of the events under Paragraph (1)1 or (1)2 of this Article occurs to the collateral provided by a third party in favor of the Obligor.</w:t>
      </w:r>
    </w:p>
    <w:p>
      <w:pPr>
        <w:spacing w:after="0" w:line="48" w:lineRule="exact"/>
        <w:rPr>
          <w:rFonts w:ascii="Times New Roman" w:cs="Times New Roman" w:eastAsia="Times New Roman" w:hAnsi="Times New Roman"/>
          <w:sz w:val="12"/>
          <w:szCs w:val="12"/>
          <w:color w:val="auto"/>
        </w:rPr>
      </w:pPr>
    </w:p>
    <w:p>
      <w:pPr>
        <w:ind w:left="1480" w:right="879" w:hanging="360"/>
        <w:spacing w:after="0" w:line="260" w:lineRule="auto"/>
        <w:tabs>
          <w:tab w:leader="none" w:pos="14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Even when the Obligor’s obligation to the Bank is accelerated under Article 7 Paragraphs (1) to (3) of this Article, if the Bank expressly waives its rights or if the normal transactions are resumed between the Bank and the Obligor notwithstanding the acceleration (e.g., the Bank receives an installment payment, interest or default interest), the obligation or the obligation designated by the Bank shall be deemed to have been restored to its original condition.</w:t>
      </w:r>
    </w:p>
    <w:p>
      <w:pPr>
        <w:spacing w:after="0" w:line="217"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8</w:t>
      </w:r>
      <w:r>
        <w:rPr>
          <w:sz w:val="20"/>
          <w:szCs w:val="20"/>
          <w:color w:val="auto"/>
        </w:rPr>
        <w:tab/>
      </w:r>
      <w:r>
        <w:rPr>
          <w:rFonts w:ascii="Times New Roman" w:cs="Times New Roman" w:eastAsia="Times New Roman" w:hAnsi="Times New Roman"/>
          <w:sz w:val="12"/>
          <w:szCs w:val="12"/>
          <w:b w:val="1"/>
          <w:bCs w:val="1"/>
          <w:color w:val="auto"/>
        </w:rPr>
        <w:t>Notice to Joint Guarantors of Accelerated Obligations</w:t>
      </w:r>
    </w:p>
    <w:p>
      <w:pPr>
        <w:spacing w:after="0" w:line="91" w:lineRule="exact"/>
        <w:rPr>
          <w:sz w:val="20"/>
          <w:szCs w:val="20"/>
          <w:color w:val="auto"/>
        </w:rPr>
      </w:pPr>
    </w:p>
    <w:p>
      <w:pPr>
        <w:ind w:left="1480" w:right="899" w:hanging="360"/>
        <w:spacing w:after="0" w:line="260" w:lineRule="auto"/>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Obligor’s payment obligation is accelerated pursuant to each subparagraph of Article 7(1), the Bank shall notify of such event of acceleration in writing to the joint guarantor within fifteen (15) business days from the date on which any event of acceleration under subparagraph 1 or 6 of Article 7(1) occurs or the Clearing House suspends the Obligor’s transactions under subparagraph 4 of Article 7(1) or otherwise, within fifteen (15) business days from the date on which the Bank recognizes such event of acceleration.</w:t>
      </w:r>
    </w:p>
    <w:p>
      <w:pPr>
        <w:spacing w:after="0" w:line="59" w:lineRule="exact"/>
        <w:rPr>
          <w:rFonts w:ascii="Times New Roman" w:cs="Times New Roman" w:eastAsia="Times New Roman" w:hAnsi="Times New Roman"/>
          <w:sz w:val="12"/>
          <w:szCs w:val="12"/>
          <w:color w:val="auto"/>
        </w:rPr>
      </w:pPr>
    </w:p>
    <w:p>
      <w:pPr>
        <w:ind w:left="1480" w:right="939" w:hanging="360"/>
        <w:spacing w:after="0" w:line="279" w:lineRule="auto"/>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obligations are accelerated pursuant to Article 7(2) or (3), the Bank shall notify the joint guarantors thereof in writing within fifteen (15) business days from the date when such obligations are accelerated.</w:t>
      </w:r>
    </w:p>
    <w:p>
      <w:pPr>
        <w:spacing w:after="0" w:line="48" w:lineRule="exact"/>
        <w:rPr>
          <w:rFonts w:ascii="Times New Roman" w:cs="Times New Roman" w:eastAsia="Times New Roman" w:hAnsi="Times New Roman"/>
          <w:sz w:val="12"/>
          <w:szCs w:val="12"/>
          <w:color w:val="auto"/>
        </w:rPr>
      </w:pPr>
    </w:p>
    <w:p>
      <w:pPr>
        <w:ind w:left="1480" w:right="899" w:hanging="360"/>
        <w:spacing w:after="0" w:line="260" w:lineRule="auto"/>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Even in case such event of acceleration of obligations is notified to the joint guarantors pursuant to Paragraph (1) or (2) above, the consent of the joint guarantors for continuous transaction is not required with respect to the obligations of which acceleration has been withdrawn pursuant to Article 7(4). In this case, the Bank shall give a notice of withdrawal of acceleration in writing to the joint guarantor of such obligations within fifteen (15) business days.</w:t>
      </w:r>
    </w:p>
    <w:p>
      <w:pPr>
        <w:spacing w:after="0" w:line="217"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9</w:t>
      </w:r>
      <w:r>
        <w:rPr>
          <w:sz w:val="20"/>
          <w:szCs w:val="20"/>
          <w:color w:val="auto"/>
        </w:rPr>
        <w:tab/>
      </w:r>
      <w:r>
        <w:rPr>
          <w:rFonts w:ascii="Times New Roman" w:cs="Times New Roman" w:eastAsia="Times New Roman" w:hAnsi="Times New Roman"/>
          <w:sz w:val="12"/>
          <w:szCs w:val="12"/>
          <w:b w:val="1"/>
          <w:bCs w:val="1"/>
          <w:color w:val="auto"/>
        </w:rPr>
        <w:t>Obligation to Maintain the Debt Repayment Capacity</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Obligor shall maintain a minimum financial ratio that is required by the Bank in order to repay the obligations owed to the Bank.</w:t>
      </w:r>
    </w:p>
    <w:p>
      <w:pPr>
        <w:spacing w:after="0" w:line="245"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10</w:t>
      </w:r>
      <w:r>
        <w:rPr>
          <w:sz w:val="20"/>
          <w:szCs w:val="20"/>
          <w:color w:val="auto"/>
        </w:rPr>
        <w:tab/>
      </w:r>
      <w:r>
        <w:rPr>
          <w:rFonts w:ascii="Times New Roman" w:cs="Times New Roman" w:eastAsia="Times New Roman" w:hAnsi="Times New Roman"/>
          <w:sz w:val="12"/>
          <w:szCs w:val="12"/>
          <w:b w:val="1"/>
          <w:bCs w:val="1"/>
          <w:color w:val="auto"/>
        </w:rPr>
        <w:t>Set-off by the Bank</w:t>
      </w:r>
    </w:p>
    <w:p>
      <w:pPr>
        <w:spacing w:after="0" w:line="91" w:lineRule="exact"/>
        <w:rPr>
          <w:sz w:val="20"/>
          <w:szCs w:val="20"/>
          <w:color w:val="auto"/>
        </w:rPr>
      </w:pPr>
    </w:p>
    <w:p>
      <w:pPr>
        <w:ind w:left="1480" w:right="919" w:hanging="360"/>
        <w:spacing w:after="0" w:line="260" w:lineRule="auto"/>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Obligor’s obligation is due and payable whether by maturity in accordance with its term or by acceleration upon occurrence of any of the events described in Article 7, the Bank may set off by written notice to the Obligor and/or Guarantor (hereinafter “</w:t>
      </w:r>
      <w:r>
        <w:rPr>
          <w:rFonts w:ascii="Times New Roman" w:cs="Times New Roman" w:eastAsia="Times New Roman" w:hAnsi="Times New Roman"/>
          <w:sz w:val="12"/>
          <w:szCs w:val="12"/>
          <w:b w:val="1"/>
          <w:bCs w:val="1"/>
          <w:color w:val="auto"/>
        </w:rPr>
        <w:t>Obligor, etc.</w:t>
      </w:r>
      <w:r>
        <w:rPr>
          <w:rFonts w:ascii="Times New Roman" w:cs="Times New Roman" w:eastAsia="Times New Roman" w:hAnsi="Times New Roman"/>
          <w:sz w:val="12"/>
          <w:szCs w:val="12"/>
          <w:color w:val="auto"/>
        </w:rPr>
        <w:t>”) any such obligation at any time against any of the Deposits and other claims of the Obligor or the guarantors irrespective of the due dates thereof.</w:t>
      </w:r>
    </w:p>
    <w:p>
      <w:pPr>
        <w:sectPr>
          <w:pgSz w:w="11900" w:h="16838" w:orient="portrait"/>
          <w:cols w:equalWidth="0" w:num="1">
            <w:col w:w="9019"/>
          </w:cols>
          <w:pgMar w:left="1440" w:top="226" w:right="1440" w:bottom="1440" w:gutter="0" w:footer="0" w:header="0"/>
        </w:sectPr>
      </w:pPr>
    </w:p>
    <w:bookmarkStart w:id="64" w:name="page65"/>
    <w:bookmarkEnd w:id="64"/>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1480" w:right="859" w:hanging="360"/>
        <w:spacing w:after="0" w:line="257" w:lineRule="auto"/>
        <w:tabs>
          <w:tab w:leader="none" w:pos="14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Obligor’s obligation becomes due and payable to the Bank as referred to in Paragraph (1) above, the Bank may, on behalf of the Obligor, etc., also make withdrawals from the Obligor, etc.’s deposits in the Obligor, etc.’s name provided by the Obligor, etc. as security, and may apply such withdrawals to the payment of the Obligor’s obligations regardless of whether the maturity of such deposit is due yet without any prior notice and without complying with any particular procedures; provided however, that immediately after such withdrawal and application, the Bank shall give a notice to the Obligor, etc. of the withdrawal and application.</w:t>
      </w:r>
    </w:p>
    <w:p>
      <w:pPr>
        <w:spacing w:after="0" w:line="62" w:lineRule="exact"/>
        <w:rPr>
          <w:rFonts w:ascii="Times New Roman" w:cs="Times New Roman" w:eastAsia="Times New Roman" w:hAnsi="Times New Roman"/>
          <w:sz w:val="12"/>
          <w:szCs w:val="12"/>
          <w:color w:val="auto"/>
        </w:rPr>
      </w:pPr>
    </w:p>
    <w:p>
      <w:pPr>
        <w:ind w:left="1480" w:right="839" w:hanging="360"/>
        <w:spacing w:after="0" w:line="260" w:lineRule="auto"/>
        <w:tabs>
          <w:tab w:leader="none" w:pos="14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Bank sets off any obligation of the Obligor against the Obligor, etc.’s Deposits and other claims pursuant to Paragraphs (1) above, the Bank may take payment suspension measures in respect of or on the Obligor, etc.’s Deposits and other claims for the time being prior to set-off; provided that, if the Bank takes payment suspension measures on the Obligor, etc.’s Deposits and other claims, the Bank shall immediately notify the title holder thereof.</w:t>
      </w:r>
    </w:p>
    <w:p>
      <w:pPr>
        <w:spacing w:after="0" w:line="59" w:lineRule="exact"/>
        <w:rPr>
          <w:rFonts w:ascii="Times New Roman" w:cs="Times New Roman" w:eastAsia="Times New Roman" w:hAnsi="Times New Roman"/>
          <w:sz w:val="12"/>
          <w:szCs w:val="12"/>
          <w:color w:val="auto"/>
        </w:rPr>
      </w:pPr>
    </w:p>
    <w:p>
      <w:pPr>
        <w:ind w:left="1480" w:right="859" w:hanging="360"/>
        <w:spacing w:after="0" w:line="254" w:lineRule="auto"/>
        <w:tabs>
          <w:tab w:leader="none" w:pos="14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Bank sets off against the Obligor’s obligation in accordance with the provisions of Paragraphs (1) above or makes any withdrawals and application in accordance with the provisions of Paragraph (2) above, such set-off or withdrawal and application shall be promptly effected taking into account the fair benefits of the Obligor, guarantors and security providers. The period for the purpose of calculation of Interest and other fees on the Obligor’s credits and obligations and default interest, shall extend up to and include the date on which the notice of set-off is sent to the Obligor or the date on which the calculation for withdrawal and application is made, of which the rate shall be determined by the Bank, and the foreign exchange rate shall be determined as the market rate prevailing at the time of the calculation by the Bank. In this case, as for any of the Deposits and other claims of the Obligor with the Bank of which the maturity is not due yet, the interest rate agreed with the Bank at the time of opening the account shall apply.</w:t>
      </w:r>
    </w:p>
    <w:p>
      <w:pPr>
        <w:spacing w:after="0" w:line="223"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11</w:t>
      </w:r>
      <w:r>
        <w:rPr>
          <w:sz w:val="20"/>
          <w:szCs w:val="20"/>
          <w:color w:val="auto"/>
        </w:rPr>
        <w:tab/>
      </w:r>
      <w:r>
        <w:rPr>
          <w:rFonts w:ascii="Times New Roman" w:cs="Times New Roman" w:eastAsia="Times New Roman" w:hAnsi="Times New Roman"/>
          <w:sz w:val="12"/>
          <w:szCs w:val="12"/>
          <w:b w:val="1"/>
          <w:bCs w:val="1"/>
          <w:color w:val="auto"/>
        </w:rPr>
        <w:t>Set-off by the Obligor</w:t>
      </w:r>
    </w:p>
    <w:p>
      <w:pPr>
        <w:spacing w:after="0" w:line="91" w:lineRule="exact"/>
        <w:rPr>
          <w:sz w:val="20"/>
          <w:szCs w:val="20"/>
          <w:color w:val="auto"/>
        </w:rPr>
      </w:pPr>
    </w:p>
    <w:p>
      <w:pPr>
        <w:ind w:left="1480" w:right="1179" w:hanging="360"/>
        <w:spacing w:after="0" w:line="279" w:lineRule="auto"/>
        <w:tabs>
          <w:tab w:leader="none" w:pos="148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 may set off any of the Obligor’s Deposits and other claims which became due against any obligations owed to the Bank irrespective of the due dates of such obligations.</w:t>
      </w:r>
    </w:p>
    <w:p>
      <w:pPr>
        <w:spacing w:after="0" w:line="48" w:lineRule="exact"/>
        <w:rPr>
          <w:rFonts w:ascii="Times New Roman" w:cs="Times New Roman" w:eastAsia="Times New Roman" w:hAnsi="Times New Roman"/>
          <w:sz w:val="12"/>
          <w:szCs w:val="12"/>
          <w:color w:val="auto"/>
        </w:rPr>
      </w:pPr>
    </w:p>
    <w:p>
      <w:pPr>
        <w:ind w:left="1480" w:right="879" w:hanging="360"/>
        <w:spacing w:after="0" w:line="265" w:lineRule="auto"/>
        <w:tabs>
          <w:tab w:leader="none" w:pos="148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Obligor sets off its claims against the obligation to repurchase the bill discounted by the Bank prior to its due date, the Obligor shall repurchase such bill at the remaining value after having deducted from its face value an amount discounted from the date of repurchase to the maturity; provided that, the Obligor shall not set off against any bills which the Bank has negotiated to any third party.</w:t>
      </w:r>
    </w:p>
    <w:p>
      <w:pPr>
        <w:spacing w:after="0" w:line="55" w:lineRule="exact"/>
        <w:rPr>
          <w:rFonts w:ascii="Times New Roman" w:cs="Times New Roman" w:eastAsia="Times New Roman" w:hAnsi="Times New Roman"/>
          <w:sz w:val="12"/>
          <w:szCs w:val="12"/>
          <w:color w:val="auto"/>
        </w:rPr>
      </w:pPr>
    </w:p>
    <w:p>
      <w:pPr>
        <w:ind w:left="1480" w:right="999" w:hanging="360"/>
        <w:spacing w:after="0" w:line="265" w:lineRule="auto"/>
        <w:tabs>
          <w:tab w:leader="none" w:pos="148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provisions of Paragraph (1) and (2) above, the Obligor may not set off any claims and obligations denominated in a foreign currency until their respective due date and unless all procedures are completed in accordance with the applicable laws and regulations with respect to foreign exchange.</w:t>
      </w:r>
    </w:p>
    <w:p>
      <w:pPr>
        <w:spacing w:after="0" w:line="55" w:lineRule="exact"/>
        <w:rPr>
          <w:rFonts w:ascii="Times New Roman" w:cs="Times New Roman" w:eastAsia="Times New Roman" w:hAnsi="Times New Roman"/>
          <w:sz w:val="12"/>
          <w:szCs w:val="12"/>
          <w:color w:val="auto"/>
        </w:rPr>
      </w:pPr>
    </w:p>
    <w:p>
      <w:pPr>
        <w:ind w:left="1480" w:right="939" w:hanging="360"/>
        <w:spacing w:after="0" w:line="265" w:lineRule="auto"/>
        <w:tabs>
          <w:tab w:leader="none" w:pos="148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Obligor sets off its claims against the Bank in accordance with Paragraphs (1) to (3) above, the Obligor shall give the Bank a written notice thereof and shall promptly submit to the Bank any passbook or certificate evidencing deposits or claims against which such claim is set off, together with the reported signature and/or seal affixed thereon.</w:t>
      </w:r>
    </w:p>
    <w:p>
      <w:pPr>
        <w:sectPr>
          <w:pgSz w:w="11900" w:h="16838" w:orient="portrait"/>
          <w:cols w:equalWidth="0" w:num="1">
            <w:col w:w="9019"/>
          </w:cols>
          <w:pgMar w:left="1440" w:top="226" w:right="1440" w:bottom="1440" w:gutter="0" w:footer="0" w:header="0"/>
        </w:sectPr>
      </w:pPr>
    </w:p>
    <w:bookmarkStart w:id="65" w:name="page66"/>
    <w:bookmarkEnd w:id="65"/>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1480" w:right="859" w:hanging="360"/>
        <w:spacing w:after="0" w:line="257" w:lineRule="auto"/>
        <w:tabs>
          <w:tab w:leader="none" w:pos="148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Obligor sets off its claims against the Bank in accordance with Paragraphs (1) to (3) above, the period for purposes of calculating Interest and other fees on the Obligor’s claims and obligations, and default interests shall be up to and including the date on which the Bank receives the Obligor’s notice of set-off, and the rate of interest shall be determined by the Bank, and the foreign exchange rate shall be determined as the market rate prevailing at the time of calculation by the Bank. The Obligor shall pay to the Bank such fees as are agreed to be payable between the Bank and the Obligor with respect to the prepayment prior to the maturity.</w:t>
      </w:r>
    </w:p>
    <w:p>
      <w:pPr>
        <w:spacing w:after="0" w:line="220"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12</w:t>
      </w:r>
      <w:r>
        <w:rPr>
          <w:sz w:val="20"/>
          <w:szCs w:val="20"/>
          <w:color w:val="auto"/>
        </w:rPr>
        <w:tab/>
      </w:r>
      <w:r>
        <w:rPr>
          <w:rFonts w:ascii="Times New Roman" w:cs="Times New Roman" w:eastAsia="Times New Roman" w:hAnsi="Times New Roman"/>
          <w:sz w:val="12"/>
          <w:szCs w:val="12"/>
          <w:b w:val="1"/>
          <w:bCs w:val="1"/>
          <w:color w:val="auto"/>
        </w:rPr>
        <w:t>Presentment and Delivery of Bills</w:t>
      </w:r>
    </w:p>
    <w:p>
      <w:pPr>
        <w:spacing w:after="0" w:line="91" w:lineRule="exact"/>
        <w:rPr>
          <w:sz w:val="20"/>
          <w:szCs w:val="20"/>
          <w:color w:val="auto"/>
        </w:rPr>
      </w:pPr>
    </w:p>
    <w:p>
      <w:pPr>
        <w:ind w:left="1480" w:right="939" w:hanging="360"/>
        <w:spacing w:after="0" w:line="257" w:lineRule="auto"/>
        <w:tabs>
          <w:tab w:leader="none" w:pos="14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Bank sets off against the Obligor’s obligation or makes withdrawals and application as set forth in Article 10 without exercising the Bank’s rights under the bills in accordance with Article 2, the Bank will not be required to simultaneously return any such bills to the Obligor. The bills shall be returned at the Bank’s office which conducts banking transactions with the Obligor, and the Bank shall notify the Obligor to promptly receive the bills. The same procedures shall apply to the case of returning the bills in the event of set-offs by the Obligor under Article 11.</w:t>
      </w:r>
    </w:p>
    <w:p>
      <w:pPr>
        <w:spacing w:after="0" w:line="62" w:lineRule="exact"/>
        <w:rPr>
          <w:rFonts w:ascii="Times New Roman" w:cs="Times New Roman" w:eastAsia="Times New Roman" w:hAnsi="Times New Roman"/>
          <w:sz w:val="12"/>
          <w:szCs w:val="12"/>
          <w:color w:val="auto"/>
        </w:rPr>
      </w:pPr>
    </w:p>
    <w:p>
      <w:pPr>
        <w:ind w:left="1480" w:right="879" w:hanging="360"/>
        <w:spacing w:after="0" w:line="265" w:lineRule="auto"/>
        <w:tabs>
          <w:tab w:leader="none" w:pos="14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Bank sets off against the Obligor’s obligation or makes withdrawals and application as set forth in Article 10 by exercising the Bank’s rights under the bills pursuant to Article 2, the Bank will not be required to present or deliver any such bills to the Obligor if any of the following conditions is satisfied, and the provisions of Paragraph (1) above shall apply with respect to returning the bills:</w:t>
      </w:r>
    </w:p>
    <w:p>
      <w:pPr>
        <w:spacing w:after="0" w:line="55"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Bank does not know the Obligor’s current whereabouts;</w:t>
      </w:r>
    </w:p>
    <w:p>
      <w:pPr>
        <w:spacing w:after="0" w:line="87"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Bank is the place designated as the place at which such bills are payable; or</w:t>
      </w:r>
    </w:p>
    <w:p>
      <w:pPr>
        <w:spacing w:after="0" w:line="87" w:lineRule="exact"/>
        <w:rPr>
          <w:rFonts w:ascii="Times New Roman" w:cs="Times New Roman" w:eastAsia="Times New Roman" w:hAnsi="Times New Roman"/>
          <w:sz w:val="12"/>
          <w:szCs w:val="12"/>
          <w:color w:val="auto"/>
        </w:rPr>
      </w:pPr>
    </w:p>
    <w:p>
      <w:pPr>
        <w:ind w:left="1780" w:right="1199" w:hanging="291"/>
        <w:spacing w:after="0" w:line="279" w:lineRule="auto"/>
        <w:tabs>
          <w:tab w:leader="none" w:pos="1780"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Bank deems it unavoidable to omit presentment or delivery of the bills to the Obligor for such reasons as interruption of transport or communication or its use for collection, or otherwise.</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of the Obligor’s obligations to the Bank that are due and payable are not paid in full after being set off as set forth in Articles 10 and</w:t>
      </w:r>
    </w:p>
    <w:p>
      <w:pPr>
        <w:spacing w:after="0" w:line="16" w:lineRule="exact"/>
        <w:rPr>
          <w:rFonts w:ascii="Times New Roman" w:cs="Times New Roman" w:eastAsia="Times New Roman" w:hAnsi="Times New Roman"/>
          <w:sz w:val="12"/>
          <w:szCs w:val="12"/>
          <w:color w:val="auto"/>
        </w:rPr>
      </w:pPr>
    </w:p>
    <w:p>
      <w:pPr>
        <w:ind w:left="1480" w:right="1279"/>
        <w:spacing w:after="0" w:line="306" w:lineRule="auto"/>
        <w:tabs>
          <w:tab w:leader="none" w:pos="1625" w:val="left"/>
        </w:tabs>
        <w:numPr>
          <w:ilvl w:val="1"/>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and other parties are liable under the bills in addition to the Obligor, the Bank may retain such bills and may apply the proceeds collected or received by the disposition of the bills to the payment of the Obligor’s obligations in accordance with Article 13.</w:t>
      </w:r>
    </w:p>
    <w:p>
      <w:pPr>
        <w:spacing w:after="0" w:line="35" w:lineRule="exact"/>
        <w:rPr>
          <w:rFonts w:ascii="Times New Roman" w:cs="Times New Roman" w:eastAsia="Times New Roman" w:hAnsi="Times New Roman"/>
          <w:sz w:val="11"/>
          <w:szCs w:val="11"/>
          <w:color w:val="auto"/>
        </w:rPr>
      </w:pPr>
    </w:p>
    <w:p>
      <w:pPr>
        <w:ind w:left="1480" w:right="859" w:hanging="360"/>
        <w:spacing w:after="0" w:line="279" w:lineRule="auto"/>
        <w:tabs>
          <w:tab w:leader="none" w:pos="148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Bank may make a demand for payment without presenting the bills for the purpose of tolling the statute of limitations for claims of the bills.</w:t>
      </w:r>
    </w:p>
    <w:p>
      <w:pPr>
        <w:spacing w:after="0" w:line="206"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13</w:t>
      </w:r>
      <w:r>
        <w:rPr>
          <w:sz w:val="20"/>
          <w:szCs w:val="20"/>
          <w:color w:val="auto"/>
        </w:rPr>
        <w:tab/>
      </w:r>
      <w:r>
        <w:rPr>
          <w:rFonts w:ascii="Times New Roman" w:cs="Times New Roman" w:eastAsia="Times New Roman" w:hAnsi="Times New Roman"/>
          <w:sz w:val="12"/>
          <w:szCs w:val="12"/>
          <w:b w:val="1"/>
          <w:bCs w:val="1"/>
          <w:color w:val="auto"/>
        </w:rPr>
        <w:t>Order of Application by the Bank</w:t>
      </w:r>
    </w:p>
    <w:p>
      <w:pPr>
        <w:spacing w:after="0" w:line="91" w:lineRule="exact"/>
        <w:rPr>
          <w:sz w:val="20"/>
          <w:szCs w:val="20"/>
          <w:color w:val="auto"/>
        </w:rPr>
      </w:pPr>
    </w:p>
    <w:p>
      <w:pPr>
        <w:ind w:left="1480" w:right="999" w:hanging="360"/>
        <w:spacing w:after="0" w:line="257" w:lineRule="auto"/>
        <w:tabs>
          <w:tab w:leader="none" w:pos="148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payments made by the Obligor, set-offs or withdrawals and application made by the Bank as provided for in Article 10, are insufficient to satisfy all of the Obligor’s obligations, the Bank shall apply such payments and/or such set-offs or withdrawals and application to the satisfaction in the following order of (i) any expenses, (ii) default interest, and (iii) the interest and the principal of the Obligor’s obligation; provided however, the Bank may change the order of application unless such change is adverse to the Obligor’s interest.</w:t>
      </w:r>
    </w:p>
    <w:p>
      <w:pPr>
        <w:spacing w:after="0" w:line="62" w:lineRule="exact"/>
        <w:rPr>
          <w:rFonts w:ascii="Times New Roman" w:cs="Times New Roman" w:eastAsia="Times New Roman" w:hAnsi="Times New Roman"/>
          <w:sz w:val="12"/>
          <w:szCs w:val="12"/>
          <w:color w:val="auto"/>
        </w:rPr>
      </w:pPr>
    </w:p>
    <w:p>
      <w:pPr>
        <w:ind w:left="1480" w:right="979" w:hanging="360"/>
        <w:spacing w:after="0" w:line="265" w:lineRule="auto"/>
        <w:tabs>
          <w:tab w:leader="none" w:pos="148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there are two (2) or more of the Obligor’s obligations against which payment or set-off is made and such obligations are not discharged in full by such payment or set-off, Article 477 of the Korean Civil Code shall apply to the amount recovered in the court auction or public sale by exercise of security rights.</w:t>
      </w:r>
    </w:p>
    <w:p>
      <w:pPr>
        <w:sectPr>
          <w:pgSz w:w="11900" w:h="16838" w:orient="portrait"/>
          <w:cols w:equalWidth="0" w:num="1">
            <w:col w:w="9019"/>
          </w:cols>
          <w:pgMar w:left="1440" w:top="226" w:right="1440" w:bottom="1440" w:gutter="0" w:footer="0" w:header="0"/>
        </w:sectPr>
      </w:pPr>
    </w:p>
    <w:bookmarkStart w:id="66" w:name="page67"/>
    <w:bookmarkEnd w:id="66"/>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1480" w:right="959" w:hanging="360"/>
        <w:spacing w:after="0" w:line="255" w:lineRule="auto"/>
        <w:tabs>
          <w:tab w:leader="none" w:pos="14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there are two (2) or more of the Obligor’s obligations against which payment or set-off is made and any voluntary repayments or Deposits and other claims which do not fall under Paragraph (2) above are insufficient to satisfy all of the Obligor’s obligations, such repayments or Deposits and other claims may be applied to the satisfaction of the Obligor’s obligations in such order of application as the Obligor may determine. In this case, if the determination of the order of application is likely to adversely affect the Bank’s rights, the Bank may without delay raise an objection thereto and change the order of application of the obligations to be paid or set-off by considering the availability of property security or guarantees, the value and marketability of such property security or guarantees, the due date and the possibility of collection of the discounted bills, or otherwise.</w:t>
      </w:r>
    </w:p>
    <w:p>
      <w:pPr>
        <w:spacing w:after="0" w:line="62" w:lineRule="exact"/>
        <w:rPr>
          <w:rFonts w:ascii="Times New Roman" w:cs="Times New Roman" w:eastAsia="Times New Roman" w:hAnsi="Times New Roman"/>
          <w:sz w:val="12"/>
          <w:szCs w:val="12"/>
          <w:color w:val="auto"/>
        </w:rPr>
      </w:pPr>
    </w:p>
    <w:p>
      <w:pPr>
        <w:ind w:left="1480" w:right="859" w:hanging="360"/>
        <w:spacing w:after="0" w:line="260" w:lineRule="auto"/>
        <w:tabs>
          <w:tab w:leader="none" w:pos="14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Bank applies the payments and/or set-offs or withdrawals and application to the satisfaction of the Obligor’s obligations in such order of application different from the statutory order specified in the Korean Civil Code or any other applicable laws in accordance with Paragraph (3) above, the Bank shall take into consideration the reasonable interests of the Obligor, the security provider or the guarantor to the extent such does not adversely affect the protection of the Bank’s claims.</w:t>
      </w:r>
    </w:p>
    <w:p>
      <w:pPr>
        <w:spacing w:after="0" w:line="217"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14</w:t>
      </w:r>
      <w:r>
        <w:rPr>
          <w:sz w:val="20"/>
          <w:szCs w:val="20"/>
          <w:color w:val="auto"/>
        </w:rPr>
        <w:tab/>
      </w:r>
      <w:r>
        <w:rPr>
          <w:rFonts w:ascii="Times New Roman" w:cs="Times New Roman" w:eastAsia="Times New Roman" w:hAnsi="Times New Roman"/>
          <w:sz w:val="12"/>
          <w:szCs w:val="12"/>
          <w:b w:val="1"/>
          <w:bCs w:val="1"/>
          <w:color w:val="auto"/>
        </w:rPr>
        <w:t>Order of Application by the Obligor</w:t>
      </w:r>
    </w:p>
    <w:p>
      <w:pPr>
        <w:spacing w:after="0" w:line="91" w:lineRule="exact"/>
        <w:rPr>
          <w:sz w:val="20"/>
          <w:szCs w:val="20"/>
          <w:color w:val="auto"/>
        </w:rPr>
      </w:pPr>
    </w:p>
    <w:p>
      <w:pPr>
        <w:ind w:left="1480" w:right="899" w:hanging="360"/>
        <w:spacing w:after="0" w:line="265" w:lineRule="auto"/>
        <w:tabs>
          <w:tab w:leader="none" w:pos="14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any set-off effected by the Obligor as set forth in Article 11, if the Deposits and other claims are insufficient to satisfy all of the Obligor’s obligations, such Deposits and other claims may be applied to the satisfaction of the Obligor’s obligations in such order of application as the Obligor may determine.</w:t>
      </w:r>
    </w:p>
    <w:p>
      <w:pPr>
        <w:spacing w:after="0" w:line="55" w:lineRule="exact"/>
        <w:rPr>
          <w:rFonts w:ascii="Times New Roman" w:cs="Times New Roman" w:eastAsia="Times New Roman" w:hAnsi="Times New Roman"/>
          <w:sz w:val="12"/>
          <w:szCs w:val="12"/>
          <w:color w:val="auto"/>
        </w:rPr>
      </w:pPr>
    </w:p>
    <w:p>
      <w:pPr>
        <w:ind w:left="1480" w:right="899" w:hanging="360"/>
        <w:spacing w:after="0" w:line="265" w:lineRule="auto"/>
        <w:tabs>
          <w:tab w:leader="none" w:pos="14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the Obligor fails to make the determination as set forth in Paragraph (1) above or if the determination of the order of application provided in Paragraph (1) above is likely to adversely affect the preservation of the Bank’s rights, the Bank shall designate the order of the application of the obligations to be satisfied by set-off pursuant to Article 13.</w:t>
      </w:r>
    </w:p>
    <w:p>
      <w:pPr>
        <w:spacing w:after="0" w:line="214"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15</w:t>
      </w:r>
      <w:r>
        <w:rPr>
          <w:sz w:val="20"/>
          <w:szCs w:val="20"/>
          <w:color w:val="auto"/>
        </w:rPr>
        <w:tab/>
      </w:r>
      <w:r>
        <w:rPr>
          <w:rFonts w:ascii="Times New Roman" w:cs="Times New Roman" w:eastAsia="Times New Roman" w:hAnsi="Times New Roman"/>
          <w:sz w:val="12"/>
          <w:szCs w:val="12"/>
          <w:b w:val="1"/>
          <w:bCs w:val="1"/>
          <w:color w:val="auto"/>
        </w:rPr>
        <w:t>Assumption of Risks and Indemnification</w:t>
      </w:r>
    </w:p>
    <w:p>
      <w:pPr>
        <w:spacing w:after="0" w:line="91" w:lineRule="exact"/>
        <w:rPr>
          <w:sz w:val="20"/>
          <w:szCs w:val="20"/>
          <w:color w:val="auto"/>
        </w:rPr>
      </w:pPr>
    </w:p>
    <w:p>
      <w:pPr>
        <w:ind w:left="1480" w:right="939" w:hanging="360"/>
        <w:spacing w:after="0" w:line="256" w:lineRule="auto"/>
        <w:tabs>
          <w:tab w:leader="none" w:pos="14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any bills which the Obligor has drawn, endorsed, accepted, accepted for honor or guaranteed, or instruments which the Obligor has furnished to the Bank are lost, destroyed, damaged or delayed in delivery due to causes not attributable to the Bank such as force majeure, disasters, calamities or accidents during transit, the Obligor shall pay the Obligor’s obligations as recorded on the Bank’s books, slips, or otherwise; provided that, if the Obligor presents any evidence different from the Bank’s books and slips, or otherwise, the Bank shall compare the evidence and fix the Obligor’s obligations as it thinks fit and then the Obligor shall pay and perform such obligations.</w:t>
      </w:r>
    </w:p>
    <w:p>
      <w:pPr>
        <w:spacing w:after="0" w:line="61" w:lineRule="exact"/>
        <w:rPr>
          <w:rFonts w:ascii="Times New Roman" w:cs="Times New Roman" w:eastAsia="Times New Roman" w:hAnsi="Times New Roman"/>
          <w:sz w:val="12"/>
          <w:szCs w:val="12"/>
          <w:color w:val="auto"/>
        </w:rPr>
      </w:pPr>
    </w:p>
    <w:p>
      <w:pPr>
        <w:ind w:left="1480" w:right="959" w:hanging="360"/>
        <w:spacing w:after="0" w:line="260" w:lineRule="auto"/>
        <w:tabs>
          <w:tab w:leader="none" w:pos="14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any bills which the Obligor has drawn, endorsed, accepted, accepted for honor or guaranteed, or the instruments which the Obligor has furnished to the Bank are lost, damaged or destroyed as set forth in Paragraph (1), the Obligor shall upon the Bank’s demand forthwith provide the Bank with substitute bills or other instruments; provided however, this does not apply to such bills and instruments acquired by the Bank in the course of transactions with a third party.</w:t>
      </w:r>
    </w:p>
    <w:p>
      <w:pPr>
        <w:spacing w:after="0" w:line="59" w:lineRule="exact"/>
        <w:rPr>
          <w:rFonts w:ascii="Times New Roman" w:cs="Times New Roman" w:eastAsia="Times New Roman" w:hAnsi="Times New Roman"/>
          <w:sz w:val="12"/>
          <w:szCs w:val="12"/>
          <w:color w:val="auto"/>
        </w:rPr>
      </w:pPr>
    </w:p>
    <w:p>
      <w:pPr>
        <w:ind w:left="1480" w:right="859" w:hanging="360"/>
        <w:spacing w:after="0" w:line="279" w:lineRule="auto"/>
        <w:tabs>
          <w:tab w:leader="none" w:pos="14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Bank shall undertake to indemnify the Obligor who bears losses from double payments without any negligence as a result of payments or substitute bills or other instruments pursuant to Paragraph (1) or (2) above.</w:t>
      </w:r>
    </w:p>
    <w:p>
      <w:pPr>
        <w:sectPr>
          <w:pgSz w:w="11900" w:h="16838" w:orient="portrait"/>
          <w:cols w:equalWidth="0" w:num="1">
            <w:col w:w="9019"/>
          </w:cols>
          <w:pgMar w:left="1440" w:top="226" w:right="1440" w:bottom="1440" w:gutter="0" w:footer="0" w:header="0"/>
        </w:sectPr>
      </w:pPr>
    </w:p>
    <w:bookmarkStart w:id="67" w:name="page68"/>
    <w:bookmarkEnd w:id="67"/>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1480" w:right="979" w:hanging="360"/>
        <w:spacing w:after="0" w:line="257" w:lineRule="auto"/>
        <w:tabs>
          <w:tab w:leader="none" w:pos="14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Bank has entered into transactions or has handled matters after making adequate visual inspection with due care to check the seal impression or signature on the bills or instruments against the Obligor’s specimen seal impression or specimen signature previously filed with the Bank and finding such to be genuine, the Obligor shall be liable for any losses and damages arising from any forgery, alteration, wrongful use, or otherwise of the bills, instruments and seals or signatures, and shall be liable in accordance with the terms of any such bills or instruments.</w:t>
      </w:r>
    </w:p>
    <w:p>
      <w:pPr>
        <w:spacing w:after="0" w:line="220"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16</w:t>
      </w:r>
      <w:r>
        <w:rPr>
          <w:sz w:val="20"/>
          <w:szCs w:val="20"/>
          <w:color w:val="auto"/>
        </w:rPr>
        <w:tab/>
      </w:r>
      <w:r>
        <w:rPr>
          <w:rFonts w:ascii="Times New Roman" w:cs="Times New Roman" w:eastAsia="Times New Roman" w:hAnsi="Times New Roman"/>
          <w:sz w:val="12"/>
          <w:szCs w:val="12"/>
          <w:b w:val="1"/>
          <w:bCs w:val="1"/>
          <w:color w:val="auto"/>
        </w:rPr>
        <w:t>Filings with the Bank and Changes thereof</w:t>
      </w:r>
    </w:p>
    <w:p>
      <w:pPr>
        <w:spacing w:after="0" w:line="91" w:lineRule="exact"/>
        <w:rPr>
          <w:sz w:val="20"/>
          <w:szCs w:val="20"/>
          <w:color w:val="auto"/>
        </w:rPr>
      </w:pPr>
    </w:p>
    <w:p>
      <w:pPr>
        <w:ind w:left="1480" w:right="899" w:hanging="360"/>
        <w:spacing w:after="0" w:line="265" w:lineRule="auto"/>
        <w:tabs>
          <w:tab w:leader="none" w:pos="14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 shall file with the Bank in the form prescribed by the Bank in advance the following: the Obligor’s name, trade name, representative, address and seal or signature, etc., and the name and seal or signature of the Obligor’s agent if any transaction is performed with the Bank through the Obligor’s agent.</w:t>
      </w:r>
    </w:p>
    <w:p>
      <w:pPr>
        <w:spacing w:after="0" w:line="55" w:lineRule="exact"/>
        <w:rPr>
          <w:rFonts w:ascii="Times New Roman" w:cs="Times New Roman" w:eastAsia="Times New Roman" w:hAnsi="Times New Roman"/>
          <w:sz w:val="12"/>
          <w:szCs w:val="12"/>
          <w:color w:val="auto"/>
        </w:rPr>
      </w:pPr>
    </w:p>
    <w:p>
      <w:pPr>
        <w:ind w:left="1480" w:right="959" w:hanging="360"/>
        <w:spacing w:after="0" w:line="279" w:lineRule="auto"/>
        <w:tabs>
          <w:tab w:leader="none" w:pos="14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 shall notify the Bank of any change in what is filed with the Bank as set forth in Paragraph (1) above. The Obligor shall also notify the Bank of any changes to what has been registered in the Company Registry.</w:t>
      </w:r>
    </w:p>
    <w:p>
      <w:pPr>
        <w:spacing w:after="0" w:line="206"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17</w:t>
      </w:r>
      <w:r>
        <w:rPr>
          <w:sz w:val="20"/>
          <w:szCs w:val="20"/>
          <w:color w:val="auto"/>
        </w:rPr>
        <w:tab/>
      </w:r>
      <w:r>
        <w:rPr>
          <w:rFonts w:ascii="Times New Roman" w:cs="Times New Roman" w:eastAsia="Times New Roman" w:hAnsi="Times New Roman"/>
          <w:sz w:val="12"/>
          <w:szCs w:val="12"/>
          <w:b w:val="1"/>
          <w:bCs w:val="1"/>
          <w:color w:val="auto"/>
        </w:rPr>
        <w:t>Obligation to Prepare Documents in Good Faith</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Obligor shall in good faith prepare and submit the required documents to the Bank in connection with a credit transaction.</w:t>
      </w:r>
    </w:p>
    <w:p>
      <w:pPr>
        <w:spacing w:after="0" w:line="245"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18</w:t>
      </w:r>
      <w:r>
        <w:rPr>
          <w:sz w:val="20"/>
          <w:szCs w:val="20"/>
          <w:color w:val="auto"/>
        </w:rPr>
        <w:tab/>
      </w:r>
      <w:r>
        <w:rPr>
          <w:rFonts w:ascii="Times New Roman" w:cs="Times New Roman" w:eastAsia="Times New Roman" w:hAnsi="Times New Roman"/>
          <w:sz w:val="12"/>
          <w:szCs w:val="12"/>
          <w:b w:val="1"/>
          <w:bCs w:val="1"/>
          <w:color w:val="auto"/>
        </w:rPr>
        <w:t>Effect of Notice</w:t>
      </w:r>
    </w:p>
    <w:p>
      <w:pPr>
        <w:spacing w:after="0" w:line="91" w:lineRule="exact"/>
        <w:rPr>
          <w:sz w:val="20"/>
          <w:szCs w:val="20"/>
          <w:color w:val="auto"/>
        </w:rPr>
      </w:pPr>
    </w:p>
    <w:p>
      <w:pPr>
        <w:ind w:left="1480" w:right="1099" w:hanging="360"/>
        <w:spacing w:after="0" w:line="279" w:lineRule="auto"/>
        <w:tabs>
          <w:tab w:leader="none" w:pos="14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given by the Bank or any document sent by the Bank to the Obligor’s latest address filed with the Bank shall be deemed to have been delivered by the time it normally takes to be delivered by mail.</w:t>
      </w:r>
    </w:p>
    <w:p>
      <w:pPr>
        <w:spacing w:after="0" w:line="48" w:lineRule="exact"/>
        <w:rPr>
          <w:rFonts w:ascii="Times New Roman" w:cs="Times New Roman" w:eastAsia="Times New Roman" w:hAnsi="Times New Roman"/>
          <w:sz w:val="12"/>
          <w:szCs w:val="12"/>
          <w:color w:val="auto"/>
        </w:rPr>
      </w:pPr>
    </w:p>
    <w:p>
      <w:pPr>
        <w:jc w:val="both"/>
        <w:ind w:left="1480" w:right="899" w:hanging="360"/>
        <w:spacing w:after="0" w:line="260" w:lineRule="auto"/>
        <w:tabs>
          <w:tab w:leader="none" w:pos="14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notice given or any documents sent by the Bank in accordance with Paragraph (1) above has not been delivered or is delayed due to the Obligor’s negligence to notify any change pursuant to Article 16(2), such notice or documents shall be deemed to have been delivered at the time it normally should have been delivered by mail; provided that, notice of set-off, acceleration of payment or any other important indication of intention shall be deemed to have been delivered only if such notice was sent by content-certified mail.</w:t>
      </w:r>
    </w:p>
    <w:p>
      <w:pPr>
        <w:spacing w:after="0" w:line="59" w:lineRule="exact"/>
        <w:rPr>
          <w:rFonts w:ascii="Times New Roman" w:cs="Times New Roman" w:eastAsia="Times New Roman" w:hAnsi="Times New Roman"/>
          <w:sz w:val="12"/>
          <w:szCs w:val="12"/>
          <w:color w:val="auto"/>
        </w:rPr>
      </w:pPr>
    </w:p>
    <w:p>
      <w:pPr>
        <w:ind w:left="1480" w:right="1159" w:hanging="360"/>
        <w:spacing w:after="0" w:line="279" w:lineRule="auto"/>
        <w:tabs>
          <w:tab w:leader="none" w:pos="14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Copies retained by the Bank of the notices or documents forwarded by the Bank to the Obligor and the Bank’s record indicating such delivery shall constitute prima facie evidence that the Bank has given such notices or documents.</w:t>
      </w:r>
    </w:p>
    <w:p>
      <w:pPr>
        <w:spacing w:after="0" w:line="206"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19</w:t>
      </w:r>
      <w:r>
        <w:rPr>
          <w:sz w:val="20"/>
          <w:szCs w:val="20"/>
          <w:color w:val="auto"/>
        </w:rPr>
        <w:tab/>
      </w:r>
      <w:r>
        <w:rPr>
          <w:rFonts w:ascii="Times New Roman" w:cs="Times New Roman" w:eastAsia="Times New Roman" w:hAnsi="Times New Roman"/>
          <w:sz w:val="12"/>
          <w:szCs w:val="12"/>
          <w:b w:val="1"/>
          <w:bCs w:val="1"/>
          <w:color w:val="auto"/>
        </w:rPr>
        <w:t>Report and Investigation</w:t>
      </w:r>
    </w:p>
    <w:p>
      <w:pPr>
        <w:spacing w:after="0" w:line="91" w:lineRule="exact"/>
        <w:rPr>
          <w:sz w:val="20"/>
          <w:szCs w:val="20"/>
          <w:color w:val="auto"/>
        </w:rPr>
      </w:pPr>
    </w:p>
    <w:p>
      <w:pPr>
        <w:ind w:left="1480" w:right="959" w:hanging="360"/>
        <w:spacing w:after="0" w:line="260" w:lineRule="auto"/>
        <w:tabs>
          <w:tab w:leader="none" w:pos="14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Bank’s request, the Obligor shall promptly submit to the Bank, reports with respect to the Obligor’s assets, liabilities, management conditions, the status of business or performance of credit conditions and any other important matters, and the Obligor shall also provide any assistance necessary for the Bank’s investigation of the Obligor’s book records, factories, place of business or any other matters, upon the Bank’s request.</w:t>
      </w:r>
    </w:p>
    <w:p>
      <w:pPr>
        <w:sectPr>
          <w:pgSz w:w="11900" w:h="16838" w:orient="portrait"/>
          <w:cols w:equalWidth="0" w:num="1">
            <w:col w:w="9019"/>
          </w:cols>
          <w:pgMar w:left="1440" w:top="226" w:right="1440" w:bottom="1440" w:gutter="0" w:footer="0" w:header="0"/>
        </w:sectPr>
      </w:pPr>
    </w:p>
    <w:bookmarkStart w:id="68" w:name="page69"/>
    <w:bookmarkEnd w:id="68"/>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1480" w:right="899" w:hanging="360"/>
        <w:spacing w:after="0" w:line="265" w:lineRule="auto"/>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 shall promptly submit to the Bank, even without the Bank’s request, a report of any material change that has occurred or is likely to occur with respect to the Obligor’s assets, liabilities, management conditions or the status of business or other matters which may affect the Obligor’s transactions with the Bank.</w:t>
      </w:r>
    </w:p>
    <w:p>
      <w:pPr>
        <w:spacing w:after="0" w:line="55" w:lineRule="exact"/>
        <w:rPr>
          <w:rFonts w:ascii="Times New Roman" w:cs="Times New Roman" w:eastAsia="Times New Roman" w:hAnsi="Times New Roman"/>
          <w:sz w:val="12"/>
          <w:szCs w:val="12"/>
          <w:color w:val="auto"/>
        </w:rPr>
      </w:pPr>
    </w:p>
    <w:p>
      <w:pPr>
        <w:ind w:left="1480" w:right="979" w:hanging="360"/>
        <w:spacing w:after="0" w:line="257" w:lineRule="auto"/>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it is likely that it would not be possible for the Bank to collect its credit extended to the Obligor due to the measure of transaction suspension by the clearing house, non-performing credit or rapid deterioration of management conditions of the Obligor based on the reports, and investigations or notifications submitted in accordance with Paragraphs (1) and (2) above, the Bank may at any time send its staff, to the extent necessary for the purpose of protecting the Bank’s rights, to manage or supervise the Obligor’s assets and business management.</w:t>
      </w:r>
    </w:p>
    <w:p>
      <w:pPr>
        <w:spacing w:after="0" w:line="220"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20</w:t>
      </w:r>
      <w:r>
        <w:rPr>
          <w:sz w:val="20"/>
          <w:szCs w:val="20"/>
          <w:color w:val="auto"/>
        </w:rPr>
        <w:tab/>
      </w:r>
      <w:r>
        <w:rPr>
          <w:rFonts w:ascii="Times New Roman" w:cs="Times New Roman" w:eastAsia="Times New Roman" w:hAnsi="Times New Roman"/>
          <w:sz w:val="12"/>
          <w:szCs w:val="12"/>
          <w:b w:val="1"/>
          <w:bCs w:val="1"/>
          <w:color w:val="auto"/>
        </w:rPr>
        <w:t>Change to Terms of Credit Transaction</w:t>
      </w:r>
    </w:p>
    <w:p>
      <w:pPr>
        <w:spacing w:after="0" w:line="91" w:lineRule="exact"/>
        <w:rPr>
          <w:sz w:val="20"/>
          <w:szCs w:val="20"/>
          <w:color w:val="auto"/>
        </w:rPr>
      </w:pPr>
    </w:p>
    <w:p>
      <w:pPr>
        <w:jc w:val="both"/>
        <w:ind w:left="1480" w:right="919" w:hanging="360"/>
        <w:spacing w:after="0" w:line="327" w:lineRule="auto"/>
        <w:tabs>
          <w:tab w:leader="none" w:pos="148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case of changes to the creditworthiness of the Obligor, the Bank may adjust the credit rating as determined by the Bank and change the credit limit, maturity, interest rate and/or other terms of the credit transaction by giving a written notice of such adjustment and/or change.</w:t>
      </w:r>
    </w:p>
    <w:p>
      <w:pPr>
        <w:spacing w:after="0" w:line="24" w:lineRule="exact"/>
        <w:rPr>
          <w:rFonts w:ascii="Times New Roman" w:cs="Times New Roman" w:eastAsia="Times New Roman" w:hAnsi="Times New Roman"/>
          <w:sz w:val="11"/>
          <w:szCs w:val="11"/>
          <w:color w:val="auto"/>
        </w:rPr>
      </w:pPr>
    </w:p>
    <w:p>
      <w:pPr>
        <w:ind w:left="1480" w:right="959" w:hanging="360"/>
        <w:spacing w:after="0" w:line="260" w:lineRule="auto"/>
        <w:tabs>
          <w:tab w:leader="none" w:pos="1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Obligor has any objection to the change to the credit limit or maturity under Paragraph (1) above, the Obligor may terminate the agreement within one (1) month from the date when such change to the credit limit or maturity takes effect. As for any objection to the change in the interest rate, the Obligor may terminate the agreement within one (1) month from the first interest payment date under such change. The terms before the change shall apply until the termination date of the agreement.</w:t>
      </w:r>
    </w:p>
    <w:p>
      <w:pPr>
        <w:spacing w:after="0" w:line="59" w:lineRule="exact"/>
        <w:rPr>
          <w:rFonts w:ascii="Times New Roman" w:cs="Times New Roman" w:eastAsia="Times New Roman" w:hAnsi="Times New Roman"/>
          <w:sz w:val="12"/>
          <w:szCs w:val="12"/>
          <w:color w:val="auto"/>
        </w:rPr>
      </w:pPr>
    </w:p>
    <w:p>
      <w:pPr>
        <w:ind w:left="1480" w:right="859" w:hanging="360"/>
        <w:spacing w:after="0" w:line="265" w:lineRule="auto"/>
        <w:tabs>
          <w:tab w:leader="none" w:pos="1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the Obligor acknowledges that its creditworthiness has improved, the Obligor may demand in writing that the Bank change the credit limit, maturity, interest rate and/or other terms of the credit transaction that has been determined by the Bank. In this case, after review of such request, the Bank shall take necessary measures and notify the Obligor of the results of such review.</w:t>
      </w:r>
    </w:p>
    <w:p>
      <w:pPr>
        <w:spacing w:after="0" w:line="214"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21</w:t>
      </w:r>
      <w:r>
        <w:rPr>
          <w:sz w:val="20"/>
          <w:szCs w:val="20"/>
          <w:color w:val="auto"/>
        </w:rPr>
        <w:tab/>
      </w:r>
      <w:r>
        <w:rPr>
          <w:rFonts w:ascii="Times New Roman" w:cs="Times New Roman" w:eastAsia="Times New Roman" w:hAnsi="Times New Roman"/>
          <w:sz w:val="12"/>
          <w:szCs w:val="12"/>
          <w:b w:val="1"/>
          <w:bCs w:val="1"/>
          <w:color w:val="auto"/>
        </w:rPr>
        <w:t>Place of Performance and the Governing Law</w:t>
      </w:r>
    </w:p>
    <w:p>
      <w:pPr>
        <w:spacing w:after="0" w:line="91" w:lineRule="exact"/>
        <w:rPr>
          <w:sz w:val="20"/>
          <w:szCs w:val="20"/>
          <w:color w:val="auto"/>
        </w:rPr>
      </w:pPr>
    </w:p>
    <w:p>
      <w:pPr>
        <w:ind w:left="1480" w:right="939" w:hanging="360"/>
        <w:spacing w:after="0" w:line="260" w:lineRule="auto"/>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obligations in connection with the Obligor’s transactions with the Bank shall be performed at the Bank’s office that conducts transactions with the Obligor, unless otherwise agreed; provided however, if the Bank transfers the task of credit management to headquarter or other offices for the management of non-performing credit or for any other reasonable causes, such transferred obligations of the Obligor shall be performed at such headquarter or other offices.</w:t>
      </w:r>
    </w:p>
    <w:p>
      <w:pPr>
        <w:spacing w:after="0" w:line="59" w:lineRule="exact"/>
        <w:rPr>
          <w:rFonts w:ascii="Times New Roman" w:cs="Times New Roman" w:eastAsia="Times New Roman" w:hAnsi="Times New Roman"/>
          <w:sz w:val="12"/>
          <w:szCs w:val="12"/>
          <w:color w:val="auto"/>
        </w:rPr>
      </w:pPr>
    </w:p>
    <w:p>
      <w:pPr>
        <w:ind w:left="1480" w:right="939" w:hanging="360"/>
        <w:spacing w:after="0" w:line="279" w:lineRule="auto"/>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credit transactions under the General Terms and Conditions shall be governed by and be construed in accordance with the laws of the Republic of Korea, even if the Obligor is not a Korean person or company.</w:t>
      </w:r>
    </w:p>
    <w:p>
      <w:pPr>
        <w:sectPr>
          <w:pgSz w:w="11900" w:h="16838" w:orient="portrait"/>
          <w:cols w:equalWidth="0" w:num="1">
            <w:col w:w="9019"/>
          </w:cols>
          <w:pgMar w:left="1440" w:top="226" w:right="1440" w:bottom="1440" w:gutter="0" w:footer="0" w:header="0"/>
        </w:sectPr>
      </w:pPr>
    </w:p>
    <w:bookmarkStart w:id="69" w:name="page70"/>
    <w:bookmarkEnd w:id="69"/>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3"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22</w:t>
      </w:r>
      <w:r>
        <w:rPr>
          <w:sz w:val="20"/>
          <w:szCs w:val="20"/>
          <w:color w:val="auto"/>
        </w:rPr>
        <w:tab/>
      </w:r>
      <w:r>
        <w:rPr>
          <w:rFonts w:ascii="Times New Roman" w:cs="Times New Roman" w:eastAsia="Times New Roman" w:hAnsi="Times New Roman"/>
          <w:sz w:val="12"/>
          <w:szCs w:val="12"/>
          <w:b w:val="1"/>
          <w:bCs w:val="1"/>
          <w:color w:val="auto"/>
        </w:rPr>
        <w:t>Amendment to General Terms and Conditions and the agreements</w:t>
      </w:r>
    </w:p>
    <w:p>
      <w:pPr>
        <w:spacing w:after="0" w:line="78" w:lineRule="exact"/>
        <w:rPr>
          <w:sz w:val="20"/>
          <w:szCs w:val="20"/>
          <w:color w:val="auto"/>
        </w:rPr>
      </w:pPr>
    </w:p>
    <w:p>
      <w:pPr>
        <w:ind w:left="840" w:right="1199" w:hanging="8"/>
        <w:spacing w:after="0" w:line="286" w:lineRule="auto"/>
        <w:tabs>
          <w:tab w:leader="none" w:pos="93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Please note that the underlined portion of this Article is different from the “General Terms and Conditions for Credit Transactions (for Corporate Borrower)” set out by the Korea Fair Trade Commission.</w:t>
      </w:r>
    </w:p>
    <w:p>
      <w:pPr>
        <w:spacing w:after="0" w:line="44" w:lineRule="exact"/>
        <w:rPr>
          <w:rFonts w:ascii="Times New Roman" w:cs="Times New Roman" w:eastAsia="Times New Roman" w:hAnsi="Times New Roman"/>
          <w:sz w:val="12"/>
          <w:szCs w:val="12"/>
          <w:color w:val="auto"/>
        </w:rPr>
      </w:pPr>
    </w:p>
    <w:p>
      <w:pPr>
        <w:ind w:left="1480" w:right="919" w:hanging="360"/>
        <w:spacing w:after="0" w:line="260" w:lineRule="auto"/>
        <w:tabs>
          <w:tab w:leader="none" w:pos="1480"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Bank intends to amend the General Terms and Conditions or the ancillary agreements thereto in a manner that will adversely affect the Obligor, the Bank shall post notices of the amendment in the Bank’s offices and on the webpage of the Bank for one (1) month preceding the scheduled date of the amendment; </w:t>
      </w:r>
      <w:r>
        <w:rPr>
          <w:rFonts w:ascii="Times New Roman" w:cs="Times New Roman" w:eastAsia="Times New Roman" w:hAnsi="Times New Roman"/>
          <w:sz w:val="12"/>
          <w:szCs w:val="12"/>
          <w:u w:val="single" w:color="auto"/>
          <w:color w:val="auto"/>
        </w:rPr>
        <w:t>provided however, the Bank shall post notices of the amendment for seven (7) days from</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the effective date of the amendment in the case of each of the following sub-paragraphs:</w:t>
      </w:r>
    </w:p>
    <w:p>
      <w:pPr>
        <w:spacing w:after="0" w:line="59"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2"/>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When the amendment is in accordance with the enactment or revision of laws;</w:t>
      </w:r>
    </w:p>
    <w:p>
      <w:pPr>
        <w:spacing w:after="0" w:line="87"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2"/>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When the amendment is beneficial to the customer or does not apply to existing customers; or</w:t>
      </w:r>
    </w:p>
    <w:p>
      <w:pPr>
        <w:spacing w:after="0" w:line="87" w:lineRule="exact"/>
        <w:rPr>
          <w:rFonts w:ascii="Times New Roman" w:cs="Times New Roman" w:eastAsia="Times New Roman" w:hAnsi="Times New Roman"/>
          <w:sz w:val="12"/>
          <w:szCs w:val="12"/>
          <w:color w:val="auto"/>
        </w:rPr>
      </w:pPr>
    </w:p>
    <w:p>
      <w:pPr>
        <w:ind w:left="1780" w:right="1099" w:hanging="291"/>
        <w:spacing w:after="0" w:line="279" w:lineRule="auto"/>
        <w:tabs>
          <w:tab w:leader="none" w:pos="1780" w:val="left"/>
        </w:tabs>
        <w:numPr>
          <w:ilvl w:val="2"/>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When the amendment is about simple wording change which does not substantially change the content of the existing terms and conditions.</w:t>
      </w:r>
    </w:p>
    <w:p>
      <w:pPr>
        <w:spacing w:after="0" w:line="48" w:lineRule="exact"/>
        <w:rPr>
          <w:rFonts w:ascii="Times New Roman" w:cs="Times New Roman" w:eastAsia="Times New Roman" w:hAnsi="Times New Roman"/>
          <w:sz w:val="12"/>
          <w:szCs w:val="12"/>
          <w:color w:val="auto"/>
        </w:rPr>
      </w:pPr>
    </w:p>
    <w:p>
      <w:pPr>
        <w:ind w:left="1480" w:right="939" w:hanging="360"/>
        <w:spacing w:after="0" w:line="260" w:lineRule="auto"/>
        <w:tabs>
          <w:tab w:leader="none" w:pos="1480"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case the amendment under Paragraph (1) above will adversely affect the Obligor, the Bank shall notify the Obligor of such amendment through means agreed in advance with the Obligor, at least thirty (30) days before the amendment. However, no notice is necessary if the terms before the amendment shall apply to the Obligor or in case the Obligor expressly indicates the intention of not receiving such notification of any amendment.</w:t>
      </w:r>
    </w:p>
    <w:p>
      <w:pPr>
        <w:spacing w:after="0" w:line="59" w:lineRule="exact"/>
        <w:rPr>
          <w:rFonts w:ascii="Times New Roman" w:cs="Times New Roman" w:eastAsia="Times New Roman" w:hAnsi="Times New Roman"/>
          <w:sz w:val="12"/>
          <w:szCs w:val="12"/>
          <w:color w:val="auto"/>
        </w:rPr>
      </w:pPr>
    </w:p>
    <w:p>
      <w:pPr>
        <w:ind w:left="1480" w:right="879" w:hanging="360"/>
        <w:spacing w:after="0" w:line="260" w:lineRule="auto"/>
        <w:tabs>
          <w:tab w:leader="none" w:pos="1480"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the Bank gives notice to the Obligor under Paragraph (2) above, it shall include in the notice the following: “The Obligor may terminate the agreement within thirty (30) days from the date when the notice arrives in case of disagreement with the amendment, and the proposed amendment shall be deemed accepted and agreed to by the Obligor unless the Obligor provides notice of intention to terminate the General Terms and Conditions and the ancillary terms thereto”.</w:t>
      </w:r>
    </w:p>
    <w:p>
      <w:pPr>
        <w:spacing w:after="0" w:line="59" w:lineRule="exact"/>
        <w:rPr>
          <w:rFonts w:ascii="Times New Roman" w:cs="Times New Roman" w:eastAsia="Times New Roman" w:hAnsi="Times New Roman"/>
          <w:sz w:val="12"/>
          <w:szCs w:val="12"/>
          <w:color w:val="auto"/>
        </w:rPr>
      </w:pPr>
    </w:p>
    <w:p>
      <w:pPr>
        <w:ind w:left="1480" w:right="919" w:hanging="360"/>
        <w:spacing w:after="0" w:line="259" w:lineRule="auto"/>
        <w:tabs>
          <w:tab w:leader="none" w:pos="1480"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amendment to the General Terms and Conditions and the ancillary terms thereto shall be deemed accepted and agreed to by the Obligor, unless the Bank receives the Obligor’s objection to such amendment within thirty (30) days after the notice in Paragraph</w:t>
      </w:r>
    </w:p>
    <w:p>
      <w:pPr>
        <w:spacing w:after="0" w:line="1" w:lineRule="exact"/>
        <w:rPr>
          <w:rFonts w:ascii="Times New Roman" w:cs="Times New Roman" w:eastAsia="Times New Roman" w:hAnsi="Times New Roman"/>
          <w:sz w:val="12"/>
          <w:szCs w:val="12"/>
          <w:color w:val="auto"/>
        </w:rPr>
      </w:pPr>
    </w:p>
    <w:p>
      <w:pPr>
        <w:ind w:left="14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 above is received by the Obligor.</w:t>
      </w:r>
    </w:p>
    <w:p>
      <w:pPr>
        <w:spacing w:after="0" w:line="76" w:lineRule="exact"/>
        <w:rPr>
          <w:rFonts w:ascii="Times New Roman" w:cs="Times New Roman" w:eastAsia="Times New Roman" w:hAnsi="Times New Roman"/>
          <w:sz w:val="12"/>
          <w:szCs w:val="12"/>
          <w:color w:val="auto"/>
        </w:rPr>
      </w:pPr>
    </w:p>
    <w:p>
      <w:pPr>
        <w:ind w:left="1480" w:right="999" w:hanging="360"/>
        <w:spacing w:after="0" w:line="279" w:lineRule="auto"/>
        <w:tabs>
          <w:tab w:leader="none" w:pos="1480"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Bank shall post or keep a copy of the General Terms and Conditions in the offices of the Bank and deliver them to the Obligor upon the Obligor’s request.</w:t>
      </w:r>
    </w:p>
    <w:p>
      <w:pPr>
        <w:spacing w:after="0" w:line="206"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Article 23</w:t>
      </w:r>
      <w:r>
        <w:rPr>
          <w:sz w:val="20"/>
          <w:szCs w:val="20"/>
          <w:color w:val="auto"/>
        </w:rPr>
        <w:tab/>
      </w:r>
      <w:r>
        <w:rPr>
          <w:rFonts w:ascii="Times New Roman" w:cs="Times New Roman" w:eastAsia="Times New Roman" w:hAnsi="Times New Roman"/>
          <w:sz w:val="12"/>
          <w:szCs w:val="12"/>
          <w:b w:val="1"/>
          <w:bCs w:val="1"/>
          <w:color w:val="auto"/>
        </w:rPr>
        <w:t>Jurisdiction</w:t>
      </w:r>
    </w:p>
    <w:p>
      <w:pPr>
        <w:spacing w:after="0" w:line="82" w:lineRule="exact"/>
        <w:rPr>
          <w:sz w:val="20"/>
          <w:szCs w:val="20"/>
          <w:color w:val="auto"/>
        </w:rPr>
      </w:pPr>
    </w:p>
    <w:p>
      <w:pPr>
        <w:ind w:left="1120" w:right="939"/>
        <w:spacing w:after="0" w:line="255" w:lineRule="auto"/>
        <w:rPr>
          <w:sz w:val="20"/>
          <w:szCs w:val="20"/>
          <w:color w:val="auto"/>
        </w:rPr>
      </w:pPr>
      <w:r>
        <w:rPr>
          <w:rFonts w:ascii="Times New Roman" w:cs="Times New Roman" w:eastAsia="Times New Roman" w:hAnsi="Times New Roman"/>
          <w:sz w:val="12"/>
          <w:szCs w:val="12"/>
          <w:color w:val="auto"/>
        </w:rPr>
        <w:t>The Obligor hereby agrees and consents that, in addition to the jurisdiction prescribed by the applicable law, the district court having jurisdiction over the headquarter or the offices of the Bank that conduct transactions with the Obligor shall have jurisdiction over any legal action instituted between the Bank and the Obligor, the guarantor or the guarantor in rem in connection with the credit transaction under the General Terms and Conditions; provided however, if the Bank transferred the management of credit to the headquarter or other offices of the Bank to manage non-performing credit which occurred due to a cause attributable to the Obligor, the Obligor agrees and consents, in addition to the jurisdiction prescribed by the applicable law, that the district court having jurisdiction over the headquarter or other offices of the Bank to which the management of credit has been transferred shall have jurisdiction over such legal actions.</w:t>
      </w:r>
    </w:p>
    <w:p>
      <w:pPr>
        <w:sectPr>
          <w:pgSz w:w="11900" w:h="16838" w:orient="portrait"/>
          <w:cols w:equalWidth="0" w:num="1">
            <w:col w:w="9019"/>
          </w:cols>
          <w:pgMar w:left="1440" w:top="226" w:right="1440" w:bottom="1440" w:gutter="0" w:footer="0" w:header="0"/>
        </w:sectPr>
      </w:pPr>
    </w:p>
    <w:bookmarkStart w:id="70" w:name="page71"/>
    <w:bookmarkEnd w:id="70"/>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10.3</w:t>
      </w:r>
    </w:p>
    <w:p>
      <w:pPr>
        <w:spacing w:after="0" w:line="152"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t>[English Translation]</w:t>
      </w: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Kun-Security</w:t>
      </w:r>
    </w:p>
    <w:p>
      <w:pPr>
        <w:spacing w:after="0" w:line="168" w:lineRule="exact"/>
        <w:rPr>
          <w:sz w:val="20"/>
          <w:szCs w:val="20"/>
          <w:color w:val="auto"/>
        </w:rPr>
      </w:pPr>
    </w:p>
    <w:p>
      <w:pPr>
        <w:ind w:left="6660"/>
        <w:spacing w:after="0"/>
        <w:tabs>
          <w:tab w:leader="none" w:pos="7200" w:val="left"/>
          <w:tab w:leader="none" w:pos="7720" w:val="left"/>
        </w:tabs>
        <w:rPr>
          <w:sz w:val="20"/>
          <w:szCs w:val="20"/>
          <w:color w:val="auto"/>
        </w:rPr>
      </w:pPr>
      <w:r>
        <w:rPr>
          <w:rFonts w:ascii="Times New Roman" w:cs="Times New Roman" w:eastAsia="Times New Roman" w:hAnsi="Times New Roman"/>
          <w:sz w:val="12"/>
          <w:szCs w:val="12"/>
          <w:color w:val="auto"/>
        </w:rPr>
        <w:t>Team</w:t>
      </w:r>
      <w:r>
        <w:rPr>
          <w:sz w:val="20"/>
          <w:szCs w:val="20"/>
          <w:color w:val="auto"/>
        </w:rPr>
        <w:tab/>
      </w:r>
      <w:r>
        <w:rPr>
          <w:rFonts w:ascii="Times New Roman" w:cs="Times New Roman" w:eastAsia="Times New Roman" w:hAnsi="Times New Roman"/>
          <w:sz w:val="12"/>
          <w:szCs w:val="12"/>
          <w:color w:val="auto"/>
        </w:rPr>
        <w:t>Team</w:t>
      </w:r>
      <w:r>
        <w:rPr>
          <w:sz w:val="20"/>
          <w:szCs w:val="20"/>
          <w:color w:val="auto"/>
        </w:rPr>
        <w:tab/>
      </w:r>
      <w:r>
        <w:rPr>
          <w:rFonts w:ascii="Times New Roman" w:cs="Times New Roman" w:eastAsia="Times New Roman" w:hAnsi="Times New Roman"/>
          <w:sz w:val="12"/>
          <w:szCs w:val="12"/>
          <w:color w:val="auto"/>
        </w:rPr>
        <w:t>General</w:t>
      </w:r>
    </w:p>
    <w:p>
      <w:pPr>
        <w:spacing w:after="0" w:line="18" w:lineRule="exact"/>
        <w:rPr>
          <w:sz w:val="20"/>
          <w:szCs w:val="20"/>
          <w:color w:val="auto"/>
        </w:rPr>
      </w:pPr>
    </w:p>
    <w:p>
      <w:pPr>
        <w:ind w:left="6600"/>
        <w:spacing w:after="0"/>
        <w:tabs>
          <w:tab w:leader="none" w:pos="7120" w:val="left"/>
          <w:tab w:leader="none" w:pos="7700" w:val="left"/>
        </w:tabs>
        <w:rPr>
          <w:sz w:val="20"/>
          <w:szCs w:val="20"/>
          <w:color w:val="auto"/>
        </w:rPr>
      </w:pPr>
      <w:r>
        <w:rPr>
          <w:rFonts w:ascii="Times New Roman" w:cs="Times New Roman" w:eastAsia="Times New Roman" w:hAnsi="Times New Roman"/>
          <w:sz w:val="12"/>
          <w:szCs w:val="12"/>
          <w:color w:val="auto"/>
        </w:rPr>
        <w:t>Member</w:t>
        <w:tab/>
        <w:t>Manager</w:t>
      </w:r>
      <w:r>
        <w:rPr>
          <w:sz w:val="20"/>
          <w:szCs w:val="20"/>
          <w:color w:val="auto"/>
        </w:rPr>
        <w:tab/>
      </w:r>
      <w:r>
        <w:rPr>
          <w:rFonts w:ascii="Times New Roman" w:cs="Times New Roman" w:eastAsia="Times New Roman" w:hAnsi="Times New Roman"/>
          <w:sz w:val="11"/>
          <w:szCs w:val="11"/>
          <w:color w:val="auto"/>
        </w:rPr>
        <w:t>Manager</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KUN- MORTGAGE AGREEMENT</w:t>
      </w:r>
    </w:p>
    <w:p>
      <w:pPr>
        <w:spacing w:after="0" w:line="15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 xml:space="preserve">Date: </w:t>
      </w:r>
      <w:r>
        <w:rPr>
          <w:rFonts w:ascii="Times New Roman" w:cs="Times New Roman" w:eastAsia="Times New Roman" w:hAnsi="Times New Roman"/>
          <w:sz w:val="12"/>
          <w:szCs w:val="12"/>
          <w:u w:val="single" w:color="auto"/>
          <w:color w:val="auto"/>
        </w:rPr>
        <w:t>March 26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2024</w:t>
      </w:r>
    </w:p>
    <w:p>
      <w:pPr>
        <w:spacing w:after="0" w:line="150" w:lineRule="exact"/>
        <w:rPr>
          <w:sz w:val="20"/>
          <w:szCs w:val="20"/>
          <w:color w:val="auto"/>
        </w:rPr>
      </w:pPr>
    </w:p>
    <w:p>
      <w:pPr>
        <w:ind w:left="840" w:right="1019"/>
        <w:spacing w:after="0" w:line="279" w:lineRule="auto"/>
        <w:rPr>
          <w:sz w:val="20"/>
          <w:szCs w:val="20"/>
          <w:color w:val="auto"/>
        </w:rPr>
      </w:pPr>
      <w:r>
        <w:rPr>
          <w:rFonts w:ascii="Times New Roman" w:cs="Times New Roman" w:eastAsia="Times New Roman" w:hAnsi="Times New Roman"/>
          <w:sz w:val="12"/>
          <w:szCs w:val="12"/>
          <w:color w:val="auto"/>
        </w:rPr>
        <w:t>The Bank shall explain all the material terms of this Agreement and shall deliver a copy of the General Terms and Conditions for Credit Transactions and this Agreement, to the Mortgagor.</w:t>
      </w:r>
    </w:p>
    <w:p>
      <w:pPr>
        <w:spacing w:after="0" w:line="111" w:lineRule="exact"/>
        <w:rPr>
          <w:sz w:val="20"/>
          <w:szCs w:val="20"/>
          <w:color w:val="auto"/>
        </w:rPr>
      </w:pPr>
    </w:p>
    <w:p>
      <w:pPr>
        <w:ind w:left="840" w:right="1059" w:hanging="8"/>
        <w:spacing w:after="0" w:line="279" w:lineRule="auto"/>
        <w:tabs>
          <w:tab w:leader="none" w:pos="977" w:val="left"/>
        </w:tabs>
        <w:numPr>
          <w:ilvl w:val="0"/>
          <w:numId w:val="68"/>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Providing collateral to secure debt is a serious legal act with potentially adverse financial consequences for the Mortgagor. The Mortgagor should carefully read this Agreement and the “Notice to Mortgagor” printed at the reverse side of this Agreement before making a decision.</w:t>
      </w:r>
    </w:p>
    <w:p>
      <w:pPr>
        <w:spacing w:after="0" w:line="111" w:lineRule="exact"/>
        <w:rPr>
          <w:sz w:val="20"/>
          <w:szCs w:val="20"/>
          <w:color w:val="auto"/>
        </w:rPr>
      </w:pPr>
    </w:p>
    <w:p>
      <w:pPr>
        <w:ind w:left="840"/>
        <w:spacing w:after="0"/>
        <w:rPr>
          <w:sz w:val="20"/>
          <w:szCs w:val="20"/>
          <w:color w:val="auto"/>
        </w:rPr>
      </w:pPr>
      <w:r>
        <w:rPr>
          <w:rFonts w:ascii="Wingdings" w:cs="Wingdings" w:eastAsia="Wingdings" w:hAnsi="Wingdings"/>
          <w:sz w:val="12"/>
          <w:szCs w:val="12"/>
          <w:b w:val="1"/>
          <w:bCs w:val="1"/>
          <w:color w:val="auto"/>
        </w:rPr>
        <w:t xml:space="preserve">« </w:t>
      </w:r>
      <w:r>
        <w:rPr>
          <w:rFonts w:ascii="Times New Roman" w:cs="Times New Roman" w:eastAsia="Times New Roman" w:hAnsi="Times New Roman"/>
          <w:sz w:val="12"/>
          <w:szCs w:val="12"/>
          <w:color w:val="auto"/>
        </w:rPr>
        <w:t>The blank boxes         (for party names and at the end of this Agreement) should be filled by the Mortgagor in his/her own handwriting.</w:t>
      </w:r>
    </w:p>
    <w:p>
      <w:pPr>
        <w:sectPr>
          <w:pgSz w:w="11900" w:h="16838" w:orient="portrait"/>
          <w:cols w:equalWidth="0" w:num="1">
            <w:col w:w="9019"/>
          </w:cols>
          <w:pgMar w:left="1440" w:top="125" w:right="1440" w:bottom="1440" w:gutter="0" w:footer="0" w:header="0"/>
        </w:sectPr>
      </w:pPr>
    </w:p>
    <w:p>
      <w:pPr>
        <w:spacing w:after="0" w:line="1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color w:val="auto"/>
        </w:rPr>
        <w:t>Creditor &amp;</w:t>
      </w:r>
    </w:p>
    <w:p>
      <w:pPr>
        <w:spacing w:after="0" w:line="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1"/>
          <w:szCs w:val="11"/>
          <w:color w:val="auto"/>
        </w:rPr>
        <w:t>Mortgagee:</w:t>
      </w:r>
    </w:p>
    <w:p>
      <w:pPr>
        <w:spacing w:after="0" w:line="1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color w:val="auto"/>
        </w:rPr>
        <w:t>Address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Korea Development Bank (“</w:t>
      </w:r>
      <w:r>
        <w:rPr>
          <w:rFonts w:ascii="Times New Roman" w:cs="Times New Roman" w:eastAsia="Times New Roman" w:hAnsi="Times New Roman"/>
          <w:sz w:val="12"/>
          <w:szCs w:val="12"/>
          <w:b w:val="1"/>
          <w:bCs w:val="1"/>
          <w:color w:val="auto"/>
        </w:rPr>
        <w:t>KDB</w:t>
      </w:r>
      <w:r>
        <w:rPr>
          <w:rFonts w:ascii="Times New Roman" w:cs="Times New Roman" w:eastAsia="Times New Roman" w:hAnsi="Times New Roman"/>
          <w:sz w:val="12"/>
          <w:szCs w:val="12"/>
          <w:color w:val="auto"/>
        </w:rPr>
        <w:t>”) (seal)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Authorized Agent Raehyeon Park (Branch: Cheongju Branch)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14, Eunhaeng-ro, Yeongdeungpo-gu, Seoul, Republic of Korea</w:t>
      </w:r>
    </w:p>
    <w:p>
      <w:pPr>
        <w:spacing w:after="0" w:line="159" w:lineRule="exact"/>
        <w:rPr>
          <w:sz w:val="20"/>
          <w:szCs w:val="20"/>
          <w:color w:val="auto"/>
        </w:rPr>
      </w:pPr>
    </w:p>
    <w:p>
      <w:pPr>
        <w:sectPr>
          <w:pgSz w:w="11900" w:h="16838" w:orient="portrait"/>
          <w:cols w:equalWidth="0" w:num="2">
            <w:col w:w="4760" w:space="180"/>
            <w:col w:w="4079"/>
          </w:cols>
          <w:pgMar w:left="1440" w:top="125" w:right="1440" w:bottom="1440" w:gutter="0" w:footer="0" w:header="0"/>
          <w:type w:val="continuous"/>
        </w:sectPr>
      </w:pPr>
    </w:p>
    <w:p>
      <w:pPr>
        <w:ind w:left="4220"/>
        <w:spacing w:after="0"/>
        <w:rPr>
          <w:sz w:val="20"/>
          <w:szCs w:val="20"/>
          <w:color w:val="auto"/>
        </w:rPr>
      </w:pPr>
      <w:r>
        <w:rPr>
          <w:rFonts w:ascii="Times New Roman" w:cs="Times New Roman" w:eastAsia="Times New Roman" w:hAnsi="Times New Roman"/>
          <w:sz w:val="12"/>
          <w:szCs w:val="12"/>
          <w:color w:val="auto"/>
        </w:rPr>
        <w:t>Obligor :</w:t>
      </w:r>
    </w:p>
    <w:p>
      <w:pPr>
        <w:spacing w:after="0" w:line="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Magnachip Semiconductor, Ltd. (seal)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15F, 76 Jikji-daero, 436beon-gil Heungdeok-gu, Cheongju-si,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Chungcheongbuk-do, South Korea</w:t>
      </w:r>
    </w:p>
    <w:p>
      <w:pPr>
        <w:spacing w:after="0" w:line="139" w:lineRule="exact"/>
        <w:rPr>
          <w:sz w:val="20"/>
          <w:szCs w:val="20"/>
          <w:color w:val="auto"/>
        </w:rPr>
      </w:pPr>
    </w:p>
    <w:p>
      <w:pPr>
        <w:sectPr>
          <w:pgSz w:w="11900" w:h="16838" w:orient="portrait"/>
          <w:cols w:equalWidth="0" w:num="2">
            <w:col w:w="4660" w:space="280"/>
            <w:col w:w="4079"/>
          </w:cols>
          <w:pgMar w:left="1440" w:top="125" w:right="1440" w:bottom="1440" w:gutter="0" w:footer="0" w:header="0"/>
          <w:type w:val="continuous"/>
        </w:sectPr>
      </w:pPr>
    </w:p>
    <w:p>
      <w:pPr>
        <w:ind w:left="4220"/>
        <w:spacing w:after="0"/>
        <w:rPr>
          <w:sz w:val="20"/>
          <w:szCs w:val="20"/>
          <w:color w:val="auto"/>
        </w:rPr>
      </w:pPr>
      <w:r>
        <w:rPr>
          <w:rFonts w:ascii="Times New Roman" w:cs="Times New Roman" w:eastAsia="Times New Roman" w:hAnsi="Times New Roman"/>
          <w:sz w:val="12"/>
          <w:szCs w:val="12"/>
          <w:color w:val="auto"/>
        </w:rPr>
        <w:t>Mortgagor :</w:t>
      </w:r>
    </w:p>
    <w:p>
      <w:pPr>
        <w:spacing w:after="0" w:line="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Magnachip Semiconductor, Ltd. (seal)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15F, 76 Jikji-daero, 436beon-gil Heungdeok-gu, Cheongju-si,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Chungcheongbuk-do, South Korea</w:t>
      </w:r>
    </w:p>
    <w:p>
      <w:pPr>
        <w:sectPr>
          <w:pgSz w:w="11900" w:h="16838" w:orient="portrait"/>
          <w:cols w:equalWidth="0" w:num="2">
            <w:col w:w="4800" w:space="140"/>
            <w:col w:w="4079"/>
          </w:cols>
          <w:pgMar w:left="1440" w:top="125" w:right="1440" w:bottom="1440" w:gutter="0" w:footer="0" w:header="0"/>
          <w:type w:val="continuous"/>
        </w:sectPr>
      </w:pPr>
    </w:p>
    <w:bookmarkStart w:id="71" w:name="page72"/>
    <w:bookmarkEnd w:id="71"/>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This Kun-Mortgage Agreement is entered into by and among the above-mentioned parties.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Article 1. Establishment of Kun-Mortgage</w:t>
      </w:r>
    </w:p>
    <w:p>
      <w:pPr>
        <w:spacing w:after="0" w:line="82" w:lineRule="exact"/>
        <w:rPr>
          <w:sz w:val="20"/>
          <w:szCs w:val="20"/>
          <w:color w:val="auto"/>
        </w:rPr>
      </w:pPr>
    </w:p>
    <w:p>
      <w:pPr>
        <w:ind w:left="840" w:right="1299"/>
        <w:spacing w:after="0" w:line="279" w:lineRule="auto"/>
        <w:rPr>
          <w:sz w:val="20"/>
          <w:szCs w:val="20"/>
          <w:color w:val="auto"/>
        </w:rPr>
      </w:pPr>
      <w:r>
        <w:rPr>
          <w:rFonts w:ascii="Times New Roman" w:cs="Times New Roman" w:eastAsia="Times New Roman" w:hAnsi="Times New Roman"/>
          <w:sz w:val="12"/>
          <w:szCs w:val="12"/>
          <w:color w:val="auto"/>
        </w:rPr>
        <w:t>The Mortgagor agrees to be bound by the General Terms and Conditions for Credit Transaction and hereby establishes a kun-mortgage with the following conditions on the properties listed in the “List of Mortgaged Property” at the end of this Agreement (“</w:t>
      </w:r>
      <w:r>
        <w:rPr>
          <w:rFonts w:ascii="Times New Roman" w:cs="Times New Roman" w:eastAsia="Times New Roman" w:hAnsi="Times New Roman"/>
          <w:sz w:val="12"/>
          <w:szCs w:val="12"/>
          <w:b w:val="1"/>
          <w:bCs w:val="1"/>
          <w:color w:val="auto"/>
        </w:rPr>
        <w:t>Mortgaged Property</w:t>
      </w:r>
      <w:r>
        <w:rPr>
          <w:rFonts w:ascii="Times New Roman" w:cs="Times New Roman" w:eastAsia="Times New Roman" w:hAnsi="Times New Roman"/>
          <w:sz w:val="12"/>
          <w:szCs w:val="12"/>
          <w:color w:val="auto"/>
        </w:rPr>
        <w:t>”).</w:t>
      </w:r>
    </w:p>
    <w:p>
      <w:pPr>
        <w:spacing w:after="0" w:line="206" w:lineRule="exact"/>
        <w:rPr>
          <w:sz w:val="20"/>
          <w:szCs w:val="20"/>
          <w:color w:val="auto"/>
        </w:rPr>
      </w:pPr>
    </w:p>
    <w:p>
      <w:pPr>
        <w:ind w:left="1120" w:hanging="288"/>
        <w:spacing w:after="0"/>
        <w:tabs>
          <w:tab w:leader="none" w:pos="1120" w:val="left"/>
        </w:tabs>
        <w:numPr>
          <w:ilvl w:val="0"/>
          <w:numId w:val="6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Scope of secured obligations:</w:t>
      </w:r>
    </w:p>
    <w:p>
      <w:pPr>
        <w:spacing w:after="0" w:line="82" w:lineRule="exact"/>
        <w:rPr>
          <w:rFonts w:ascii="Times New Roman" w:cs="Times New Roman" w:eastAsia="Times New Roman" w:hAnsi="Times New Roman"/>
          <w:sz w:val="12"/>
          <w:szCs w:val="12"/>
          <w:b w:val="1"/>
          <w:bCs w:val="1"/>
          <w:color w:val="auto"/>
        </w:rPr>
      </w:pPr>
    </w:p>
    <w:p>
      <w:pPr>
        <w:ind w:left="1120" w:right="899"/>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The Creditor has explained that the Mortgagor may select one type of secured obligation from the following three (3) types of secured obligations varying in the scope of the secured obligations, and the Mortgagor agrees to provide the secured obligations (including interest, default interest and other incidental obligations) specified below in </w:t>
      </w:r>
      <w:r>
        <w:rPr>
          <w:rFonts w:ascii="Times New Roman" w:cs="Times New Roman" w:eastAsia="Times New Roman" w:hAnsi="Times New Roman"/>
          <w:sz w:val="12"/>
          <w:szCs w:val="12"/>
          <w:b w:val="1"/>
          <w:bCs w:val="1"/>
          <w:i w:val="1"/>
          <w:iCs w:val="1"/>
          <w:color w:val="auto"/>
        </w:rPr>
        <w:t>Limited Kun-Security</w:t>
      </w:r>
      <w:r>
        <w:rPr>
          <w:rFonts w:ascii="Times New Roman" w:cs="Times New Roman" w:eastAsia="Times New Roman" w:hAnsi="Times New Roman"/>
          <w:sz w:val="12"/>
          <w:szCs w:val="12"/>
          <w:color w:val="auto"/>
        </w:rPr>
        <w:t>.</w:t>
      </w:r>
    </w:p>
    <w:p>
      <w:pPr>
        <w:spacing w:after="0" w:line="18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b w:val="1"/>
          <w:bCs w:val="1"/>
          <w:i w:val="1"/>
          <w:iCs w:val="1"/>
          <w:color w:val="auto"/>
        </w:rPr>
        <w:t>Specified Kun-Security</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Any and all current and future obligations of the Obligor to the Creditor (head office / branches) under or arising from the following agreements:</w:t>
      </w:r>
    </w:p>
    <w:p>
      <w:pPr>
        <w:spacing w:after="0" w:line="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_____________ Agreement dated ____________</w:t>
      </w:r>
    </w:p>
    <w:p>
      <w:pPr>
        <w:spacing w:after="0" w:line="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_____________ Agreement dated ____________</w:t>
      </w:r>
    </w:p>
    <w:p>
      <w:pPr>
        <w:spacing w:after="0" w:line="2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b w:val="1"/>
          <w:bCs w:val="1"/>
          <w:i w:val="1"/>
          <w:iCs w:val="1"/>
          <w:color w:val="auto"/>
        </w:rPr>
        <w:t>Limited Kun-Security</w:t>
      </w:r>
    </w:p>
    <w:p>
      <w:pPr>
        <w:spacing w:after="0" w:line="82" w:lineRule="exact"/>
        <w:rPr>
          <w:sz w:val="20"/>
          <w:szCs w:val="20"/>
          <w:color w:val="auto"/>
        </w:rPr>
      </w:pPr>
    </w:p>
    <w:p>
      <w:pPr>
        <w:ind w:left="1120" w:right="1139"/>
        <w:spacing w:after="0" w:line="279" w:lineRule="auto"/>
        <w:rPr>
          <w:sz w:val="20"/>
          <w:szCs w:val="20"/>
          <w:color w:val="auto"/>
        </w:rPr>
      </w:pPr>
      <w:r>
        <w:rPr>
          <w:rFonts w:ascii="Times New Roman" w:cs="Times New Roman" w:eastAsia="Times New Roman" w:hAnsi="Times New Roman"/>
          <w:sz w:val="12"/>
          <w:szCs w:val="12"/>
          <w:color w:val="auto"/>
        </w:rPr>
        <w:t>Any and all current and future obligations of the Obligor to the Creditor (head office / branches) under or arising from the following types of transactions:</w:t>
      </w:r>
    </w:p>
    <w:p>
      <w:pPr>
        <w:spacing w:after="0" w:line="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Transaction: ________________</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Transaction: ________________</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Transaction: ________________</w:t>
      </w:r>
    </w:p>
    <w:p>
      <w:pPr>
        <w:spacing w:after="0" w:line="2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b w:val="1"/>
          <w:bCs w:val="1"/>
          <w:i w:val="1"/>
          <w:iCs w:val="1"/>
          <w:color w:val="auto"/>
        </w:rPr>
        <w:t>Comprehensive Kun-Security</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following current and future obligations of the Obligor to the Creditor (head office / branches):</w:t>
      </w:r>
    </w:p>
    <w:p>
      <w:pPr>
        <w:spacing w:after="0" w:line="87" w:lineRule="exact"/>
        <w:rPr>
          <w:sz w:val="20"/>
          <w:szCs w:val="20"/>
          <w:color w:val="auto"/>
        </w:rPr>
      </w:pPr>
    </w:p>
    <w:p>
      <w:pPr>
        <w:ind w:left="1780" w:right="1079" w:hanging="291"/>
        <w:spacing w:after="0" w:line="265" w:lineRule="auto"/>
        <w:tabs>
          <w:tab w:leader="none" w:pos="178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obligations arising from loans on bills, loans on deeds, overdrafts, discounting of bills, payment guarantees, sale/purchase of accounts receivables, bond subscription, lending of securities, foreign exchange transactions and all other credit transactions;</w:t>
      </w:r>
    </w:p>
    <w:p>
      <w:pPr>
        <w:spacing w:after="0" w:line="55"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obligations to guarantee the transactions between the Creditor and a third party as listed under item a; or</w:t>
      </w:r>
    </w:p>
    <w:p>
      <w:pPr>
        <w:spacing w:after="0" w:line="87" w:lineRule="exact"/>
        <w:rPr>
          <w:rFonts w:ascii="Times New Roman" w:cs="Times New Roman" w:eastAsia="Times New Roman" w:hAnsi="Times New Roman"/>
          <w:sz w:val="12"/>
          <w:szCs w:val="12"/>
          <w:color w:val="auto"/>
        </w:rPr>
      </w:pPr>
    </w:p>
    <w:p>
      <w:pPr>
        <w:ind w:left="1780" w:right="979" w:hanging="291"/>
        <w:spacing w:after="0" w:line="279" w:lineRule="auto"/>
        <w:tabs>
          <w:tab w:leader="none" w:pos="178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Obligations relating to bills or checks acquired by the Creditor arising from any of the transactions listed under item a. with a third party.</w:t>
      </w:r>
    </w:p>
    <w:p>
      <w:pPr>
        <w:sectPr>
          <w:pgSz w:w="11900" w:h="16838" w:orient="portrait"/>
          <w:cols w:equalWidth="0" w:num="1">
            <w:col w:w="9019"/>
          </w:cols>
          <w:pgMar w:left="1440" w:top="226" w:right="1440" w:bottom="1440" w:gutter="0" w:footer="0" w:header="0"/>
        </w:sectPr>
      </w:pPr>
    </w:p>
    <w:bookmarkStart w:id="72" w:name="page73"/>
    <w:bookmarkEnd w:id="72"/>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3" w:lineRule="exact"/>
        <w:rPr>
          <w:sz w:val="20"/>
          <w:szCs w:val="20"/>
          <w:color w:val="auto"/>
        </w:rPr>
      </w:pPr>
    </w:p>
    <w:p>
      <w:pPr>
        <w:ind w:left="1120" w:hanging="288"/>
        <w:spacing w:after="0"/>
        <w:tabs>
          <w:tab w:leader="none" w:pos="1120" w:val="left"/>
        </w:tabs>
        <w:numPr>
          <w:ilvl w:val="0"/>
          <w:numId w:val="7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Maximum mortgage amount:</w:t>
      </w:r>
    </w:p>
    <w:p>
      <w:pPr>
        <w:spacing w:after="0" w:line="87" w:lineRule="exact"/>
        <w:rPr>
          <w:rFonts w:ascii="Times New Roman" w:cs="Times New Roman" w:eastAsia="Times New Roman" w:hAnsi="Times New Roman"/>
          <w:sz w:val="12"/>
          <w:szCs w:val="12"/>
          <w:b w:val="1"/>
          <w:bCs w:val="1"/>
          <w:color w:val="auto"/>
        </w:rPr>
      </w:pPr>
    </w:p>
    <w:p>
      <w:pPr>
        <w:ind w:left="1480" w:hanging="360"/>
        <w:spacing w:after="0"/>
        <w:tabs>
          <w:tab w:leader="none" w:pos="1480"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Sixty Billion Won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strike w:val="1"/>
        </w:rPr>
        <w:t>W</w:t>
      </w:r>
      <w:r>
        <w:rPr>
          <w:rFonts w:ascii="Times New Roman" w:cs="Times New Roman" w:eastAsia="Times New Roman" w:hAnsi="Times New Roman"/>
          <w:sz w:val="12"/>
          <w:szCs w:val="12"/>
          <w:b w:val="1"/>
          <w:bCs w:val="1"/>
          <w:i w:val="1"/>
          <w:iCs w:val="1"/>
          <w:color w:val="auto"/>
        </w:rPr>
        <w:t>60,000,000,000-)</w:t>
      </w:r>
    </w:p>
    <w:p>
      <w:pPr>
        <w:spacing w:after="0" w:line="91" w:lineRule="exact"/>
        <w:rPr>
          <w:rFonts w:ascii="Times New Roman" w:cs="Times New Roman" w:eastAsia="Times New Roman" w:hAnsi="Times New Roman"/>
          <w:sz w:val="12"/>
          <w:szCs w:val="12"/>
          <w:color w:val="auto"/>
        </w:rPr>
      </w:pPr>
    </w:p>
    <w:p>
      <w:pPr>
        <w:ind w:left="1480" w:right="1059" w:hanging="360"/>
        <w:spacing w:after="0" w:line="265" w:lineRule="auto"/>
        <w:tabs>
          <w:tab w:leader="none" w:pos="1480"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However, even if the maximum mortgage amount is determined on the basis of the initial amount of claims for the purpose of reducing costs related to the establishment of mortgage, this Agreement shall not be interpreted as a mortgage agreement securing specific obligation by reason thereof.</w:t>
      </w:r>
    </w:p>
    <w:p>
      <w:pPr>
        <w:spacing w:after="0" w:line="213"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7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Mortgage Period (Mortgage Settlement Date):</w:t>
      </w:r>
    </w:p>
    <w:p>
      <w:pPr>
        <w:spacing w:after="0" w:line="82" w:lineRule="exact"/>
        <w:rPr>
          <w:rFonts w:ascii="Times New Roman" w:cs="Times New Roman" w:eastAsia="Times New Roman" w:hAnsi="Times New Roman"/>
          <w:sz w:val="12"/>
          <w:szCs w:val="12"/>
          <w:b w:val="1"/>
          <w:bCs w:val="1"/>
          <w:color w:val="auto"/>
        </w:rPr>
      </w:pPr>
    </w:p>
    <w:p>
      <w:pPr>
        <w:ind w:left="1120" w:right="979"/>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The Creditor explained that the Mortgagor can select one of the following three (3) types of settlement dates, and the Mortgagor selects the date specified below in </w:t>
      </w:r>
      <w:r>
        <w:rPr>
          <w:rFonts w:ascii="Times New Roman" w:cs="Times New Roman" w:eastAsia="Times New Roman" w:hAnsi="Times New Roman"/>
          <w:sz w:val="12"/>
          <w:szCs w:val="12"/>
          <w:b w:val="1"/>
          <w:bCs w:val="1"/>
          <w:i w:val="1"/>
          <w:iCs w:val="1"/>
          <w:color w:val="auto"/>
        </w:rPr>
        <w:t>To be designated later type</w:t>
      </w:r>
      <w:r>
        <w:rPr>
          <w:rFonts w:ascii="Times New Roman" w:cs="Times New Roman" w:eastAsia="Times New Roman" w:hAnsi="Times New Roman"/>
          <w:sz w:val="12"/>
          <w:szCs w:val="12"/>
          <w:color w:val="auto"/>
        </w:rPr>
        <w:t xml:space="preserve"> as the settlement date.</w:t>
      </w:r>
    </w:p>
    <w:p>
      <w:pPr>
        <w:spacing w:after="0" w:line="179" w:lineRule="exact"/>
        <w:rPr>
          <w:rFonts w:ascii="Times New Roman" w:cs="Times New Roman" w:eastAsia="Times New Roman" w:hAnsi="Times New Roman"/>
          <w:sz w:val="12"/>
          <w:szCs w:val="12"/>
          <w:b w:val="1"/>
          <w:bCs w:val="1"/>
          <w:color w:val="auto"/>
        </w:rPr>
      </w:pPr>
    </w:p>
    <w:p>
      <w:pPr>
        <w:jc w:val="both"/>
        <w:ind w:left="1120" w:right="7379"/>
        <w:spacing w:after="0" w:line="37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 xml:space="preserve">Fixed type </w:t>
      </w:r>
      <w:r>
        <w:rPr>
          <w:rFonts w:ascii="Times New Roman" w:cs="Times New Roman" w:eastAsia="Times New Roman" w:hAnsi="Times New Roman"/>
          <w:sz w:val="12"/>
          <w:szCs w:val="12"/>
          <w:u w:val="single" w:color="auto"/>
          <w:color w:val="auto"/>
        </w:rPr>
        <w:t>yy/mm/dd</w:t>
      </w:r>
    </w:p>
    <w:p>
      <w:pPr>
        <w:ind w:left="1120" w:right="6699"/>
        <w:spacing w:after="0" w:line="3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 xml:space="preserve">Automatically fixed type </w:t>
      </w:r>
      <w:r>
        <w:rPr>
          <w:rFonts w:ascii="Times New Roman" w:cs="Times New Roman" w:eastAsia="Times New Roman" w:hAnsi="Times New Roman"/>
          <w:sz w:val="12"/>
          <w:szCs w:val="12"/>
          <w:color w:val="auto"/>
        </w:rPr>
        <w:t>Not specified.</w:t>
      </w:r>
    </w:p>
    <w:p>
      <w:pPr>
        <w:ind w:left="1120" w:right="839"/>
        <w:spacing w:after="0" w:line="24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three (3) years have passed from the date of this Agreement, the Mortgagor may designate the mortgage settlement date by providing a written notice, but the settlement date shall not occur earlier than 14 days from the date of Creditor’s receipt of the above-mentioned notice, and if less than 14 days notice is given, the settlement date shall be deemed to be the date falling 14 days from the date of the Creditor’s receipt of the notice. However, unless the Mortgagor expresses his/her intention before the 5</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anniversary of this Agreement, the settlement date shall be the date of the 5</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anniversary of the Agreement.</w:t>
      </w:r>
    </w:p>
    <w:p>
      <w:pPr>
        <w:spacing w:after="0" w:line="116" w:lineRule="exact"/>
        <w:rPr>
          <w:rFonts w:ascii="Times New Roman" w:cs="Times New Roman" w:eastAsia="Times New Roman" w:hAnsi="Times New Roman"/>
          <w:sz w:val="12"/>
          <w:szCs w:val="12"/>
          <w:b w:val="1"/>
          <w:bCs w:val="1"/>
          <w:color w:val="auto"/>
        </w:rPr>
      </w:pPr>
    </w:p>
    <w:p>
      <w:pPr>
        <w:ind w:left="1120" w:right="6579"/>
        <w:spacing w:after="0" w:line="412"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 xml:space="preserve">To be designated later type </w:t>
      </w:r>
      <w:r>
        <w:rPr>
          <w:rFonts w:ascii="Times New Roman" w:cs="Times New Roman" w:eastAsia="Times New Roman" w:hAnsi="Times New Roman"/>
          <w:sz w:val="12"/>
          <w:szCs w:val="12"/>
          <w:color w:val="auto"/>
        </w:rPr>
        <w:t>Not specified.</w:t>
      </w:r>
    </w:p>
    <w:p>
      <w:pPr>
        <w:spacing w:after="0" w:line="34" w:lineRule="exact"/>
        <w:rPr>
          <w:rFonts w:ascii="Times New Roman" w:cs="Times New Roman" w:eastAsia="Times New Roman" w:hAnsi="Times New Roman"/>
          <w:sz w:val="12"/>
          <w:szCs w:val="12"/>
          <w:b w:val="1"/>
          <w:bCs w:val="1"/>
          <w:color w:val="auto"/>
        </w:rPr>
      </w:pPr>
    </w:p>
    <w:p>
      <w:pPr>
        <w:jc w:val="both"/>
        <w:ind w:left="1120" w:right="879"/>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Mortgagor may designate the mortgage settlement date by providing a written notice after three (3) years from the date of the Agreement, but the settlement date shall not occur earlier than 14 days from the date of Creditor’s receipt of the notice, but if less than 14 days notice is given, the settlement date shall be deemed to be the date falling 14 days from the date of the Creditor’s receipt of the notice.</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Article 2. Discrepancies between the Mortgaged Property and the Entries in the Official Registry</w:t>
      </w:r>
    </w:p>
    <w:p>
      <w:pPr>
        <w:spacing w:after="0" w:line="91" w:lineRule="exact"/>
        <w:rPr>
          <w:sz w:val="20"/>
          <w:szCs w:val="20"/>
          <w:color w:val="auto"/>
        </w:rPr>
      </w:pPr>
    </w:p>
    <w:p>
      <w:pPr>
        <w:ind w:left="1120" w:right="839" w:hanging="288"/>
        <w:spacing w:after="0" w:line="265" w:lineRule="auto"/>
        <w:tabs>
          <w:tab w:leader="none" w:pos="11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kun-mortgage shall be effective as per the actual Mortgaged Property even if there are any discrepancies between the actual Mortgaged Property and the descriptions thereof set forth at the end of this Agreement or the entries in the official registry. Upon request from the Creditor for the protection of its rights hereunder, the Mortgagor shall take all necessary measures to correct or amend the registration.</w:t>
      </w:r>
    </w:p>
    <w:p>
      <w:pPr>
        <w:spacing w:after="0" w:line="55" w:lineRule="exact"/>
        <w:rPr>
          <w:rFonts w:ascii="Times New Roman" w:cs="Times New Roman" w:eastAsia="Times New Roman" w:hAnsi="Times New Roman"/>
          <w:sz w:val="12"/>
          <w:szCs w:val="12"/>
          <w:color w:val="auto"/>
        </w:rPr>
      </w:pPr>
    </w:p>
    <w:p>
      <w:pPr>
        <w:jc w:val="both"/>
        <w:ind w:left="1120" w:right="859" w:hanging="288"/>
        <w:spacing w:after="0" w:line="265" w:lineRule="auto"/>
        <w:tabs>
          <w:tab w:leader="none" w:pos="11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building located on the mortgaged land is not registered in the official registry or if a new building is built on such land, the Mortgagor shall promptly register the unregistered existing or new buildings and at the same time establish an additional kun-mortgage on such buildings pursuant to Article 1 hereof, upon the Creditor’s request for purposes of protecting its rights hereunder.</w:t>
      </w:r>
    </w:p>
    <w:p>
      <w:pPr>
        <w:sectPr>
          <w:pgSz w:w="11900" w:h="16838" w:orient="portrait"/>
          <w:cols w:equalWidth="0" w:num="1">
            <w:col w:w="9019"/>
          </w:cols>
          <w:pgMar w:left="1440" w:top="226" w:right="1440" w:bottom="1440" w:gutter="0" w:footer="0" w:header="0"/>
        </w:sectPr>
      </w:pPr>
    </w:p>
    <w:bookmarkStart w:id="73" w:name="page74"/>
    <w:bookmarkEnd w:id="73"/>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Article 3. Preservation of the Value of the Mortgaged Property</w:t>
      </w:r>
    </w:p>
    <w:p>
      <w:pPr>
        <w:spacing w:after="0" w:line="91" w:lineRule="exact"/>
        <w:rPr>
          <w:sz w:val="20"/>
          <w:szCs w:val="20"/>
          <w:color w:val="auto"/>
        </w:rPr>
      </w:pPr>
    </w:p>
    <w:p>
      <w:pPr>
        <w:ind w:left="1120" w:right="899" w:hanging="288"/>
        <w:spacing w:after="0" w:line="279" w:lineRule="auto"/>
        <w:tabs>
          <w:tab w:leader="none" w:pos="11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Mortgagor shall not damage or change the condition of the Mortgaged Property, which may be detrimental to the preservation of the rights of the Creditor, without prior consent of the Creditor.</w:t>
      </w:r>
    </w:p>
    <w:p>
      <w:pPr>
        <w:spacing w:after="0" w:line="48" w:lineRule="exact"/>
        <w:rPr>
          <w:rFonts w:ascii="Times New Roman" w:cs="Times New Roman" w:eastAsia="Times New Roman" w:hAnsi="Times New Roman"/>
          <w:sz w:val="12"/>
          <w:szCs w:val="12"/>
          <w:color w:val="auto"/>
        </w:rPr>
      </w:pPr>
    </w:p>
    <w:p>
      <w:pPr>
        <w:ind w:left="1120" w:right="999" w:hanging="288"/>
        <w:spacing w:after="0" w:line="279" w:lineRule="auto"/>
        <w:tabs>
          <w:tab w:leader="none" w:pos="11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any destruction of or damage to or public expropriation of the Mortgaged Property or any event materially adversely affecting the value of the Mortgaged Property, the Mortgagor shall promptly notify the Creditor.</w:t>
      </w:r>
    </w:p>
    <w:p>
      <w:pPr>
        <w:spacing w:after="0" w:line="48" w:lineRule="exact"/>
        <w:rPr>
          <w:rFonts w:ascii="Times New Roman" w:cs="Times New Roman" w:eastAsia="Times New Roman" w:hAnsi="Times New Roman"/>
          <w:sz w:val="12"/>
          <w:szCs w:val="12"/>
          <w:color w:val="auto"/>
        </w:rPr>
      </w:pPr>
    </w:p>
    <w:p>
      <w:pPr>
        <w:ind w:left="1120" w:right="859" w:hanging="288"/>
        <w:spacing w:after="0" w:line="260" w:lineRule="auto"/>
        <w:tabs>
          <w:tab w:leader="none" w:pos="11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Mortgagor shall assign to the Creditor any compensation or indemnity by a third party resulting from the occurrence of any event described in Paragraph 2 above by taking appropriate measures. The proceeds of such compensation or indemnity may be used to satisfy the Obligor’s obligations to the Creditor by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 xml:space="preserve"> application of Article 13 of the General Terms and Conditions for Credit Transactions unless there is any reasonable ground not to do so including provision of other security.</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Article 4. Insurance</w:t>
      </w:r>
    </w:p>
    <w:p>
      <w:pPr>
        <w:spacing w:after="0" w:line="91" w:lineRule="exact"/>
        <w:rPr>
          <w:sz w:val="20"/>
          <w:szCs w:val="20"/>
          <w:color w:val="auto"/>
        </w:rPr>
      </w:pPr>
    </w:p>
    <w:p>
      <w:pPr>
        <w:jc w:val="both"/>
        <w:ind w:left="1120" w:right="959" w:hanging="288"/>
        <w:spacing w:after="0" w:line="265" w:lineRule="auto"/>
        <w:tabs>
          <w:tab w:leader="none" w:pos="112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Mortgagor shall procure insurance on the Mortgaged Property in such amount and form as approved by the Creditor to the extent necessary for the protection of its rights; pledge to the Creditor the rights of the Mortgagor under the insurance; deliver the insurance policy to the Creditor and shall maintain the insurance while the secured obligations are outstanding.</w:t>
      </w:r>
    </w:p>
    <w:p>
      <w:pPr>
        <w:spacing w:after="0" w:line="55" w:lineRule="exact"/>
        <w:rPr>
          <w:rFonts w:ascii="Times New Roman" w:cs="Times New Roman" w:eastAsia="Times New Roman" w:hAnsi="Times New Roman"/>
          <w:sz w:val="12"/>
          <w:szCs w:val="12"/>
          <w:color w:val="auto"/>
        </w:rPr>
      </w:pPr>
    </w:p>
    <w:p>
      <w:pPr>
        <w:ind w:left="1120" w:right="919" w:hanging="288"/>
        <w:spacing w:after="0" w:line="265" w:lineRule="auto"/>
        <w:tabs>
          <w:tab w:leader="none" w:pos="112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Mortgagor shall promptly notify the Creditor if the Mortgagor obtains a separate insurance contract on the Mortgaged Property in addition to the insurance set forth in Paragraph 1 above, and upon request from the Creditor for the protection of its rights, the Mortgagor shall establish a security right in favor of the Creditor on the rights under the additional insurance contract.</w:t>
      </w:r>
    </w:p>
    <w:p>
      <w:pPr>
        <w:spacing w:after="0" w:line="55" w:lineRule="exact"/>
        <w:rPr>
          <w:rFonts w:ascii="Times New Roman" w:cs="Times New Roman" w:eastAsia="Times New Roman" w:hAnsi="Times New Roman"/>
          <w:sz w:val="12"/>
          <w:szCs w:val="12"/>
          <w:color w:val="auto"/>
        </w:rPr>
      </w:pPr>
    </w:p>
    <w:p>
      <w:pPr>
        <w:ind w:left="1120" w:right="979" w:hanging="288"/>
        <w:spacing w:after="0" w:line="260" w:lineRule="auto"/>
        <w:tabs>
          <w:tab w:leader="none" w:pos="112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as a result of the Mortgagor’s breach of Paragraphs 1 or 2 above, the Creditor obtains or renews an insurance contract and pays the insurance premium on behalf of the Mortgagor in order to protect the Creditor’s rights, the Mortgagor and the Obligor shall jointly and severally repay the premiums and other expenses incurred by the Creditor by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 xml:space="preserve"> application of Article 4 of the General Terms and Conditions for Credit Transactions.</w:t>
      </w:r>
    </w:p>
    <w:p>
      <w:pPr>
        <w:spacing w:after="0" w:line="59" w:lineRule="exact"/>
        <w:rPr>
          <w:rFonts w:ascii="Times New Roman" w:cs="Times New Roman" w:eastAsia="Times New Roman" w:hAnsi="Times New Roman"/>
          <w:sz w:val="12"/>
          <w:szCs w:val="12"/>
          <w:color w:val="auto"/>
        </w:rPr>
      </w:pPr>
    </w:p>
    <w:p>
      <w:pPr>
        <w:jc w:val="both"/>
        <w:ind w:left="1120" w:right="859" w:hanging="288"/>
        <w:spacing w:after="0" w:line="265" w:lineRule="auto"/>
        <w:tabs>
          <w:tab w:leader="none" w:pos="112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insurance proceeds received by the Creditor pursuant to the insurance referred to in Paragraphs 1 to 3 may be applied to satisfy the obligations to the Creditor by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 xml:space="preserve"> application of Article 13 of the General Terms and Conditions for Credit Transactions, even before the secured obligations matures, unless there is any reasonable ground not to do so including provision of other security.</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Article 5. Superficies, Cheonsekwon or Leasehold</w:t>
      </w:r>
    </w:p>
    <w:p>
      <w:pPr>
        <w:spacing w:after="0" w:line="91" w:lineRule="exact"/>
        <w:rPr>
          <w:sz w:val="20"/>
          <w:szCs w:val="20"/>
          <w:color w:val="auto"/>
        </w:rPr>
      </w:pPr>
    </w:p>
    <w:p>
      <w:pPr>
        <w:ind w:left="1120" w:right="939" w:hanging="288"/>
        <w:spacing w:after="0" w:line="265" w:lineRule="auto"/>
        <w:tabs>
          <w:tab w:leader="none" w:pos="112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Mortgaged Property consists solely of a building located on land (“Land”) which is subject to a superficies right or right of registered lease on deposit basis (“</w:t>
      </w:r>
      <w:r>
        <w:rPr>
          <w:rFonts w:ascii="Times New Roman" w:cs="Times New Roman" w:eastAsia="Times New Roman" w:hAnsi="Times New Roman"/>
          <w:sz w:val="12"/>
          <w:szCs w:val="12"/>
          <w:i w:val="1"/>
          <w:iCs w:val="1"/>
          <w:color w:val="auto"/>
        </w:rPr>
        <w:t>Cheonsekwon</w:t>
      </w:r>
      <w:r>
        <w:rPr>
          <w:rFonts w:ascii="Times New Roman" w:cs="Times New Roman" w:eastAsia="Times New Roman" w:hAnsi="Times New Roman"/>
          <w:sz w:val="12"/>
          <w:szCs w:val="12"/>
          <w:color w:val="auto"/>
        </w:rPr>
        <w:t xml:space="preserve">”) in favor of the Mortgagor, the Mortgagor shall take necessary measures to maintain such superficies right or </w:t>
      </w:r>
      <w:r>
        <w:rPr>
          <w:rFonts w:ascii="Times New Roman" w:cs="Times New Roman" w:eastAsia="Times New Roman" w:hAnsi="Times New Roman"/>
          <w:sz w:val="12"/>
          <w:szCs w:val="12"/>
          <w:i w:val="1"/>
          <w:iCs w:val="1"/>
          <w:color w:val="auto"/>
        </w:rPr>
        <w:t xml:space="preserve">Cheonsekwon </w:t>
      </w:r>
      <w:r>
        <w:rPr>
          <w:rFonts w:ascii="Times New Roman" w:cs="Times New Roman" w:eastAsia="Times New Roman" w:hAnsi="Times New Roman"/>
          <w:sz w:val="12"/>
          <w:szCs w:val="12"/>
          <w:color w:val="auto"/>
        </w:rPr>
        <w:t>by promptly renewing them upon the expiry of their term.</w:t>
      </w:r>
    </w:p>
    <w:p>
      <w:pPr>
        <w:spacing w:after="0" w:line="55" w:lineRule="exact"/>
        <w:rPr>
          <w:rFonts w:ascii="Times New Roman" w:cs="Times New Roman" w:eastAsia="Times New Roman" w:hAnsi="Times New Roman"/>
          <w:sz w:val="12"/>
          <w:szCs w:val="12"/>
          <w:color w:val="auto"/>
        </w:rPr>
      </w:pPr>
    </w:p>
    <w:p>
      <w:pPr>
        <w:ind w:left="1120" w:right="879" w:hanging="288"/>
        <w:spacing w:after="0" w:line="265" w:lineRule="auto"/>
        <w:tabs>
          <w:tab w:leader="none" w:pos="112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Land is encumbered with a leasehold right in favor of the Mortgagor as lessee, the Mortgagor shall take necessary measures to maintain such leasehold right by promptly renewing it upon the expiry of its term, and the Mortgagor shall promptly give notice to the Creditor in the event of change in the ownership of the Land and give notice to the Creditor in advance in the event of any amendment of the lease.</w:t>
      </w:r>
    </w:p>
    <w:p>
      <w:pPr>
        <w:sectPr>
          <w:pgSz w:w="11900" w:h="16838" w:orient="portrait"/>
          <w:cols w:equalWidth="0" w:num="1">
            <w:col w:w="9019"/>
          </w:cols>
          <w:pgMar w:left="1440" w:top="226" w:right="1440" w:bottom="1440" w:gutter="0" w:footer="0" w:header="0"/>
        </w:sectPr>
      </w:pPr>
    </w:p>
    <w:bookmarkStart w:id="74" w:name="page75"/>
    <w:bookmarkEnd w:id="74"/>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1120" w:right="1019" w:hanging="288"/>
        <w:spacing w:after="0" w:line="260" w:lineRule="auto"/>
        <w:tabs>
          <w:tab w:leader="none" w:pos="112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Mortgagor shall not take any action which may cause termination, extinguishment or modification of the rights under the superficies, </w:t>
      </w:r>
      <w:r>
        <w:rPr>
          <w:rFonts w:ascii="Times New Roman" w:cs="Times New Roman" w:eastAsia="Times New Roman" w:hAnsi="Times New Roman"/>
          <w:sz w:val="12"/>
          <w:szCs w:val="12"/>
          <w:i w:val="1"/>
          <w:iCs w:val="1"/>
          <w:color w:val="auto"/>
        </w:rPr>
        <w:t xml:space="preserve">Cheonsekwon </w:t>
      </w:r>
      <w:r>
        <w:rPr>
          <w:rFonts w:ascii="Times New Roman" w:cs="Times New Roman" w:eastAsia="Times New Roman" w:hAnsi="Times New Roman"/>
          <w:sz w:val="12"/>
          <w:szCs w:val="12"/>
          <w:color w:val="auto"/>
        </w:rPr>
        <w:t>or leasehold described in Paragraphs 1 and 2. To prevent any possibility of such termination, extinguishment or modification,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Mortgagor shall take appropriate steps to protect such rights. Even if the building is destroyed in its entirety, the Mortgagor shall not terminate such rights voluntarily without the consent of the Creditor.</w:t>
      </w:r>
    </w:p>
    <w:p>
      <w:pPr>
        <w:spacing w:after="0" w:line="59" w:lineRule="exact"/>
        <w:rPr>
          <w:rFonts w:ascii="Times New Roman" w:cs="Times New Roman" w:eastAsia="Times New Roman" w:hAnsi="Times New Roman"/>
          <w:sz w:val="12"/>
          <w:szCs w:val="12"/>
          <w:color w:val="auto"/>
        </w:rPr>
      </w:pPr>
    </w:p>
    <w:p>
      <w:pPr>
        <w:ind w:left="1120" w:right="859" w:hanging="288"/>
        <w:spacing w:after="0" w:line="260" w:lineRule="auto"/>
        <w:tabs>
          <w:tab w:leader="none" w:pos="112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insurance proceeds are not sufficient to pay in full the secured obligations after the Mortgaged Property is completely destroyed by fire or by other causes and the Mortgagor does not promptly reconstruct the buildings, the rights under the superficies, </w:t>
      </w:r>
      <w:r>
        <w:rPr>
          <w:rFonts w:ascii="Times New Roman" w:cs="Times New Roman" w:eastAsia="Times New Roman" w:hAnsi="Times New Roman"/>
          <w:sz w:val="12"/>
          <w:szCs w:val="12"/>
          <w:i w:val="1"/>
          <w:iCs w:val="1"/>
          <w:color w:val="auto"/>
        </w:rPr>
        <w:t>Cheonsekwon</w:t>
      </w:r>
      <w:r>
        <w:rPr>
          <w:rFonts w:ascii="Times New Roman" w:cs="Times New Roman" w:eastAsia="Times New Roman" w:hAnsi="Times New Roman"/>
          <w:sz w:val="12"/>
          <w:szCs w:val="12"/>
          <w:color w:val="auto"/>
        </w:rPr>
        <w:t xml:space="preserve"> or leasehold may not be disposed of without the consent of the Creditor and the proceeds therefrom may be applied to the balance of the secured obligations by </w:t>
      </w:r>
      <w:r>
        <w:rPr>
          <w:rFonts w:ascii="Times New Roman" w:cs="Times New Roman" w:eastAsia="Times New Roman" w:hAnsi="Times New Roman"/>
          <w:sz w:val="12"/>
          <w:szCs w:val="12"/>
          <w:i w:val="1"/>
          <w:iCs w:val="1"/>
          <w:color w:val="auto"/>
        </w:rPr>
        <w:t>mutatis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mutandis </w:t>
      </w:r>
      <w:r>
        <w:rPr>
          <w:rFonts w:ascii="Times New Roman" w:cs="Times New Roman" w:eastAsia="Times New Roman" w:hAnsi="Times New Roman"/>
          <w:sz w:val="12"/>
          <w:szCs w:val="12"/>
          <w:color w:val="auto"/>
        </w:rPr>
        <w:t>application of Paragraph 3, Article 3.</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Article 6. Disposal and Management etc. of the Mortgaged Property</w:t>
      </w:r>
    </w:p>
    <w:p>
      <w:pPr>
        <w:spacing w:after="0" w:line="89" w:lineRule="exact"/>
        <w:rPr>
          <w:sz w:val="20"/>
          <w:szCs w:val="20"/>
          <w:color w:val="auto"/>
        </w:rPr>
      </w:pPr>
    </w:p>
    <w:p>
      <w:pPr>
        <w:ind w:left="1120" w:right="979" w:hanging="288"/>
        <w:spacing w:after="0" w:line="261" w:lineRule="auto"/>
        <w:tabs>
          <w:tab w:leader="none" w:pos="112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disposal of the Mortgaged Property shall in principle be completed pursuant to statutory procedures,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the Creditor may dispose of the Mortgaged Property in such method, time and price, etc. as generally deemed acceptable, upon the consent of the Mortgagor. The proceeds therefrom remaining after deduction of any and all expenses may be applied to the payment of the secured obligations by </w:t>
      </w:r>
      <w:r>
        <w:rPr>
          <w:rFonts w:ascii="Times New Roman" w:cs="Times New Roman" w:eastAsia="Times New Roman" w:hAnsi="Times New Roman"/>
          <w:sz w:val="12"/>
          <w:szCs w:val="12"/>
          <w:i w:val="1"/>
          <w:iCs w:val="1"/>
          <w:color w:val="auto"/>
        </w:rPr>
        <w:t>mutatis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mutandis </w:t>
      </w:r>
      <w:r>
        <w:rPr>
          <w:rFonts w:ascii="Times New Roman" w:cs="Times New Roman" w:eastAsia="Times New Roman" w:hAnsi="Times New Roman"/>
          <w:sz w:val="12"/>
          <w:szCs w:val="12"/>
          <w:color w:val="auto"/>
        </w:rPr>
        <w:t>application of Article 13 of the General Terms and Conditions for Credit Transactions.</w:t>
      </w:r>
    </w:p>
    <w:p>
      <w:pPr>
        <w:spacing w:after="0" w:line="58" w:lineRule="exact"/>
        <w:rPr>
          <w:rFonts w:ascii="Times New Roman" w:cs="Times New Roman" w:eastAsia="Times New Roman" w:hAnsi="Times New Roman"/>
          <w:sz w:val="12"/>
          <w:szCs w:val="12"/>
          <w:color w:val="auto"/>
        </w:rPr>
      </w:pPr>
    </w:p>
    <w:p>
      <w:pPr>
        <w:ind w:left="1120" w:right="939" w:hanging="288"/>
        <w:spacing w:after="0" w:line="279" w:lineRule="auto"/>
        <w:tabs>
          <w:tab w:leader="none" w:pos="112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the disposal set forth in Paragraph 1 above, the Creditor may manage the Mortgaged Property and apply the proceeds therefrom to the payment of the secured obligations in accordance with Paragraph 1.</w:t>
      </w:r>
    </w:p>
    <w:p>
      <w:pPr>
        <w:spacing w:after="0" w:line="48" w:lineRule="exact"/>
        <w:rPr>
          <w:rFonts w:ascii="Times New Roman" w:cs="Times New Roman" w:eastAsia="Times New Roman" w:hAnsi="Times New Roman"/>
          <w:sz w:val="12"/>
          <w:szCs w:val="12"/>
          <w:color w:val="auto"/>
        </w:rPr>
      </w:pPr>
    </w:p>
    <w:p>
      <w:pPr>
        <w:ind w:left="1120" w:right="1199" w:hanging="288"/>
        <w:spacing w:after="0" w:line="279" w:lineRule="auto"/>
        <w:tabs>
          <w:tab w:leader="none" w:pos="112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Due to disappearance of the Mortgagor or other reasons, in the event there arises a concern that the Mortgaged Property may be improperly managed or maintained and will be destroyed, damaged or lost, the Creditor may occupy and manage the Mortgaged Property.</w:t>
      </w:r>
    </w:p>
    <w:p>
      <w:pPr>
        <w:spacing w:after="0" w:line="48" w:lineRule="exact"/>
        <w:rPr>
          <w:rFonts w:ascii="Times New Roman" w:cs="Times New Roman" w:eastAsia="Times New Roman" w:hAnsi="Times New Roman"/>
          <w:sz w:val="12"/>
          <w:szCs w:val="12"/>
          <w:color w:val="auto"/>
        </w:rPr>
      </w:pPr>
    </w:p>
    <w:p>
      <w:pPr>
        <w:ind w:left="1120" w:right="899" w:hanging="288"/>
        <w:spacing w:after="0" w:line="279" w:lineRule="auto"/>
        <w:tabs>
          <w:tab w:leader="none" w:pos="112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Mortgagor shall cooperate with the Creditor with the disposal or the management of the Mortgaged Property under Paragraphs 1 to 3 without delay.</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Article 7. Report on or Inspection of the Mortgaged Property</w:t>
      </w:r>
    </w:p>
    <w:p>
      <w:pPr>
        <w:spacing w:after="0" w:line="82" w:lineRule="exact"/>
        <w:rPr>
          <w:sz w:val="20"/>
          <w:szCs w:val="20"/>
          <w:color w:val="auto"/>
        </w:rPr>
      </w:pPr>
    </w:p>
    <w:p>
      <w:pPr>
        <w:ind w:left="840" w:right="839"/>
        <w:spacing w:after="0" w:line="279" w:lineRule="auto"/>
        <w:rPr>
          <w:sz w:val="20"/>
          <w:szCs w:val="20"/>
          <w:color w:val="auto"/>
        </w:rPr>
      </w:pPr>
      <w:r>
        <w:rPr>
          <w:rFonts w:ascii="Times New Roman" w:cs="Times New Roman" w:eastAsia="Times New Roman" w:hAnsi="Times New Roman"/>
          <w:sz w:val="12"/>
          <w:szCs w:val="12"/>
          <w:color w:val="auto"/>
        </w:rPr>
        <w:t>Upon the Creditor’s request, the Mortgagor shall promptly deliver a report on the current status and conditions of the Mortgaged Property to the Creditor or fully cooperate with the Creditor with respect to the inspection of the Mortgaged Property.</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Article 8. Further Assurances and Expenses</w:t>
      </w:r>
    </w:p>
    <w:p>
      <w:pPr>
        <w:spacing w:after="0" w:line="91" w:lineRule="exact"/>
        <w:rPr>
          <w:sz w:val="20"/>
          <w:szCs w:val="20"/>
          <w:color w:val="auto"/>
        </w:rPr>
      </w:pPr>
    </w:p>
    <w:p>
      <w:pPr>
        <w:ind w:left="1120" w:right="999" w:hanging="288"/>
        <w:spacing w:after="0" w:line="279" w:lineRule="auto"/>
        <w:tabs>
          <w:tab w:leader="none" w:pos="11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Creditor’s request, the Mortgagor shall promptly take all necessary actions to register the creation, modification, amendment, transfer, assignment or cancellation of the kun-mortgage.</w:t>
      </w:r>
    </w:p>
    <w:p>
      <w:pPr>
        <w:sectPr>
          <w:pgSz w:w="11900" w:h="16838" w:orient="portrait"/>
          <w:cols w:equalWidth="0" w:num="1">
            <w:col w:w="9019"/>
          </w:cols>
          <w:pgMar w:left="1440" w:top="226" w:right="1440" w:bottom="1440" w:gutter="0" w:footer="0" w:header="0"/>
        </w:sectPr>
      </w:pPr>
    </w:p>
    <w:bookmarkStart w:id="75" w:name="page76"/>
    <w:bookmarkEnd w:id="75"/>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jc w:val="both"/>
        <w:ind w:left="1120" w:right="899" w:hanging="288"/>
        <w:spacing w:after="0" w:line="265" w:lineRule="auto"/>
        <w:tabs>
          <w:tab w:leader="none" w:pos="11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Creditor, when making a request under Paragraph 1, shall provide a written explanation in a separate notice to the Obligor and the Mortgagor on the types of costs incurred by the relevant registration and the basis of their calculation. Any costs that the Creditor fails to explain shall not be charged to the Obligor or the Mortgagor, and any explained costs shall be borne in the following manners:</w:t>
      </w:r>
    </w:p>
    <w:p>
      <w:pPr>
        <w:spacing w:after="0" w:line="55"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Expenses for Purchase of national housing bonds: the Obligor or the Mortgagor;</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tax, local education tax, registration application commission and judicial scrivener’s fee:</w:t>
      </w:r>
    </w:p>
    <w:p>
      <w:pPr>
        <w:spacing w:after="0" w:line="87"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2"/>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registration of creation of kun-mortgage: the Creditor</w:t>
      </w:r>
    </w:p>
    <w:p>
      <w:pPr>
        <w:spacing w:after="0" w:line="87"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2"/>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registration of cancellation of kun-mortgage: the Obligor or the Mortgagor</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Commission for inspection or appraisal of the Mortgaged Property:</w:t>
      </w:r>
    </w:p>
    <w:p>
      <w:pPr>
        <w:spacing w:after="0" w:line="87"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2"/>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creation of kun-mortgage: the Creditor</w:t>
      </w:r>
    </w:p>
    <w:p>
      <w:pPr>
        <w:spacing w:after="0" w:line="87"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2"/>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exercise of kun-mortgage due to default by the Obligor: the Obligor or the Mortgagor</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costs for which the responsible party is not clear: To be equally borne by the Creditor and the Obligor or the Mortgagor.</w:t>
      </w:r>
    </w:p>
    <w:p>
      <w:pPr>
        <w:spacing w:after="0" w:line="87" w:lineRule="exact"/>
        <w:rPr>
          <w:rFonts w:ascii="Times New Roman" w:cs="Times New Roman" w:eastAsia="Times New Roman" w:hAnsi="Times New Roman"/>
          <w:sz w:val="12"/>
          <w:szCs w:val="12"/>
          <w:color w:val="auto"/>
        </w:rPr>
      </w:pPr>
    </w:p>
    <w:p>
      <w:pPr>
        <w:ind w:left="1120" w:right="879" w:hanging="288"/>
        <w:spacing w:after="0" w:line="265" w:lineRule="auto"/>
        <w:tabs>
          <w:tab w:leader="none" w:pos="11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that the Creditor pays on behalf of the Obligor or the Mortgagor costs and expenses including the costs and expenses under Paragraph 2, costs for possessing or managing the Mortgaged Property, costs for exercising the kun-mortgage due to default of the Obligor, Paragraph 2 of Article 4 of the General Terms and Conditions for Credit Transactions shall apply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Article 9. Relationship with Other Security Agreements, Guarantees</w:t>
      </w:r>
    </w:p>
    <w:p>
      <w:pPr>
        <w:spacing w:after="0" w:line="91" w:lineRule="exact"/>
        <w:rPr>
          <w:sz w:val="20"/>
          <w:szCs w:val="20"/>
          <w:color w:val="auto"/>
        </w:rPr>
      </w:pPr>
    </w:p>
    <w:p>
      <w:pPr>
        <w:ind w:left="1120" w:right="1299" w:hanging="288"/>
        <w:spacing w:after="0" w:line="279" w:lineRule="auto"/>
        <w:tabs>
          <w:tab w:leader="none" w:pos="112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security or guarantee offered by the Mortgagor to secure the secured obligations shall not be affected by this Agreement unless otherwise agreed and shall be additional to and separate from the security provided under this Agreement.</w:t>
      </w:r>
    </w:p>
    <w:p>
      <w:pPr>
        <w:spacing w:after="0" w:line="48" w:lineRule="exact"/>
        <w:rPr>
          <w:rFonts w:ascii="Times New Roman" w:cs="Times New Roman" w:eastAsia="Times New Roman" w:hAnsi="Times New Roman"/>
          <w:sz w:val="12"/>
          <w:szCs w:val="12"/>
          <w:color w:val="auto"/>
        </w:rPr>
      </w:pPr>
    </w:p>
    <w:p>
      <w:pPr>
        <w:jc w:val="both"/>
        <w:ind w:left="1120" w:right="899" w:hanging="288"/>
        <w:spacing w:after="0" w:line="265" w:lineRule="auto"/>
        <w:tabs>
          <w:tab w:leader="none" w:pos="112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Mortgagor provides a joint guarantee while providing security on the same secured obligations as requested by the Creditor due to concerns on decrease of the value of security, when either the joint guarantee or the security is satisfied in whole or in part, the Mortgagor shall be released from the other responsibility for the corresponding satisfied portion, regardless of Paragraph 1.</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Article 10. Modification, Termination, Release of Security</w:t>
      </w:r>
    </w:p>
    <w:p>
      <w:pPr>
        <w:spacing w:after="0" w:line="82" w:lineRule="exact"/>
        <w:rPr>
          <w:sz w:val="20"/>
          <w:szCs w:val="20"/>
          <w:color w:val="auto"/>
        </w:rPr>
      </w:pPr>
    </w:p>
    <w:p>
      <w:pPr>
        <w:ind w:left="840" w:right="939"/>
        <w:spacing w:after="0" w:line="260" w:lineRule="auto"/>
        <w:rPr>
          <w:sz w:val="20"/>
          <w:szCs w:val="20"/>
          <w:color w:val="auto"/>
        </w:rPr>
      </w:pPr>
      <w:r>
        <w:rPr>
          <w:rFonts w:ascii="Times New Roman" w:cs="Times New Roman" w:eastAsia="Times New Roman" w:hAnsi="Times New Roman"/>
          <w:sz w:val="12"/>
          <w:szCs w:val="12"/>
          <w:color w:val="auto"/>
        </w:rPr>
        <w:t>The Creditor may amend, terminate or release, as applicable, other securities or guarantees if the Mortgagor consents thereto or if the Creditor determines that the Mortgagor’s subrogation right will not be adversely affected by substituting the existing security with an equal or higher value security or the guarantor with another guarantor with comparable financial resources, or the release of the security or the guarantee in proportion to the Obligor’s partial payment of the guaranteed or secured obligations.</w:t>
      </w:r>
    </w:p>
    <w:p>
      <w:pPr>
        <w:sectPr>
          <w:pgSz w:w="11900" w:h="16838" w:orient="portrait"/>
          <w:cols w:equalWidth="0" w:num="1">
            <w:col w:w="9019"/>
          </w:cols>
          <w:pgMar w:left="1440" w:top="226" w:right="1440" w:bottom="1440" w:gutter="0" w:footer="0" w:header="0"/>
        </w:sectPr>
      </w:pPr>
    </w:p>
    <w:bookmarkStart w:id="76" w:name="page77"/>
    <w:bookmarkEnd w:id="76"/>
    <w:p>
      <w:pPr>
        <w:ind w:left="7140"/>
        <w:spacing w:after="0"/>
        <w:rPr>
          <w:sz w:val="20"/>
          <w:szCs w:val="20"/>
          <w:color w:val="auto"/>
        </w:rPr>
      </w:pPr>
      <w:r>
        <w:rPr>
          <w:rFonts w:ascii="Times New Roman" w:cs="Times New Roman" w:eastAsia="Times New Roman" w:hAnsi="Times New Roman"/>
          <w:sz w:val="11"/>
          <w:szCs w:val="1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Article 11. Special Covenants</w:t>
      </w:r>
    </w:p>
    <w:p>
      <w:pPr>
        <w:spacing w:after="0" w:line="91"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2"/>
          <w:szCs w:val="12"/>
          <w:color w:val="auto"/>
        </w:rPr>
        <w:t>Mortgagor:            (seal)</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Description of the Mortgaged Property</w:t>
      </w:r>
    </w:p>
    <w:p>
      <w:pPr>
        <w:spacing w:after="0" w:line="172" w:lineRule="exact"/>
        <w:rPr>
          <w:sz w:val="20"/>
          <w:szCs w:val="20"/>
          <w:color w:val="auto"/>
        </w:rPr>
      </w:pPr>
    </w:p>
    <w:p>
      <w:pPr>
        <w:ind w:left="1080"/>
        <w:spacing w:after="0"/>
        <w:tabs>
          <w:tab w:leader="none" w:pos="4640" w:val="left"/>
        </w:tabs>
        <w:rPr>
          <w:sz w:val="20"/>
          <w:szCs w:val="20"/>
          <w:color w:val="auto"/>
        </w:rPr>
      </w:pPr>
      <w:r>
        <w:rPr>
          <w:rFonts w:ascii="Times New Roman" w:cs="Times New Roman" w:eastAsia="Times New Roman" w:hAnsi="Times New Roman"/>
          <w:sz w:val="12"/>
          <w:szCs w:val="12"/>
          <w:color w:val="auto"/>
        </w:rPr>
        <w:t>Description of the Mortgaged Property</w:t>
      </w:r>
      <w:r>
        <w:rPr>
          <w:sz w:val="20"/>
          <w:szCs w:val="20"/>
          <w:color w:val="auto"/>
        </w:rPr>
        <w:tab/>
      </w:r>
      <w:r>
        <w:rPr>
          <w:rFonts w:ascii="Times New Roman" w:cs="Times New Roman" w:eastAsia="Times New Roman" w:hAnsi="Times New Roman"/>
          <w:sz w:val="11"/>
          <w:szCs w:val="11"/>
          <w:color w:val="auto"/>
        </w:rPr>
        <w:t>Priority</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Same as listed in Attachment</w:t>
      </w:r>
    </w:p>
    <w:p>
      <w:pPr>
        <w:sectPr>
          <w:pgSz w:w="11900" w:h="16838" w:orient="portrait"/>
          <w:cols w:equalWidth="0" w:num="1">
            <w:col w:w="9019"/>
          </w:cols>
          <w:pgMar w:left="1440" w:top="226" w:right="1440" w:bottom="1440" w:gutter="0" w:footer="0" w:header="0"/>
        </w:sectPr>
      </w:pPr>
    </w:p>
    <w:bookmarkStart w:id="77" w:name="page78"/>
    <w:bookmarkEnd w:id="77"/>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840" w:right="1259" w:hanging="8"/>
        <w:spacing w:after="0" w:line="405" w:lineRule="auto"/>
        <w:tabs>
          <w:tab w:leader="none" w:pos="93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Mortgagor is required to read the following and state the answers in his/her handwriting at his/her own discretion on the basis of the facts. (Example: 1. Received, 2. Informed)</w:t>
      </w:r>
    </w:p>
    <w:p>
      <w:pPr>
        <w:sectPr>
          <w:pgSz w:w="11900" w:h="16838" w:orient="portrait"/>
          <w:cols w:equalWidth="0" w:num="1">
            <w:col w:w="9019"/>
          </w:cols>
          <w:pgMar w:left="1440" w:top="226" w:right="1440" w:bottom="1440" w:gutter="0" w:footer="0" w:header="0"/>
        </w:sectPr>
      </w:pPr>
    </w:p>
    <w:p>
      <w:pPr>
        <w:spacing w:after="0" w:line="56" w:lineRule="exact"/>
        <w:rPr>
          <w:sz w:val="20"/>
          <w:szCs w:val="20"/>
          <w:color w:val="auto"/>
        </w:rPr>
      </w:pPr>
    </w:p>
    <w:p>
      <w:pPr>
        <w:ind w:left="840" w:right="520"/>
        <w:spacing w:after="0" w:line="279" w:lineRule="auto"/>
        <w:rPr>
          <w:sz w:val="20"/>
          <w:szCs w:val="20"/>
          <w:color w:val="auto"/>
        </w:rPr>
      </w:pPr>
      <w:r>
        <w:rPr>
          <w:rFonts w:ascii="Times New Roman" w:cs="Times New Roman" w:eastAsia="Times New Roman" w:hAnsi="Times New Roman"/>
          <w:sz w:val="12"/>
          <w:szCs w:val="12"/>
          <w:color w:val="auto"/>
        </w:rPr>
        <w:t>1. Are you certain that you have received a copy of the General Terms and Conditions for Credit Transactions and this Agreement?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Received</w:t>
      </w:r>
    </w:p>
    <w:p>
      <w:pPr>
        <w:spacing w:after="0" w:line="221" w:lineRule="exact"/>
        <w:rPr>
          <w:sz w:val="20"/>
          <w:szCs w:val="20"/>
          <w:color w:val="auto"/>
        </w:rPr>
      </w:pPr>
    </w:p>
    <w:p>
      <w:pPr>
        <w:sectPr>
          <w:pgSz w:w="11900" w:h="16838" w:orient="portrait"/>
          <w:cols w:equalWidth="0" w:num="2">
            <w:col w:w="5980" w:space="720"/>
            <w:col w:w="2319"/>
          </w:cols>
          <w:pgMar w:left="1440" w:top="226" w:right="1440" w:bottom="1440" w:gutter="0" w:footer="0" w:header="0"/>
          <w:type w:val="continuous"/>
        </w:sectPr>
      </w:pPr>
    </w:p>
    <w:p>
      <w:pPr>
        <w:ind w:left="840" w:right="480"/>
        <w:spacing w:after="0" w:line="279" w:lineRule="auto"/>
        <w:rPr>
          <w:sz w:val="20"/>
          <w:szCs w:val="20"/>
          <w:color w:val="auto"/>
        </w:rPr>
      </w:pPr>
      <w:r>
        <w:rPr>
          <w:rFonts w:ascii="Times New Roman" w:cs="Times New Roman" w:eastAsia="Times New Roman" w:hAnsi="Times New Roman"/>
          <w:sz w:val="12"/>
          <w:szCs w:val="12"/>
          <w:color w:val="auto"/>
        </w:rPr>
        <w:t>2. Were you informed of the material terms of the aforementioned General Terms and Conditions for Credit Transactions and this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Informed</w:t>
      </w:r>
    </w:p>
    <w:p>
      <w:pPr>
        <w:spacing w:after="0" w:line="293" w:lineRule="exact"/>
        <w:rPr>
          <w:sz w:val="20"/>
          <w:szCs w:val="20"/>
          <w:color w:val="auto"/>
        </w:rPr>
      </w:pPr>
    </w:p>
    <w:p>
      <w:pPr>
        <w:sectPr>
          <w:pgSz w:w="11900" w:h="16838" w:orient="portrait"/>
          <w:cols w:equalWidth="0" w:num="2">
            <w:col w:w="5980" w:space="720"/>
            <w:col w:w="2319"/>
          </w:cols>
          <w:pgMar w:left="1440" w:top="226" w:right="1440" w:bottom="1440" w:gutter="0" w:footer="0" w:header="0"/>
          <w:type w:val="continuous"/>
        </w:sectPr>
      </w:pPr>
    </w:p>
    <w:p>
      <w:pPr>
        <w:ind w:left="840" w:right="1199" w:hanging="8"/>
        <w:spacing w:after="0" w:line="279" w:lineRule="auto"/>
        <w:tabs>
          <w:tab w:leader="none" w:pos="93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case the Mortgagor provides a house as security for a third party, the Mortgagor may withdraw the provision of security within three (3) days including the date of execution of this Agreement.</w:t>
      </w:r>
    </w:p>
    <w:p>
      <w:pPr>
        <w:spacing w:after="0" w:line="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Also, the Mortgagor may waive the right to withdraw in advance and immediately confirm this Agreement.</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If necessary, the Mortgagor is required to state in his/her own handwriting in the following box within the said period.</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(Example: Withdrew                , Waived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-5715</wp:posOffset>
            </wp:positionV>
            <wp:extent cx="38100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1853565</wp:posOffset>
            </wp:positionH>
            <wp:positionV relativeFrom="paragraph">
              <wp:posOffset>-5715</wp:posOffset>
            </wp:positionV>
            <wp:extent cx="38100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ectPr>
          <w:pgSz w:w="11900" w:h="16838" w:orient="portrait"/>
          <w:cols w:equalWidth="0" w:num="1">
            <w:col w:w="9019"/>
          </w:cols>
          <w:pgMar w:left="1440" w:top="226" w:right="1440" w:bottom="1440" w:gutter="0" w:footer="0" w:header="0"/>
          <w:type w:val="continuous"/>
        </w:sectPr>
      </w:pPr>
    </w:p>
    <w:p>
      <w:pPr>
        <w:spacing w:after="0" w:line="1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Do you withdraw your intent to provide the security?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Date:              </w:t>
      </w:r>
    </w:p>
    <w:p>
      <w:pPr>
        <w:spacing w:after="0" w:line="51" w:lineRule="exact"/>
        <w:rPr>
          <w:sz w:val="20"/>
          <w:szCs w:val="20"/>
          <w:color w:val="auto"/>
        </w:rPr>
      </w:pPr>
    </w:p>
    <w:p>
      <w:pPr>
        <w:sectPr>
          <w:pgSz w:w="11900" w:h="16838" w:orient="portrait"/>
          <w:cols w:equalWidth="0" w:num="2">
            <w:col w:w="4660" w:space="720"/>
            <w:col w:w="3639"/>
          </w:cols>
          <w:pgMar w:left="1440" w:top="226"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2"/>
          <w:szCs w:val="12"/>
          <w:color w:val="auto"/>
        </w:rPr>
        <w:t>(When withdrawing, this Agreement will be cancelled and the Mortgagor will not bear</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liability with regard to the secured obligation. Any expenses incurred with the establishment</w:t>
      </w:r>
    </w:p>
    <w:p>
      <w:pPr>
        <w:spacing w:after="0" w:line="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or cancellation of the security shall be borne by the Mortgagor.)</w:t>
      </w:r>
    </w:p>
    <w:p>
      <w:pPr>
        <w:sectPr>
          <w:pgSz w:w="11900" w:h="16838" w:orient="portrait"/>
          <w:cols w:equalWidth="0" w:num="1">
            <w:col w:w="9019"/>
          </w:cols>
          <w:pgMar w:left="1440" w:top="226" w:right="1440" w:bottom="1440" w:gutter="0" w:footer="0" w:header="0"/>
          <w:type w:val="continuous"/>
        </w:sectPr>
      </w:pPr>
    </w:p>
    <w:p>
      <w:pPr>
        <w:spacing w:after="0" w:line="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Do you waive your right to withdraw?</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center"/>
        <w:ind w:right="2839"/>
        <w:spacing w:after="0"/>
        <w:rPr>
          <w:sz w:val="20"/>
          <w:szCs w:val="20"/>
          <w:color w:val="auto"/>
        </w:rPr>
      </w:pPr>
      <w:r>
        <w:rPr>
          <w:rFonts w:ascii="Times New Roman" w:cs="Times New Roman" w:eastAsia="Times New Roman" w:hAnsi="Times New Roman"/>
          <w:sz w:val="12"/>
          <w:szCs w:val="12"/>
          <w:color w:val="auto"/>
        </w:rPr>
        <w:t xml:space="preserve">Date:              </w:t>
      </w:r>
    </w:p>
    <w:p>
      <w:pPr>
        <w:spacing w:after="0" w:line="51" w:lineRule="exact"/>
        <w:rPr>
          <w:sz w:val="20"/>
          <w:szCs w:val="20"/>
          <w:color w:val="auto"/>
        </w:rPr>
      </w:pPr>
    </w:p>
    <w:p>
      <w:pPr>
        <w:sectPr>
          <w:pgSz w:w="11900" w:h="16838" w:orient="portrait"/>
          <w:cols w:equalWidth="0" w:num="2">
            <w:col w:w="4660" w:space="720"/>
            <w:col w:w="3639"/>
          </w:cols>
          <w:pgMar w:left="1440" w:top="226"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color w:val="auto"/>
        </w:rPr>
        <w:t>(Waiving your right to withdraw, this Agreement will be immediately confirmed.)</w:t>
      </w:r>
    </w:p>
    <w:p>
      <w:pPr>
        <w:sectPr>
          <w:pgSz w:w="11900" w:h="16838" w:orient="portrait"/>
          <w:cols w:equalWidth="0" w:num="1">
            <w:col w:w="9019"/>
          </w:cols>
          <w:pgMar w:left="1440" w:top="226" w:right="1440" w:bottom="1440" w:gutter="0" w:footer="0" w:header="0"/>
          <w:type w:val="continuous"/>
        </w:sectPr>
      </w:pPr>
    </w:p>
    <w:p>
      <w:pPr>
        <w:spacing w:after="0" w:line="189" w:lineRule="exact"/>
        <w:rPr>
          <w:sz w:val="20"/>
          <w:szCs w:val="20"/>
          <w:color w:val="auto"/>
        </w:rPr>
      </w:pPr>
    </w:p>
    <w:p>
      <w:pPr>
        <w:ind w:left="840"/>
        <w:spacing w:after="0"/>
        <w:tabs>
          <w:tab w:leader="none" w:pos="1480" w:val="left"/>
          <w:tab w:leader="none" w:pos="3620" w:val="left"/>
          <w:tab w:leader="none" w:pos="5680" w:val="left"/>
          <w:tab w:leader="none" w:pos="7800" w:val="left"/>
        </w:tabs>
        <w:rPr>
          <w:sz w:val="20"/>
          <w:szCs w:val="20"/>
          <w:color w:val="auto"/>
        </w:rPr>
      </w:pPr>
      <w:r>
        <w:rPr>
          <w:rFonts w:ascii="Times New Roman" w:cs="Times New Roman" w:eastAsia="Times New Roman" w:hAnsi="Times New Roman"/>
          <w:sz w:val="12"/>
          <w:szCs w:val="12"/>
          <w:color w:val="auto"/>
        </w:rPr>
        <w:t>Counselor</w:t>
        <w:tab/>
        <w:t xml:space="preserve">Title:                   </w:t>
      </w:r>
      <w:r>
        <w:rPr>
          <w:sz w:val="20"/>
          <w:szCs w:val="20"/>
          <w:color w:val="auto"/>
        </w:rPr>
        <w:tab/>
      </w:r>
      <w:r>
        <w:rPr>
          <w:rFonts w:ascii="Times New Roman" w:cs="Times New Roman" w:eastAsia="Times New Roman" w:hAnsi="Times New Roman"/>
          <w:sz w:val="12"/>
          <w:szCs w:val="12"/>
          <w:color w:val="auto"/>
        </w:rPr>
        <w:t xml:space="preserve">Name:                </w:t>
      </w:r>
      <w:r>
        <w:rPr>
          <w:sz w:val="20"/>
          <w:szCs w:val="20"/>
          <w:color w:val="auto"/>
        </w:rPr>
        <w:tab/>
      </w:r>
      <w:r>
        <w:rPr>
          <w:rFonts w:ascii="Times New Roman" w:cs="Times New Roman" w:eastAsia="Times New Roman" w:hAnsi="Times New Roman"/>
          <w:sz w:val="12"/>
          <w:szCs w:val="12"/>
          <w:color w:val="auto"/>
        </w:rPr>
        <w:t>                    (seal)</w:t>
      </w:r>
      <w:r>
        <w:rPr>
          <w:sz w:val="20"/>
          <w:szCs w:val="20"/>
          <w:color w:val="auto"/>
        </w:rPr>
        <w:tab/>
      </w:r>
      <w:r>
        <w:rPr>
          <w:rFonts w:ascii="Times New Roman" w:cs="Times New Roman" w:eastAsia="Times New Roman" w:hAnsi="Times New Roman"/>
          <w:sz w:val="12"/>
          <w:szCs w:val="12"/>
          <w:color w:val="auto"/>
        </w:rPr>
        <w:t xml:space="preserve">      </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 hereby confirm the registration is made in accordance with this Agreement and receive the certificate of registration.</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             March 26, 2024</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Mortgagor:      Magnachip Semiconductor, Ltd. (seal)</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15F, 76 Jikji-daero, 436beon-gil Heungdeok-gu,</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Cheongju-si, Chungcheongbuk-do, South Korea</w:t>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Representative Director Young-Joon Kim</w:t>
      </w:r>
    </w:p>
    <w:p>
      <w:pPr>
        <w:sectPr>
          <w:pgSz w:w="11900" w:h="16838" w:orient="portrait"/>
          <w:cols w:equalWidth="0" w:num="1">
            <w:col w:w="9019"/>
          </w:cols>
          <w:pgMar w:left="1440" w:top="226" w:right="1440" w:bottom="1440" w:gutter="0" w:footer="0" w:header="0"/>
          <w:type w:val="continuous"/>
        </w:sectPr>
      </w:pPr>
    </w:p>
    <w:bookmarkStart w:id="78" w:name="page79"/>
    <w:bookmarkEnd w:id="78"/>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&lt;Attachment&gt;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Legal Description of Real Estate Property</w:t>
      </w:r>
    </w:p>
    <w:p>
      <w:pPr>
        <w:spacing w:after="0" w:line="182" w:lineRule="exact"/>
        <w:rPr>
          <w:sz w:val="20"/>
          <w:szCs w:val="20"/>
          <w:color w:val="auto"/>
        </w:rPr>
      </w:pPr>
    </w:p>
    <w:p>
      <w:pPr>
        <w:ind w:left="1120" w:hanging="288"/>
        <w:spacing w:after="0"/>
        <w:tabs>
          <w:tab w:leader="none" w:pos="11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Land</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No[1760-1996-090403]</w:t>
      </w:r>
    </w:p>
    <w:p>
      <w:pPr>
        <w:spacing w:after="0" w:line="6" w:lineRule="exact"/>
        <w:rPr>
          <w:rFonts w:ascii="Times New Roman" w:cs="Times New Roman" w:eastAsia="Times New Roman" w:hAnsi="Times New Roman"/>
          <w:sz w:val="12"/>
          <w:szCs w:val="12"/>
          <w:color w:val="auto"/>
        </w:rPr>
      </w:pPr>
    </w:p>
    <w:p>
      <w:pPr>
        <w:ind w:left="1120" w:right="5679"/>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Factory site 39,574.4m</w:t>
      </w:r>
      <w:r>
        <w:rPr>
          <w:rFonts w:ascii="Times New Roman" w:cs="Times New Roman" w:eastAsia="Times New Roman" w:hAnsi="Times New Roman"/>
          <w:sz w:val="17"/>
          <w:szCs w:val="17"/>
          <w:color w:val="auto"/>
          <w:vertAlign w:val="superscript"/>
        </w:rPr>
        <w:t>2</w:t>
      </w:r>
    </w:p>
    <w:p>
      <w:pPr>
        <w:spacing w:after="0" w:line="41"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Land</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No[1760-2007-003222]</w:t>
      </w:r>
    </w:p>
    <w:p>
      <w:pPr>
        <w:spacing w:after="0" w:line="6" w:lineRule="exact"/>
        <w:rPr>
          <w:rFonts w:ascii="Times New Roman" w:cs="Times New Roman" w:eastAsia="Times New Roman" w:hAnsi="Times New Roman"/>
          <w:sz w:val="12"/>
          <w:szCs w:val="12"/>
          <w:color w:val="auto"/>
        </w:rPr>
      </w:pPr>
    </w:p>
    <w:p>
      <w:pPr>
        <w:ind w:left="1120" w:right="5579"/>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281-1, Imsu-dong, Gumi-si, Gyeongsangbuk-do Miscellaneous land 3,812.8m</w:t>
      </w:r>
      <w:r>
        <w:rPr>
          <w:rFonts w:ascii="Times New Roman" w:cs="Times New Roman" w:eastAsia="Times New Roman" w:hAnsi="Times New Roman"/>
          <w:sz w:val="17"/>
          <w:szCs w:val="17"/>
          <w:color w:val="auto"/>
          <w:vertAlign w:val="superscript"/>
        </w:rPr>
        <w:t>2</w:t>
      </w:r>
    </w:p>
    <w:p>
      <w:pPr>
        <w:spacing w:after="0" w:line="41"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Land</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No[1760-2007-003223]</w:t>
      </w:r>
    </w:p>
    <w:p>
      <w:pPr>
        <w:spacing w:after="0" w:line="6" w:lineRule="exact"/>
        <w:rPr>
          <w:rFonts w:ascii="Times New Roman" w:cs="Times New Roman" w:eastAsia="Times New Roman" w:hAnsi="Times New Roman"/>
          <w:sz w:val="12"/>
          <w:szCs w:val="12"/>
          <w:color w:val="auto"/>
        </w:rPr>
      </w:pPr>
    </w:p>
    <w:p>
      <w:pPr>
        <w:ind w:left="1120" w:right="5679"/>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282, Imsu-dong, Gumi-si, Gyeongsangbuk-do Factory site 35,489.7m</w:t>
      </w:r>
      <w:r>
        <w:rPr>
          <w:rFonts w:ascii="Times New Roman" w:cs="Times New Roman" w:eastAsia="Times New Roman" w:hAnsi="Times New Roman"/>
          <w:sz w:val="17"/>
          <w:szCs w:val="17"/>
          <w:color w:val="auto"/>
          <w:vertAlign w:val="superscript"/>
        </w:rPr>
        <w:t>2</w:t>
      </w:r>
    </w:p>
    <w:p>
      <w:pPr>
        <w:spacing w:after="0" w:line="41"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Land</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No[1760-2007-003218]</w:t>
      </w:r>
    </w:p>
    <w:p>
      <w:pPr>
        <w:spacing w:after="0" w:line="6" w:lineRule="exact"/>
        <w:rPr>
          <w:rFonts w:ascii="Times New Roman" w:cs="Times New Roman" w:eastAsia="Times New Roman" w:hAnsi="Times New Roman"/>
          <w:sz w:val="12"/>
          <w:szCs w:val="12"/>
          <w:color w:val="auto"/>
        </w:rPr>
      </w:pPr>
    </w:p>
    <w:p>
      <w:pPr>
        <w:ind w:left="1120" w:right="5579"/>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282-2, Imsu-dong, Gumi-si, Gyeongsangbuk-do Miscellaneous land 1,200.4m</w:t>
      </w:r>
      <w:r>
        <w:rPr>
          <w:rFonts w:ascii="Times New Roman" w:cs="Times New Roman" w:eastAsia="Times New Roman" w:hAnsi="Times New Roman"/>
          <w:sz w:val="17"/>
          <w:szCs w:val="17"/>
          <w:color w:val="auto"/>
          <w:vertAlign w:val="superscript"/>
        </w:rPr>
        <w:t>2</w:t>
      </w:r>
    </w:p>
    <w:p>
      <w:pPr>
        <w:spacing w:after="0" w:line="41"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Land</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No[1760-2009-008403]</w:t>
      </w:r>
    </w:p>
    <w:p>
      <w:pPr>
        <w:spacing w:after="0" w:line="6" w:lineRule="exact"/>
        <w:rPr>
          <w:rFonts w:ascii="Times New Roman" w:cs="Times New Roman" w:eastAsia="Times New Roman" w:hAnsi="Times New Roman"/>
          <w:sz w:val="12"/>
          <w:szCs w:val="12"/>
          <w:color w:val="auto"/>
        </w:rPr>
      </w:pPr>
    </w:p>
    <w:p>
      <w:pPr>
        <w:ind w:left="1120" w:right="5679"/>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283, Imsu-dong, Gumi-si, Gyeongsangbuk-do Building land 23,087m</w:t>
      </w:r>
      <w:r>
        <w:rPr>
          <w:rFonts w:ascii="Times New Roman" w:cs="Times New Roman" w:eastAsia="Times New Roman" w:hAnsi="Times New Roman"/>
          <w:sz w:val="17"/>
          <w:szCs w:val="17"/>
          <w:color w:val="auto"/>
          <w:vertAlign w:val="superscript"/>
        </w:rPr>
        <w:t>2</w:t>
      </w:r>
    </w:p>
    <w:p>
      <w:pPr>
        <w:spacing w:after="0" w:line="41"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Land</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No[1760-2007-003199]</w:t>
      </w:r>
    </w:p>
    <w:p>
      <w:pPr>
        <w:spacing w:after="0" w:line="6" w:lineRule="exact"/>
        <w:rPr>
          <w:rFonts w:ascii="Times New Roman" w:cs="Times New Roman" w:eastAsia="Times New Roman" w:hAnsi="Times New Roman"/>
          <w:sz w:val="12"/>
          <w:szCs w:val="12"/>
          <w:color w:val="auto"/>
        </w:rPr>
      </w:pPr>
    </w:p>
    <w:p>
      <w:pPr>
        <w:ind w:left="1120" w:right="5579"/>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283-8, Imsu-dong, Gumi-si, Gyeongsangbuk-do Miscellaneous land 1,033.2m</w:t>
      </w:r>
      <w:r>
        <w:rPr>
          <w:rFonts w:ascii="Times New Roman" w:cs="Times New Roman" w:eastAsia="Times New Roman" w:hAnsi="Times New Roman"/>
          <w:sz w:val="17"/>
          <w:szCs w:val="17"/>
          <w:color w:val="auto"/>
          <w:vertAlign w:val="superscript"/>
        </w:rPr>
        <w:t>2</w:t>
      </w:r>
    </w:p>
    <w:p>
      <w:pPr>
        <w:spacing w:after="0" w:line="41"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No[1760-1996-091033]</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 1-dong</w:t>
      </w:r>
    </w:p>
    <w:p>
      <w:pPr>
        <w:spacing w:after="0" w:line="1" w:lineRule="exact"/>
        <w:rPr>
          <w:rFonts w:ascii="Times New Roman" w:cs="Times New Roman" w:eastAsia="Times New Roman" w:hAnsi="Times New Roman"/>
          <w:sz w:val="12"/>
          <w:szCs w:val="12"/>
          <w:color w:val="auto"/>
        </w:rPr>
      </w:pPr>
    </w:p>
    <w:p>
      <w:pPr>
        <w:ind w:left="1120" w:right="445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[Road Name Address] 375, Suchul-daero, Gumi-si, Gyeongsangbuk-do Reinforced concrete 5-story factory building with slab roof</w:t>
      </w:r>
    </w:p>
    <w:p>
      <w:pPr>
        <w:ind w:left="1340" w:right="4859"/>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Basement Machine room, electrical room, shelter 4,482m</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1</w:t>
      </w:r>
      <w:r>
        <w:rPr>
          <w:rFonts w:ascii="Times New Roman" w:cs="Times New Roman" w:eastAsia="Times New Roman" w:hAnsi="Times New Roman"/>
          <w:sz w:val="17"/>
          <w:szCs w:val="17"/>
          <w:color w:val="auto"/>
          <w:vertAlign w:val="superscript"/>
        </w:rPr>
        <w:t>st</w:t>
      </w:r>
      <w:r>
        <w:rPr>
          <w:rFonts w:ascii="Times New Roman" w:cs="Times New Roman" w:eastAsia="Times New Roman" w:hAnsi="Times New Roman"/>
          <w:sz w:val="12"/>
          <w:szCs w:val="12"/>
          <w:color w:val="auto"/>
        </w:rPr>
        <w:t xml:space="preserve"> floor Cafeteria 5,294.75m</w:t>
      </w:r>
      <w:r>
        <w:rPr>
          <w:rFonts w:ascii="Times New Roman" w:cs="Times New Roman" w:eastAsia="Times New Roman" w:hAnsi="Times New Roman"/>
          <w:sz w:val="17"/>
          <w:szCs w:val="17"/>
          <w:color w:val="auto"/>
          <w:vertAlign w:val="superscript"/>
        </w:rPr>
        <w:t>2</w:t>
      </w:r>
    </w:p>
    <w:p>
      <w:pPr>
        <w:sectPr>
          <w:pgSz w:w="11900" w:h="16838" w:orient="portrait"/>
          <w:cols w:equalWidth="0" w:num="1">
            <w:col w:w="9019"/>
          </w:cols>
          <w:pgMar w:left="1440" w:top="226" w:right="1440" w:bottom="1440" w:gutter="0" w:footer="0" w:header="0"/>
        </w:sectPr>
      </w:pPr>
    </w:p>
    <w:bookmarkStart w:id="79" w:name="page80"/>
    <w:bookmarkEnd w:id="79"/>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6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7"/>
          <w:szCs w:val="17"/>
          <w:color w:val="auto"/>
          <w:vertAlign w:val="superscript"/>
        </w:rPr>
        <w:t>nd</w:t>
      </w:r>
      <w:r>
        <w:rPr>
          <w:rFonts w:ascii="Times New Roman" w:cs="Times New Roman" w:eastAsia="Times New Roman" w:hAnsi="Times New Roman"/>
          <w:sz w:val="12"/>
          <w:szCs w:val="12"/>
          <w:color w:val="auto"/>
        </w:rPr>
        <w:t xml:space="preserve"> floor Factory 3,327m</w:t>
      </w:r>
      <w:r>
        <w:rPr>
          <w:rFonts w:ascii="Times New Roman" w:cs="Times New Roman" w:eastAsia="Times New Roman" w:hAnsi="Times New Roman"/>
          <w:sz w:val="17"/>
          <w:szCs w:val="17"/>
          <w:color w:val="auto"/>
          <w:vertAlign w:val="superscript"/>
        </w:rPr>
        <w:t>2</w:t>
      </w:r>
    </w:p>
    <w:p>
      <w:pPr>
        <w:ind w:left="1340"/>
        <w:spacing w:after="0" w:line="187" w:lineRule="auto"/>
        <w:rPr>
          <w:sz w:val="20"/>
          <w:szCs w:val="20"/>
          <w:color w:val="auto"/>
        </w:rPr>
      </w:pPr>
      <w:r>
        <w:rPr>
          <w:rFonts w:ascii="Times New Roman" w:cs="Times New Roman" w:eastAsia="Times New Roman" w:hAnsi="Times New Roman"/>
          <w:sz w:val="11"/>
          <w:szCs w:val="11"/>
          <w:color w:val="auto"/>
        </w:rPr>
        <w:t>3</w:t>
      </w:r>
      <w:r>
        <w:rPr>
          <w:rFonts w:ascii="Times New Roman" w:cs="Times New Roman" w:eastAsia="Times New Roman" w:hAnsi="Times New Roman"/>
          <w:sz w:val="16"/>
          <w:szCs w:val="16"/>
          <w:color w:val="auto"/>
          <w:vertAlign w:val="superscript"/>
        </w:rPr>
        <w:t>rd</w:t>
      </w:r>
      <w:r>
        <w:rPr>
          <w:rFonts w:ascii="Times New Roman" w:cs="Times New Roman" w:eastAsia="Times New Roman" w:hAnsi="Times New Roman"/>
          <w:sz w:val="11"/>
          <w:szCs w:val="11"/>
          <w:color w:val="auto"/>
        </w:rPr>
        <w:t xml:space="preserve"> floor Factory 8,982m</w:t>
      </w:r>
      <w:r>
        <w:rPr>
          <w:rFonts w:ascii="Times New Roman" w:cs="Times New Roman" w:eastAsia="Times New Roman" w:hAnsi="Times New Roman"/>
          <w:sz w:val="16"/>
          <w:szCs w:val="16"/>
          <w:color w:val="auto"/>
          <w:vertAlign w:val="superscript"/>
        </w:rPr>
        <w:t>2</w:t>
      </w:r>
    </w:p>
    <w:p>
      <w:pPr>
        <w:ind w:left="1340"/>
        <w:spacing w:after="0" w:line="188" w:lineRule="auto"/>
        <w:rPr>
          <w:sz w:val="20"/>
          <w:szCs w:val="20"/>
          <w:color w:val="auto"/>
        </w:rPr>
      </w:pPr>
      <w:r>
        <w:rPr>
          <w:rFonts w:ascii="Times New Roman" w:cs="Times New Roman" w:eastAsia="Times New Roman" w:hAnsi="Times New Roman"/>
          <w:sz w:val="11"/>
          <w:szCs w:val="11"/>
          <w:color w:val="auto"/>
        </w:rPr>
        <w:t>4</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1"/>
          <w:szCs w:val="11"/>
          <w:color w:val="auto"/>
        </w:rPr>
        <w:t xml:space="preserve"> floor Factory 8,982m</w:t>
      </w:r>
      <w:r>
        <w:rPr>
          <w:rFonts w:ascii="Times New Roman" w:cs="Times New Roman" w:eastAsia="Times New Roman" w:hAnsi="Times New Roman"/>
          <w:sz w:val="16"/>
          <w:szCs w:val="16"/>
          <w:color w:val="auto"/>
          <w:vertAlign w:val="superscript"/>
        </w:rPr>
        <w:t>2</w:t>
      </w:r>
    </w:p>
    <w:p>
      <w:pPr>
        <w:ind w:left="1340"/>
        <w:spacing w:after="0" w:line="188" w:lineRule="auto"/>
        <w:rPr>
          <w:sz w:val="20"/>
          <w:szCs w:val="20"/>
          <w:color w:val="auto"/>
        </w:rPr>
      </w:pPr>
      <w:r>
        <w:rPr>
          <w:rFonts w:ascii="Times New Roman" w:cs="Times New Roman" w:eastAsia="Times New Roman" w:hAnsi="Times New Roman"/>
          <w:sz w:val="11"/>
          <w:szCs w:val="11"/>
          <w:color w:val="auto"/>
        </w:rPr>
        <w:t>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1"/>
          <w:szCs w:val="11"/>
          <w:color w:val="auto"/>
        </w:rPr>
        <w:t xml:space="preserve"> floor Factory 8,982m</w:t>
      </w:r>
      <w:r>
        <w:rPr>
          <w:rFonts w:ascii="Times New Roman" w:cs="Times New Roman" w:eastAsia="Times New Roman" w:hAnsi="Times New Roman"/>
          <w:sz w:val="16"/>
          <w:szCs w:val="16"/>
          <w:color w:val="auto"/>
          <w:vertAlign w:val="superscript"/>
        </w:rPr>
        <w:t>2</w:t>
      </w:r>
    </w:p>
    <w:p>
      <w:pPr>
        <w:ind w:left="1340"/>
        <w:spacing w:after="0" w:line="188" w:lineRule="auto"/>
        <w:rPr>
          <w:sz w:val="20"/>
          <w:szCs w:val="20"/>
          <w:color w:val="auto"/>
        </w:rPr>
      </w:pPr>
      <w:r>
        <w:rPr>
          <w:rFonts w:ascii="Times New Roman" w:cs="Times New Roman" w:eastAsia="Times New Roman" w:hAnsi="Times New Roman"/>
          <w:sz w:val="11"/>
          <w:szCs w:val="11"/>
          <w:color w:val="auto"/>
        </w:rPr>
        <w:t>Rooftop 972m</w:t>
      </w:r>
      <w:r>
        <w:rPr>
          <w:rFonts w:ascii="Times New Roman" w:cs="Times New Roman" w:eastAsia="Times New Roman" w:hAnsi="Times New Roman"/>
          <w:sz w:val="16"/>
          <w:szCs w:val="16"/>
          <w:color w:val="auto"/>
          <w:vertAlign w:val="superscript"/>
        </w:rPr>
        <w:t>2</w:t>
      </w:r>
    </w:p>
    <w:p>
      <w:pPr>
        <w:ind w:left="1340"/>
        <w:spacing w:after="0" w:line="188" w:lineRule="auto"/>
        <w:rPr>
          <w:sz w:val="20"/>
          <w:szCs w:val="20"/>
          <w:color w:val="auto"/>
        </w:rPr>
      </w:pPr>
      <w:r>
        <w:rPr>
          <w:rFonts w:ascii="Times New Roman" w:cs="Times New Roman" w:eastAsia="Times New Roman" w:hAnsi="Times New Roman"/>
          <w:sz w:val="11"/>
          <w:szCs w:val="11"/>
          <w:color w:val="auto"/>
        </w:rPr>
        <w:t>Lightweight steel frame single-story storage 12.5m</w:t>
      </w:r>
      <w:r>
        <w:rPr>
          <w:rFonts w:ascii="Times New Roman" w:cs="Times New Roman" w:eastAsia="Times New Roman" w:hAnsi="Times New Roman"/>
          <w:sz w:val="16"/>
          <w:szCs w:val="16"/>
          <w:color w:val="auto"/>
          <w:vertAlign w:val="superscript"/>
        </w:rPr>
        <w:t>2</w:t>
      </w:r>
    </w:p>
    <w:p>
      <w:pPr>
        <w:ind w:left="1340"/>
        <w:spacing w:after="0" w:line="188" w:lineRule="auto"/>
        <w:rPr>
          <w:sz w:val="20"/>
          <w:szCs w:val="20"/>
          <w:color w:val="auto"/>
        </w:rPr>
      </w:pPr>
      <w:r>
        <w:rPr>
          <w:rFonts w:ascii="Times New Roman" w:cs="Times New Roman" w:eastAsia="Times New Roman" w:hAnsi="Times New Roman"/>
          <w:sz w:val="11"/>
          <w:szCs w:val="11"/>
          <w:color w:val="auto"/>
        </w:rPr>
        <w:t>Block single-story factory with silicon steel plate roof on truss (Waste storage) 428.40m</w:t>
      </w:r>
      <w:r>
        <w:rPr>
          <w:rFonts w:ascii="Times New Roman" w:cs="Times New Roman" w:eastAsia="Times New Roman" w:hAnsi="Times New Roman"/>
          <w:sz w:val="16"/>
          <w:szCs w:val="16"/>
          <w:color w:val="auto"/>
          <w:vertAlign w:val="superscript"/>
        </w:rPr>
        <w:t>2</w:t>
      </w:r>
    </w:p>
    <w:p>
      <w:pPr>
        <w:ind w:left="1340"/>
        <w:spacing w:after="0"/>
        <w:rPr>
          <w:sz w:val="20"/>
          <w:szCs w:val="20"/>
          <w:color w:val="auto"/>
        </w:rPr>
      </w:pPr>
      <w:r>
        <w:rPr>
          <w:rFonts w:ascii="Times New Roman" w:cs="Times New Roman" w:eastAsia="Times New Roman" w:hAnsi="Times New Roman"/>
          <w:sz w:val="12"/>
          <w:szCs w:val="12"/>
          <w:color w:val="auto"/>
        </w:rPr>
        <w:t>Lightweight steel frame single-story factory with sandwich panel roof (Pump room) 75 m</w:t>
      </w:r>
      <w:r>
        <w:rPr>
          <w:rFonts w:ascii="Times New Roman" w:cs="Times New Roman" w:eastAsia="Times New Roman" w:hAnsi="Times New Roman"/>
          <w:sz w:val="17"/>
          <w:szCs w:val="17"/>
          <w:color w:val="auto"/>
          <w:vertAlign w:val="superscript"/>
        </w:rPr>
        <w:t>2</w:t>
      </w:r>
    </w:p>
    <w:p>
      <w:pPr>
        <w:spacing w:after="0" w:line="99" w:lineRule="exact"/>
        <w:rPr>
          <w:sz w:val="20"/>
          <w:szCs w:val="20"/>
          <w:color w:val="auto"/>
        </w:rPr>
      </w:pPr>
    </w:p>
    <w:p>
      <w:pPr>
        <w:ind w:left="1120" w:hanging="288"/>
        <w:spacing w:after="0"/>
        <w:tabs>
          <w:tab w:leader="none" w:pos="11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No[1760-2007-001927]</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 2-dong</w:t>
      </w:r>
    </w:p>
    <w:p>
      <w:pPr>
        <w:spacing w:after="0" w:line="1"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[Road Name Address] 375, Suchul-daero, Gumi-si, Gyeongsangbuk-do</w:t>
      </w:r>
    </w:p>
    <w:p>
      <w:pPr>
        <w:spacing w:after="0" w:line="6" w:lineRule="exact"/>
        <w:rPr>
          <w:rFonts w:ascii="Times New Roman" w:cs="Times New Roman" w:eastAsia="Times New Roman" w:hAnsi="Times New Roman"/>
          <w:sz w:val="12"/>
          <w:szCs w:val="12"/>
          <w:color w:val="auto"/>
        </w:rPr>
      </w:pPr>
    </w:p>
    <w:p>
      <w:pPr>
        <w:ind w:left="1340" w:right="3679" w:hanging="220"/>
        <w:spacing w:after="0" w:line="20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Reinforced concrete 2-story factory building with slab roof and prefabricated panel roof 1</w:t>
      </w:r>
      <w:r>
        <w:rPr>
          <w:rFonts w:ascii="Times New Roman" w:cs="Times New Roman" w:eastAsia="Times New Roman" w:hAnsi="Times New Roman"/>
          <w:sz w:val="17"/>
          <w:szCs w:val="17"/>
          <w:color w:val="auto"/>
          <w:vertAlign w:val="superscript"/>
        </w:rPr>
        <w:t>st</w:t>
      </w:r>
      <w:r>
        <w:rPr>
          <w:rFonts w:ascii="Times New Roman" w:cs="Times New Roman" w:eastAsia="Times New Roman" w:hAnsi="Times New Roman"/>
          <w:sz w:val="12"/>
          <w:szCs w:val="12"/>
          <w:color w:val="auto"/>
        </w:rPr>
        <w:t xml:space="preserve"> floor Office and air-conditioning machine room 2,554.15m</w:t>
      </w:r>
      <w:r>
        <w:rPr>
          <w:rFonts w:ascii="Times New Roman" w:cs="Times New Roman" w:eastAsia="Times New Roman" w:hAnsi="Times New Roman"/>
          <w:sz w:val="17"/>
          <w:szCs w:val="17"/>
          <w:color w:val="auto"/>
          <w:vertAlign w:val="superscript"/>
        </w:rPr>
        <w:t>2</w:t>
      </w:r>
    </w:p>
    <w:p>
      <w:pPr>
        <w:ind w:left="1340"/>
        <w:spacing w:after="0" w:line="18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1"/>
          <w:szCs w:val="11"/>
          <w:color w:val="auto"/>
        </w:rPr>
        <w:t xml:space="preserve"> floor Factory 1,843.2m</w:t>
      </w:r>
      <w:r>
        <w:rPr>
          <w:rFonts w:ascii="Times New Roman" w:cs="Times New Roman" w:eastAsia="Times New Roman" w:hAnsi="Times New Roman"/>
          <w:sz w:val="16"/>
          <w:szCs w:val="16"/>
          <w:color w:val="auto"/>
          <w:vertAlign w:val="superscript"/>
        </w:rPr>
        <w:t>2</w:t>
      </w:r>
    </w:p>
    <w:p>
      <w:pPr>
        <w:ind w:left="1340"/>
        <w:spacing w:after="0" w:line="18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1"/>
          <w:szCs w:val="11"/>
          <w:color w:val="auto"/>
        </w:rPr>
        <w:t xml:space="preserve"> floor Factory 1,479.26m</w:t>
      </w:r>
      <w:r>
        <w:rPr>
          <w:rFonts w:ascii="Times New Roman" w:cs="Times New Roman" w:eastAsia="Times New Roman" w:hAnsi="Times New Roman"/>
          <w:sz w:val="16"/>
          <w:szCs w:val="16"/>
          <w:color w:val="auto"/>
          <w:vertAlign w:val="superscript"/>
        </w:rPr>
        <w:t>2</w:t>
      </w:r>
    </w:p>
    <w:p>
      <w:pPr>
        <w:ind w:left="1340"/>
        <w:spacing w:after="0" w:line="18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1"/>
          <w:szCs w:val="11"/>
          <w:color w:val="auto"/>
        </w:rPr>
        <w:t xml:space="preserve"> floor Factory 140.1m</w:t>
      </w:r>
      <w:r>
        <w:rPr>
          <w:rFonts w:ascii="Times New Roman" w:cs="Times New Roman" w:eastAsia="Times New Roman" w:hAnsi="Times New Roman"/>
          <w:sz w:val="16"/>
          <w:szCs w:val="16"/>
          <w:color w:val="auto"/>
          <w:vertAlign w:val="superscript"/>
        </w:rPr>
        <w:t>2</w:t>
      </w:r>
    </w:p>
    <w:p>
      <w:pPr>
        <w:ind w:left="1340"/>
        <w:spacing w:after="0" w:line="18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1"/>
          <w:szCs w:val="11"/>
          <w:color w:val="auto"/>
        </w:rPr>
        <w:t xml:space="preserve"> floor Factory (storage) 84.21m</w:t>
      </w:r>
      <w:r>
        <w:rPr>
          <w:rFonts w:ascii="Times New Roman" w:cs="Times New Roman" w:eastAsia="Times New Roman" w:hAnsi="Times New Roman"/>
          <w:sz w:val="16"/>
          <w:szCs w:val="16"/>
          <w:color w:val="auto"/>
          <w:vertAlign w:val="superscript"/>
        </w:rPr>
        <w:t>2</w:t>
      </w:r>
    </w:p>
    <w:p>
      <w:pPr>
        <w:ind w:left="1340"/>
        <w:spacing w:after="0" w:line="18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1"/>
          <w:szCs w:val="11"/>
          <w:color w:val="auto"/>
        </w:rPr>
        <w:t xml:space="preserve"> floor Factory (storage) 67.21m</w:t>
      </w:r>
      <w:r>
        <w:rPr>
          <w:rFonts w:ascii="Times New Roman" w:cs="Times New Roman" w:eastAsia="Times New Roman" w:hAnsi="Times New Roman"/>
          <w:sz w:val="16"/>
          <w:szCs w:val="16"/>
          <w:color w:val="auto"/>
          <w:vertAlign w:val="superscript"/>
        </w:rPr>
        <w:t>2</w:t>
      </w:r>
    </w:p>
    <w:p>
      <w:pPr>
        <w:ind w:left="1340"/>
        <w:spacing w:after="0" w:line="18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2</w:t>
      </w:r>
      <w:r>
        <w:rPr>
          <w:rFonts w:ascii="Times New Roman" w:cs="Times New Roman" w:eastAsia="Times New Roman" w:hAnsi="Times New Roman"/>
          <w:sz w:val="16"/>
          <w:szCs w:val="16"/>
          <w:color w:val="auto"/>
          <w:vertAlign w:val="superscript"/>
        </w:rPr>
        <w:t>nd</w:t>
      </w:r>
      <w:r>
        <w:rPr>
          <w:rFonts w:ascii="Times New Roman" w:cs="Times New Roman" w:eastAsia="Times New Roman" w:hAnsi="Times New Roman"/>
          <w:sz w:val="11"/>
          <w:szCs w:val="11"/>
          <w:color w:val="auto"/>
        </w:rPr>
        <w:t xml:space="preserve"> floor Factory 1,843.2m</w:t>
      </w:r>
      <w:r>
        <w:rPr>
          <w:rFonts w:ascii="Times New Roman" w:cs="Times New Roman" w:eastAsia="Times New Roman" w:hAnsi="Times New Roman"/>
          <w:sz w:val="16"/>
          <w:szCs w:val="16"/>
          <w:color w:val="auto"/>
          <w:vertAlign w:val="superscript"/>
        </w:rPr>
        <w:t>2</w:t>
      </w:r>
    </w:p>
    <w:p>
      <w:pPr>
        <w:ind w:left="1340" w:right="6279"/>
        <w:spacing w:after="0" w:line="242"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2</w:t>
      </w:r>
      <w:r>
        <w:rPr>
          <w:rFonts w:ascii="Times New Roman" w:cs="Times New Roman" w:eastAsia="Times New Roman" w:hAnsi="Times New Roman"/>
          <w:sz w:val="16"/>
          <w:szCs w:val="16"/>
          <w:color w:val="auto"/>
          <w:vertAlign w:val="superscript"/>
        </w:rPr>
        <w:t>nd</w:t>
      </w:r>
      <w:r>
        <w:rPr>
          <w:rFonts w:ascii="Times New Roman" w:cs="Times New Roman" w:eastAsia="Times New Roman" w:hAnsi="Times New Roman"/>
          <w:sz w:val="11"/>
          <w:szCs w:val="11"/>
          <w:color w:val="auto"/>
        </w:rPr>
        <w:t xml:space="preserve"> floor Factory 1,354.14m</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1"/>
          <w:szCs w:val="11"/>
          <w:color w:val="auto"/>
        </w:rPr>
        <w:t xml:space="preserve"> Rooftop 115.2m</w:t>
      </w:r>
      <w:r>
        <w:rPr>
          <w:rFonts w:ascii="Times New Roman" w:cs="Times New Roman" w:eastAsia="Times New Roman" w:hAnsi="Times New Roman"/>
          <w:sz w:val="16"/>
          <w:szCs w:val="16"/>
          <w:color w:val="auto"/>
          <w:vertAlign w:val="superscript"/>
        </w:rPr>
        <w:t>2</w:t>
      </w:r>
    </w:p>
    <w:p>
      <w:pPr>
        <w:spacing w:after="0" w:line="66"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No[1760-2007-001926]</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 3-dong</w:t>
      </w:r>
    </w:p>
    <w:p>
      <w:pPr>
        <w:spacing w:after="0" w:line="1" w:lineRule="exact"/>
        <w:rPr>
          <w:rFonts w:ascii="Times New Roman" w:cs="Times New Roman" w:eastAsia="Times New Roman" w:hAnsi="Times New Roman"/>
          <w:sz w:val="12"/>
          <w:szCs w:val="12"/>
          <w:color w:val="auto"/>
        </w:rPr>
      </w:pPr>
    </w:p>
    <w:p>
      <w:pPr>
        <w:ind w:left="1340" w:right="5059" w:hanging="220"/>
        <w:spacing w:after="0" w:line="20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Reinforced concrete 2-story factory building with slab roof 1</w:t>
      </w:r>
      <w:r>
        <w:rPr>
          <w:rFonts w:ascii="Times New Roman" w:cs="Times New Roman" w:eastAsia="Times New Roman" w:hAnsi="Times New Roman"/>
          <w:sz w:val="17"/>
          <w:szCs w:val="17"/>
          <w:color w:val="auto"/>
          <w:vertAlign w:val="superscript"/>
        </w:rPr>
        <w:t>st</w:t>
      </w:r>
      <w:r>
        <w:rPr>
          <w:rFonts w:ascii="Times New Roman" w:cs="Times New Roman" w:eastAsia="Times New Roman" w:hAnsi="Times New Roman"/>
          <w:sz w:val="12"/>
          <w:szCs w:val="12"/>
          <w:color w:val="auto"/>
        </w:rPr>
        <w:t xml:space="preserve"> floor Factory and office 4,927.6m</w:t>
      </w:r>
      <w:r>
        <w:rPr>
          <w:rFonts w:ascii="Times New Roman" w:cs="Times New Roman" w:eastAsia="Times New Roman" w:hAnsi="Times New Roman"/>
          <w:sz w:val="17"/>
          <w:szCs w:val="17"/>
          <w:color w:val="auto"/>
          <w:vertAlign w:val="superscript"/>
        </w:rPr>
        <w:t>2</w:t>
      </w:r>
    </w:p>
    <w:p>
      <w:pPr>
        <w:ind w:left="1340"/>
        <w:spacing w:after="0" w:line="18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2</w:t>
      </w:r>
      <w:r>
        <w:rPr>
          <w:rFonts w:ascii="Times New Roman" w:cs="Times New Roman" w:eastAsia="Times New Roman" w:hAnsi="Times New Roman"/>
          <w:sz w:val="16"/>
          <w:szCs w:val="16"/>
          <w:color w:val="auto"/>
          <w:vertAlign w:val="superscript"/>
        </w:rPr>
        <w:t>nd</w:t>
      </w:r>
      <w:r>
        <w:rPr>
          <w:rFonts w:ascii="Times New Roman" w:cs="Times New Roman" w:eastAsia="Times New Roman" w:hAnsi="Times New Roman"/>
          <w:sz w:val="11"/>
          <w:szCs w:val="11"/>
          <w:color w:val="auto"/>
        </w:rPr>
        <w:t xml:space="preserve"> floor Factory and office 599.04m</w:t>
      </w:r>
      <w:r>
        <w:rPr>
          <w:rFonts w:ascii="Times New Roman" w:cs="Times New Roman" w:eastAsia="Times New Roman" w:hAnsi="Times New Roman"/>
          <w:sz w:val="16"/>
          <w:szCs w:val="16"/>
          <w:color w:val="auto"/>
          <w:vertAlign w:val="superscript"/>
        </w:rPr>
        <w:t>2</w:t>
      </w:r>
    </w:p>
    <w:p>
      <w:pPr>
        <w:ind w:left="1340"/>
        <w:spacing w:after="0" w:line="18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1"/>
          <w:szCs w:val="11"/>
          <w:color w:val="auto"/>
        </w:rPr>
        <w:t xml:space="preserve"> floor Factory 438.96m</w:t>
      </w:r>
      <w:r>
        <w:rPr>
          <w:rFonts w:ascii="Times New Roman" w:cs="Times New Roman" w:eastAsia="Times New Roman" w:hAnsi="Times New Roman"/>
          <w:sz w:val="16"/>
          <w:szCs w:val="16"/>
          <w:color w:val="auto"/>
          <w:vertAlign w:val="superscript"/>
        </w:rPr>
        <w:t>2</w:t>
      </w:r>
    </w:p>
    <w:p>
      <w:pPr>
        <w:ind w:left="1340" w:right="6339"/>
        <w:spacing w:after="0" w:line="242"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2</w:t>
      </w:r>
      <w:r>
        <w:rPr>
          <w:rFonts w:ascii="Times New Roman" w:cs="Times New Roman" w:eastAsia="Times New Roman" w:hAnsi="Times New Roman"/>
          <w:sz w:val="16"/>
          <w:szCs w:val="16"/>
          <w:color w:val="auto"/>
          <w:vertAlign w:val="superscript"/>
        </w:rPr>
        <w:t>nd</w:t>
      </w:r>
      <w:r>
        <w:rPr>
          <w:rFonts w:ascii="Times New Roman" w:cs="Times New Roman" w:eastAsia="Times New Roman" w:hAnsi="Times New Roman"/>
          <w:sz w:val="11"/>
          <w:szCs w:val="11"/>
          <w:color w:val="auto"/>
        </w:rPr>
        <w:t xml:space="preserve"> floor Factory 3,473.2m</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1"/>
          <w:szCs w:val="11"/>
          <w:color w:val="auto"/>
        </w:rPr>
        <w:t xml:space="preserve"> Rooftop 270.76m</w:t>
      </w:r>
      <w:r>
        <w:rPr>
          <w:rFonts w:ascii="Times New Roman" w:cs="Times New Roman" w:eastAsia="Times New Roman" w:hAnsi="Times New Roman"/>
          <w:sz w:val="16"/>
          <w:szCs w:val="16"/>
          <w:color w:val="auto"/>
          <w:vertAlign w:val="superscript"/>
        </w:rPr>
        <w:t>2</w:t>
      </w:r>
    </w:p>
    <w:p>
      <w:pPr>
        <w:spacing w:after="0" w:line="66"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No[1760-1996-091031]</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w:t>
      </w:r>
    </w:p>
    <w:p>
      <w:pPr>
        <w:sectPr>
          <w:pgSz w:w="11900" w:h="16838" w:orient="portrait"/>
          <w:cols w:equalWidth="0" w:num="1">
            <w:col w:w="9019"/>
          </w:cols>
          <w:pgMar w:left="1440" w:top="226" w:right="1440" w:bottom="1440" w:gutter="0" w:footer="0" w:header="0"/>
        </w:sectPr>
      </w:pPr>
    </w:p>
    <w:bookmarkStart w:id="80" w:name="page81"/>
    <w:bookmarkEnd w:id="80"/>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4-dong</w:t>
      </w:r>
    </w:p>
    <w:p>
      <w:pPr>
        <w:spacing w:after="0" w:line="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[Road Name Address] 375, Suchul-daero, Gumi-si, Gyeongsangbuk-do</w:t>
      </w:r>
    </w:p>
    <w:p>
      <w:pPr>
        <w:spacing w:after="0" w:line="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Reinforced concrete 5-story factory building with slab roof</w:t>
      </w:r>
    </w:p>
    <w:p>
      <w:pPr>
        <w:ind w:left="1340"/>
        <w:spacing w:after="0" w:line="185" w:lineRule="auto"/>
        <w:rPr>
          <w:sz w:val="20"/>
          <w:szCs w:val="20"/>
          <w:color w:val="auto"/>
        </w:rPr>
      </w:pPr>
      <w:r>
        <w:rPr>
          <w:rFonts w:ascii="Times New Roman" w:cs="Times New Roman" w:eastAsia="Times New Roman" w:hAnsi="Times New Roman"/>
          <w:sz w:val="12"/>
          <w:szCs w:val="12"/>
          <w:color w:val="auto"/>
        </w:rPr>
        <w:t>Basement Dormitory 1,488.34m</w:t>
      </w:r>
      <w:r>
        <w:rPr>
          <w:rFonts w:ascii="Times New Roman" w:cs="Times New Roman" w:eastAsia="Times New Roman" w:hAnsi="Times New Roman"/>
          <w:sz w:val="17"/>
          <w:szCs w:val="17"/>
          <w:color w:val="auto"/>
          <w:vertAlign w:val="superscript"/>
        </w:rPr>
        <w:t>2</w:t>
      </w:r>
    </w:p>
    <w:p>
      <w:pPr>
        <w:ind w:left="1340"/>
        <w:spacing w:after="0" w:line="188" w:lineRule="auto"/>
        <w:rPr>
          <w:sz w:val="20"/>
          <w:szCs w:val="20"/>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1"/>
          <w:szCs w:val="11"/>
          <w:color w:val="auto"/>
        </w:rPr>
        <w:t xml:space="preserve"> floor Dormitory 1435.55m</w:t>
      </w:r>
      <w:r>
        <w:rPr>
          <w:rFonts w:ascii="Times New Roman" w:cs="Times New Roman" w:eastAsia="Times New Roman" w:hAnsi="Times New Roman"/>
          <w:sz w:val="16"/>
          <w:szCs w:val="16"/>
          <w:color w:val="auto"/>
          <w:vertAlign w:val="superscript"/>
        </w:rPr>
        <w:t>2</w:t>
      </w:r>
    </w:p>
    <w:p>
      <w:pPr>
        <w:ind w:left="1340"/>
        <w:spacing w:after="0" w:line="187" w:lineRule="auto"/>
        <w:rPr>
          <w:sz w:val="20"/>
          <w:szCs w:val="20"/>
          <w:color w:val="auto"/>
        </w:rPr>
      </w:pPr>
      <w:r>
        <w:rPr>
          <w:rFonts w:ascii="Times New Roman" w:cs="Times New Roman" w:eastAsia="Times New Roman" w:hAnsi="Times New Roman"/>
          <w:sz w:val="11"/>
          <w:szCs w:val="11"/>
          <w:color w:val="auto"/>
        </w:rPr>
        <w:t>2</w:t>
      </w:r>
      <w:r>
        <w:rPr>
          <w:rFonts w:ascii="Times New Roman" w:cs="Times New Roman" w:eastAsia="Times New Roman" w:hAnsi="Times New Roman"/>
          <w:sz w:val="16"/>
          <w:szCs w:val="16"/>
          <w:color w:val="auto"/>
          <w:vertAlign w:val="superscript"/>
        </w:rPr>
        <w:t>nd</w:t>
      </w:r>
      <w:r>
        <w:rPr>
          <w:rFonts w:ascii="Times New Roman" w:cs="Times New Roman" w:eastAsia="Times New Roman" w:hAnsi="Times New Roman"/>
          <w:sz w:val="11"/>
          <w:szCs w:val="11"/>
          <w:color w:val="auto"/>
        </w:rPr>
        <w:t xml:space="preserve"> floor Dormitory 1,004.495m</w:t>
      </w:r>
      <w:r>
        <w:rPr>
          <w:rFonts w:ascii="Times New Roman" w:cs="Times New Roman" w:eastAsia="Times New Roman" w:hAnsi="Times New Roman"/>
          <w:sz w:val="16"/>
          <w:szCs w:val="16"/>
          <w:color w:val="auto"/>
          <w:vertAlign w:val="superscript"/>
        </w:rPr>
        <w:t>2</w:t>
      </w:r>
    </w:p>
    <w:p>
      <w:pPr>
        <w:ind w:left="1340"/>
        <w:spacing w:after="0" w:line="189" w:lineRule="auto"/>
        <w:rPr>
          <w:sz w:val="20"/>
          <w:szCs w:val="20"/>
          <w:color w:val="auto"/>
        </w:rPr>
      </w:pPr>
      <w:r>
        <w:rPr>
          <w:rFonts w:ascii="Times New Roman" w:cs="Times New Roman" w:eastAsia="Times New Roman" w:hAnsi="Times New Roman"/>
          <w:sz w:val="11"/>
          <w:szCs w:val="11"/>
          <w:color w:val="auto"/>
        </w:rPr>
        <w:t>3</w:t>
      </w:r>
      <w:r>
        <w:rPr>
          <w:rFonts w:ascii="Times New Roman" w:cs="Times New Roman" w:eastAsia="Times New Roman" w:hAnsi="Times New Roman"/>
          <w:sz w:val="16"/>
          <w:szCs w:val="16"/>
          <w:color w:val="auto"/>
          <w:vertAlign w:val="superscript"/>
        </w:rPr>
        <w:t>rd</w:t>
      </w:r>
      <w:r>
        <w:rPr>
          <w:rFonts w:ascii="Times New Roman" w:cs="Times New Roman" w:eastAsia="Times New Roman" w:hAnsi="Times New Roman"/>
          <w:sz w:val="11"/>
          <w:szCs w:val="11"/>
          <w:color w:val="auto"/>
        </w:rPr>
        <w:t xml:space="preserve"> floor Dormitory 1,004.495m</w:t>
      </w:r>
      <w:r>
        <w:rPr>
          <w:rFonts w:ascii="Times New Roman" w:cs="Times New Roman" w:eastAsia="Times New Roman" w:hAnsi="Times New Roman"/>
          <w:sz w:val="16"/>
          <w:szCs w:val="16"/>
          <w:color w:val="auto"/>
          <w:vertAlign w:val="superscript"/>
        </w:rPr>
        <w:t>2</w:t>
      </w:r>
    </w:p>
    <w:p>
      <w:pPr>
        <w:ind w:left="1340"/>
        <w:spacing w:after="0" w:line="187" w:lineRule="auto"/>
        <w:rPr>
          <w:sz w:val="20"/>
          <w:szCs w:val="20"/>
          <w:color w:val="auto"/>
        </w:rPr>
      </w:pPr>
      <w:r>
        <w:rPr>
          <w:rFonts w:ascii="Times New Roman" w:cs="Times New Roman" w:eastAsia="Times New Roman" w:hAnsi="Times New Roman"/>
          <w:sz w:val="11"/>
          <w:szCs w:val="11"/>
          <w:color w:val="auto"/>
        </w:rPr>
        <w:t>Rooftop 26.22m</w:t>
      </w:r>
      <w:r>
        <w:rPr>
          <w:rFonts w:ascii="Times New Roman" w:cs="Times New Roman" w:eastAsia="Times New Roman" w:hAnsi="Times New Roman"/>
          <w:sz w:val="16"/>
          <w:szCs w:val="16"/>
          <w:color w:val="auto"/>
          <w:vertAlign w:val="superscript"/>
        </w:rPr>
        <w:t>2</w:t>
      </w:r>
    </w:p>
    <w:p>
      <w:pPr>
        <w:ind w:left="1340"/>
        <w:spacing w:after="0" w:line="188" w:lineRule="auto"/>
        <w:rPr>
          <w:sz w:val="20"/>
          <w:szCs w:val="20"/>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1"/>
          <w:szCs w:val="11"/>
          <w:color w:val="auto"/>
        </w:rPr>
        <w:t xml:space="preserve"> floor Dormitory 410.4m</w:t>
      </w:r>
      <w:r>
        <w:rPr>
          <w:rFonts w:ascii="Times New Roman" w:cs="Times New Roman" w:eastAsia="Times New Roman" w:hAnsi="Times New Roman"/>
          <w:sz w:val="16"/>
          <w:szCs w:val="16"/>
          <w:color w:val="auto"/>
          <w:vertAlign w:val="superscript"/>
        </w:rPr>
        <w:t>2</w:t>
      </w:r>
    </w:p>
    <w:p>
      <w:pPr>
        <w:ind w:left="1340"/>
        <w:spacing w:after="0" w:line="188" w:lineRule="auto"/>
        <w:rPr>
          <w:sz w:val="20"/>
          <w:szCs w:val="20"/>
          <w:color w:val="auto"/>
        </w:rPr>
      </w:pPr>
      <w:r>
        <w:rPr>
          <w:rFonts w:ascii="Times New Roman" w:cs="Times New Roman" w:eastAsia="Times New Roman" w:hAnsi="Times New Roman"/>
          <w:sz w:val="11"/>
          <w:szCs w:val="11"/>
          <w:color w:val="auto"/>
        </w:rPr>
        <w:t>2</w:t>
      </w:r>
      <w:r>
        <w:rPr>
          <w:rFonts w:ascii="Times New Roman" w:cs="Times New Roman" w:eastAsia="Times New Roman" w:hAnsi="Times New Roman"/>
          <w:sz w:val="16"/>
          <w:szCs w:val="16"/>
          <w:color w:val="auto"/>
          <w:vertAlign w:val="superscript"/>
        </w:rPr>
        <w:t>nd</w:t>
      </w:r>
      <w:r>
        <w:rPr>
          <w:rFonts w:ascii="Times New Roman" w:cs="Times New Roman" w:eastAsia="Times New Roman" w:hAnsi="Times New Roman"/>
          <w:sz w:val="11"/>
          <w:szCs w:val="11"/>
          <w:color w:val="auto"/>
        </w:rPr>
        <w:t xml:space="preserve"> floor Dormitory 592.8m</w:t>
      </w:r>
      <w:r>
        <w:rPr>
          <w:rFonts w:ascii="Times New Roman" w:cs="Times New Roman" w:eastAsia="Times New Roman" w:hAnsi="Times New Roman"/>
          <w:sz w:val="16"/>
          <w:szCs w:val="16"/>
          <w:color w:val="auto"/>
          <w:vertAlign w:val="superscript"/>
        </w:rPr>
        <w:t>2</w:t>
      </w:r>
    </w:p>
    <w:p>
      <w:pPr>
        <w:ind w:left="1340"/>
        <w:spacing w:after="0" w:line="188" w:lineRule="auto"/>
        <w:rPr>
          <w:sz w:val="20"/>
          <w:szCs w:val="20"/>
          <w:color w:val="auto"/>
        </w:rPr>
      </w:pPr>
      <w:r>
        <w:rPr>
          <w:rFonts w:ascii="Times New Roman" w:cs="Times New Roman" w:eastAsia="Times New Roman" w:hAnsi="Times New Roman"/>
          <w:sz w:val="11"/>
          <w:szCs w:val="11"/>
          <w:color w:val="auto"/>
        </w:rPr>
        <w:t>3</w:t>
      </w:r>
      <w:r>
        <w:rPr>
          <w:rFonts w:ascii="Times New Roman" w:cs="Times New Roman" w:eastAsia="Times New Roman" w:hAnsi="Times New Roman"/>
          <w:sz w:val="16"/>
          <w:szCs w:val="16"/>
          <w:color w:val="auto"/>
          <w:vertAlign w:val="superscript"/>
        </w:rPr>
        <w:t>rd</w:t>
      </w:r>
      <w:r>
        <w:rPr>
          <w:rFonts w:ascii="Times New Roman" w:cs="Times New Roman" w:eastAsia="Times New Roman" w:hAnsi="Times New Roman"/>
          <w:sz w:val="11"/>
          <w:szCs w:val="11"/>
          <w:color w:val="auto"/>
        </w:rPr>
        <w:t xml:space="preserve"> floor Dormitory 619.02m</w:t>
      </w:r>
      <w:r>
        <w:rPr>
          <w:rFonts w:ascii="Times New Roman" w:cs="Times New Roman" w:eastAsia="Times New Roman" w:hAnsi="Times New Roman"/>
          <w:sz w:val="16"/>
          <w:szCs w:val="16"/>
          <w:color w:val="auto"/>
          <w:vertAlign w:val="superscript"/>
        </w:rPr>
        <w:t>2</w:t>
      </w:r>
    </w:p>
    <w:p>
      <w:pPr>
        <w:ind w:left="1340"/>
        <w:spacing w:after="0" w:line="187" w:lineRule="auto"/>
        <w:rPr>
          <w:sz w:val="20"/>
          <w:szCs w:val="20"/>
          <w:color w:val="auto"/>
        </w:rPr>
      </w:pPr>
      <w:r>
        <w:rPr>
          <w:rFonts w:ascii="Times New Roman" w:cs="Times New Roman" w:eastAsia="Times New Roman" w:hAnsi="Times New Roman"/>
          <w:sz w:val="11"/>
          <w:szCs w:val="11"/>
          <w:color w:val="auto"/>
        </w:rPr>
        <w:t>4</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1"/>
          <w:szCs w:val="11"/>
          <w:color w:val="auto"/>
        </w:rPr>
        <w:t xml:space="preserve"> floor Dormitory 619.02m</w:t>
      </w:r>
      <w:r>
        <w:rPr>
          <w:rFonts w:ascii="Times New Roman" w:cs="Times New Roman" w:eastAsia="Times New Roman" w:hAnsi="Times New Roman"/>
          <w:sz w:val="16"/>
          <w:szCs w:val="16"/>
          <w:color w:val="auto"/>
          <w:vertAlign w:val="superscript"/>
        </w:rPr>
        <w:t>2</w:t>
      </w:r>
    </w:p>
    <w:p>
      <w:pPr>
        <w:ind w:left="1340"/>
        <w:spacing w:after="0" w:line="189" w:lineRule="auto"/>
        <w:rPr>
          <w:sz w:val="20"/>
          <w:szCs w:val="20"/>
          <w:color w:val="auto"/>
        </w:rPr>
      </w:pPr>
      <w:r>
        <w:rPr>
          <w:rFonts w:ascii="Times New Roman" w:cs="Times New Roman" w:eastAsia="Times New Roman" w:hAnsi="Times New Roman"/>
          <w:sz w:val="11"/>
          <w:szCs w:val="11"/>
          <w:color w:val="auto"/>
        </w:rPr>
        <w:t>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1"/>
          <w:szCs w:val="11"/>
          <w:color w:val="auto"/>
        </w:rPr>
        <w:t xml:space="preserve"> floor Dormitory 619.02m</w:t>
      </w:r>
      <w:r>
        <w:rPr>
          <w:rFonts w:ascii="Times New Roman" w:cs="Times New Roman" w:eastAsia="Times New Roman" w:hAnsi="Times New Roman"/>
          <w:sz w:val="16"/>
          <w:szCs w:val="16"/>
          <w:color w:val="auto"/>
          <w:vertAlign w:val="superscript"/>
        </w:rPr>
        <w:t>2</w:t>
      </w:r>
    </w:p>
    <w:p>
      <w:pPr>
        <w:ind w:left="1340"/>
        <w:spacing w:after="0" w:line="187" w:lineRule="auto"/>
        <w:rPr>
          <w:sz w:val="20"/>
          <w:szCs w:val="20"/>
          <w:color w:val="auto"/>
        </w:rPr>
      </w:pPr>
      <w:r>
        <w:rPr>
          <w:rFonts w:ascii="Times New Roman" w:cs="Times New Roman" w:eastAsia="Times New Roman" w:hAnsi="Times New Roman"/>
          <w:sz w:val="11"/>
          <w:szCs w:val="11"/>
          <w:color w:val="auto"/>
        </w:rPr>
        <w:t>Rooftop 78.66m</w:t>
      </w:r>
      <w:r>
        <w:rPr>
          <w:rFonts w:ascii="Times New Roman" w:cs="Times New Roman" w:eastAsia="Times New Roman" w:hAnsi="Times New Roman"/>
          <w:sz w:val="16"/>
          <w:szCs w:val="16"/>
          <w:color w:val="auto"/>
          <w:vertAlign w:val="superscript"/>
        </w:rPr>
        <w:t>2</w:t>
      </w:r>
    </w:p>
    <w:p>
      <w:pPr>
        <w:ind w:left="1340"/>
        <w:spacing w:after="0" w:line="188" w:lineRule="auto"/>
        <w:rPr>
          <w:sz w:val="20"/>
          <w:szCs w:val="20"/>
          <w:color w:val="auto"/>
        </w:rPr>
      </w:pPr>
      <w:r>
        <w:rPr>
          <w:rFonts w:ascii="Times New Roman" w:cs="Times New Roman" w:eastAsia="Times New Roman" w:hAnsi="Times New Roman"/>
          <w:sz w:val="11"/>
          <w:szCs w:val="11"/>
          <w:color w:val="auto"/>
        </w:rPr>
        <w:t>2</w:t>
      </w:r>
      <w:r>
        <w:rPr>
          <w:rFonts w:ascii="Times New Roman" w:cs="Times New Roman" w:eastAsia="Times New Roman" w:hAnsi="Times New Roman"/>
          <w:sz w:val="16"/>
          <w:szCs w:val="16"/>
          <w:color w:val="auto"/>
          <w:vertAlign w:val="superscript"/>
        </w:rPr>
        <w:t>nd</w:t>
      </w:r>
      <w:r>
        <w:rPr>
          <w:rFonts w:ascii="Times New Roman" w:cs="Times New Roman" w:eastAsia="Times New Roman" w:hAnsi="Times New Roman"/>
          <w:sz w:val="11"/>
          <w:szCs w:val="11"/>
          <w:color w:val="auto"/>
        </w:rPr>
        <w:t xml:space="preserve"> floor Dormitory 26.22m</w:t>
      </w:r>
      <w:r>
        <w:rPr>
          <w:rFonts w:ascii="Times New Roman" w:cs="Times New Roman" w:eastAsia="Times New Roman" w:hAnsi="Times New Roman"/>
          <w:sz w:val="16"/>
          <w:szCs w:val="16"/>
          <w:color w:val="auto"/>
          <w:vertAlign w:val="superscript"/>
        </w:rPr>
        <w:t>2</w:t>
      </w:r>
    </w:p>
    <w:p>
      <w:pPr>
        <w:ind w:left="1340"/>
        <w:spacing w:after="0" w:line="188" w:lineRule="auto"/>
        <w:rPr>
          <w:sz w:val="20"/>
          <w:szCs w:val="20"/>
          <w:color w:val="auto"/>
        </w:rPr>
      </w:pPr>
      <w:r>
        <w:rPr>
          <w:rFonts w:ascii="Times New Roman" w:cs="Times New Roman" w:eastAsia="Times New Roman" w:hAnsi="Times New Roman"/>
          <w:sz w:val="11"/>
          <w:szCs w:val="11"/>
          <w:color w:val="auto"/>
        </w:rPr>
        <w:t>4</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1"/>
          <w:szCs w:val="11"/>
          <w:color w:val="auto"/>
        </w:rPr>
        <w:t xml:space="preserve"> floor Dormitory 978.275m</w:t>
      </w:r>
      <w:r>
        <w:rPr>
          <w:rFonts w:ascii="Times New Roman" w:cs="Times New Roman" w:eastAsia="Times New Roman" w:hAnsi="Times New Roman"/>
          <w:sz w:val="16"/>
          <w:szCs w:val="16"/>
          <w:color w:val="auto"/>
          <w:vertAlign w:val="superscript"/>
        </w:rPr>
        <w:t>2</w:t>
      </w:r>
    </w:p>
    <w:p>
      <w:pPr>
        <w:ind w:left="1340"/>
        <w:spacing w:after="0" w:line="188" w:lineRule="auto"/>
        <w:rPr>
          <w:sz w:val="20"/>
          <w:szCs w:val="20"/>
          <w:color w:val="auto"/>
        </w:rPr>
      </w:pPr>
      <w:r>
        <w:rPr>
          <w:rFonts w:ascii="Times New Roman" w:cs="Times New Roman" w:eastAsia="Times New Roman" w:hAnsi="Times New Roman"/>
          <w:sz w:val="11"/>
          <w:szCs w:val="11"/>
          <w:color w:val="auto"/>
        </w:rPr>
        <w:t>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1"/>
          <w:szCs w:val="11"/>
          <w:color w:val="auto"/>
        </w:rPr>
        <w:t xml:space="preserve"> floor Dormitory 1,004.495m</w:t>
      </w:r>
      <w:r>
        <w:rPr>
          <w:rFonts w:ascii="Times New Roman" w:cs="Times New Roman" w:eastAsia="Times New Roman" w:hAnsi="Times New Roman"/>
          <w:sz w:val="16"/>
          <w:szCs w:val="16"/>
          <w:color w:val="auto"/>
          <w:vertAlign w:val="superscript"/>
        </w:rPr>
        <w:t>2</w:t>
      </w:r>
    </w:p>
    <w:p>
      <w:pPr>
        <w:ind w:left="1340"/>
        <w:spacing w:after="0"/>
        <w:rPr>
          <w:sz w:val="20"/>
          <w:szCs w:val="20"/>
          <w:color w:val="auto"/>
        </w:rPr>
      </w:pPr>
      <w:r>
        <w:rPr>
          <w:rFonts w:ascii="Times New Roman" w:cs="Times New Roman" w:eastAsia="Times New Roman" w:hAnsi="Times New Roman"/>
          <w:sz w:val="12"/>
          <w:szCs w:val="12"/>
          <w:color w:val="auto"/>
        </w:rPr>
        <w:t>Rooftop 93.48m</w:t>
      </w:r>
      <w:r>
        <w:rPr>
          <w:rFonts w:ascii="Times New Roman" w:cs="Times New Roman" w:eastAsia="Times New Roman" w:hAnsi="Times New Roman"/>
          <w:sz w:val="17"/>
          <w:szCs w:val="17"/>
          <w:color w:val="auto"/>
          <w:vertAlign w:val="superscript"/>
        </w:rPr>
        <w:t>2</w:t>
      </w:r>
    </w:p>
    <w:p>
      <w:pPr>
        <w:spacing w:after="0" w:line="99" w:lineRule="exact"/>
        <w:rPr>
          <w:sz w:val="20"/>
          <w:szCs w:val="20"/>
          <w:color w:val="auto"/>
        </w:rPr>
      </w:pPr>
    </w:p>
    <w:p>
      <w:pPr>
        <w:ind w:left="1120" w:hanging="288"/>
        <w:spacing w:after="0"/>
        <w:tabs>
          <w:tab w:leader="none" w:pos="11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No[1760-2004-005345]</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 5-dong</w:t>
      </w:r>
    </w:p>
    <w:p>
      <w:pPr>
        <w:spacing w:after="0" w:line="1" w:lineRule="exact"/>
        <w:rPr>
          <w:rFonts w:ascii="Times New Roman" w:cs="Times New Roman" w:eastAsia="Times New Roman" w:hAnsi="Times New Roman"/>
          <w:sz w:val="12"/>
          <w:szCs w:val="12"/>
          <w:color w:val="auto"/>
        </w:rPr>
      </w:pPr>
    </w:p>
    <w:p>
      <w:pPr>
        <w:ind w:left="1120" w:right="445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[Road Name Address] 375, Suchul-daero, Gumi-si, Gyeongsangbuk-do Reinforced concrete 2-story factory building with slab roof</w:t>
      </w:r>
    </w:p>
    <w:p>
      <w:pPr>
        <w:ind w:left="1340"/>
        <w:spacing w:after="0" w:line="18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1"/>
          <w:szCs w:val="11"/>
          <w:color w:val="auto"/>
        </w:rPr>
        <w:t xml:space="preserve"> floor Machine room 1,022.44m</w:t>
      </w:r>
      <w:r>
        <w:rPr>
          <w:rFonts w:ascii="Times New Roman" w:cs="Times New Roman" w:eastAsia="Times New Roman" w:hAnsi="Times New Roman"/>
          <w:sz w:val="16"/>
          <w:szCs w:val="16"/>
          <w:color w:val="auto"/>
          <w:vertAlign w:val="superscript"/>
        </w:rPr>
        <w:t>2</w:t>
      </w:r>
    </w:p>
    <w:p>
      <w:pPr>
        <w:ind w:left="1340"/>
        <w:spacing w:after="0" w:line="18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1"/>
          <w:szCs w:val="11"/>
          <w:color w:val="auto"/>
        </w:rPr>
        <w:t xml:space="preserve"> floor Machine room 1,075.48m</w:t>
      </w:r>
      <w:r>
        <w:rPr>
          <w:rFonts w:ascii="Times New Roman" w:cs="Times New Roman" w:eastAsia="Times New Roman" w:hAnsi="Times New Roman"/>
          <w:sz w:val="16"/>
          <w:szCs w:val="16"/>
          <w:color w:val="auto"/>
          <w:vertAlign w:val="superscript"/>
        </w:rPr>
        <w:t>2</w:t>
      </w:r>
    </w:p>
    <w:p>
      <w:pPr>
        <w:ind w:left="1340"/>
        <w:spacing w:after="0" w:line="18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2</w:t>
      </w:r>
      <w:r>
        <w:rPr>
          <w:rFonts w:ascii="Times New Roman" w:cs="Times New Roman" w:eastAsia="Times New Roman" w:hAnsi="Times New Roman"/>
          <w:sz w:val="16"/>
          <w:szCs w:val="16"/>
          <w:color w:val="auto"/>
          <w:vertAlign w:val="superscript"/>
        </w:rPr>
        <w:t>nd</w:t>
      </w:r>
      <w:r>
        <w:rPr>
          <w:rFonts w:ascii="Times New Roman" w:cs="Times New Roman" w:eastAsia="Times New Roman" w:hAnsi="Times New Roman"/>
          <w:sz w:val="11"/>
          <w:szCs w:val="11"/>
          <w:color w:val="auto"/>
        </w:rPr>
        <w:t xml:space="preserve"> floor Machine room 402.14m</w:t>
      </w:r>
      <w:r>
        <w:rPr>
          <w:rFonts w:ascii="Times New Roman" w:cs="Times New Roman" w:eastAsia="Times New Roman" w:hAnsi="Times New Roman"/>
          <w:sz w:val="16"/>
          <w:szCs w:val="16"/>
          <w:color w:val="auto"/>
          <w:vertAlign w:val="superscript"/>
        </w:rPr>
        <w:t>2</w:t>
      </w:r>
    </w:p>
    <w:p>
      <w:pPr>
        <w:ind w:left="1340"/>
        <w:spacing w:after="0" w:line="18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1"/>
          <w:szCs w:val="11"/>
          <w:color w:val="auto"/>
        </w:rPr>
        <w:t xml:space="preserve"> floor Boiler room 1,075.92m</w:t>
      </w:r>
      <w:r>
        <w:rPr>
          <w:rFonts w:ascii="Times New Roman" w:cs="Times New Roman" w:eastAsia="Times New Roman" w:hAnsi="Times New Roman"/>
          <w:sz w:val="16"/>
          <w:szCs w:val="16"/>
          <w:color w:val="auto"/>
          <w:vertAlign w:val="superscript"/>
        </w:rPr>
        <w:t>2</w:t>
      </w:r>
    </w:p>
    <w:p>
      <w:pPr>
        <w:ind w:left="13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7"/>
          <w:szCs w:val="17"/>
          <w:color w:val="auto"/>
          <w:vertAlign w:val="superscript"/>
        </w:rPr>
        <w:t>nd</w:t>
      </w:r>
      <w:r>
        <w:rPr>
          <w:rFonts w:ascii="Times New Roman" w:cs="Times New Roman" w:eastAsia="Times New Roman" w:hAnsi="Times New Roman"/>
          <w:sz w:val="12"/>
          <w:szCs w:val="12"/>
          <w:color w:val="auto"/>
        </w:rPr>
        <w:t xml:space="preserve"> floor Boiler room 374m</w:t>
      </w:r>
      <w:r>
        <w:rPr>
          <w:rFonts w:ascii="Times New Roman" w:cs="Times New Roman" w:eastAsia="Times New Roman" w:hAnsi="Times New Roman"/>
          <w:sz w:val="17"/>
          <w:szCs w:val="17"/>
          <w:color w:val="auto"/>
          <w:vertAlign w:val="superscript"/>
        </w:rPr>
        <w:t>2</w:t>
      </w:r>
    </w:p>
    <w:p>
      <w:pPr>
        <w:spacing w:after="0" w:line="98"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No[1760-1996-091034]</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 8-dong</w:t>
      </w:r>
    </w:p>
    <w:p>
      <w:pPr>
        <w:spacing w:after="0" w:line="1"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[Road Name Address] 375, Suchul-daero, Gumi-si, Gyeongsangbuk-do</w:t>
      </w:r>
    </w:p>
    <w:p>
      <w:pPr>
        <w:spacing w:after="0" w:line="6" w:lineRule="exact"/>
        <w:rPr>
          <w:rFonts w:ascii="Times New Roman" w:cs="Times New Roman" w:eastAsia="Times New Roman" w:hAnsi="Times New Roman"/>
          <w:sz w:val="12"/>
          <w:szCs w:val="12"/>
          <w:color w:val="auto"/>
        </w:rPr>
      </w:pPr>
    </w:p>
    <w:p>
      <w:pPr>
        <w:ind w:left="1340" w:right="3459" w:hanging="220"/>
        <w:spacing w:after="0" w:line="20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Reinforced concrete single-story factory building with sandwich panel flat slab roof on truss Basement Machine room 73.83m</w:t>
      </w:r>
      <w:r>
        <w:rPr>
          <w:rFonts w:ascii="Times New Roman" w:cs="Times New Roman" w:eastAsia="Times New Roman" w:hAnsi="Times New Roman"/>
          <w:sz w:val="17"/>
          <w:szCs w:val="17"/>
          <w:color w:val="auto"/>
          <w:vertAlign w:val="superscript"/>
        </w:rPr>
        <w:t>2</w:t>
      </w:r>
    </w:p>
    <w:p>
      <w:pPr>
        <w:ind w:left="13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w:t>
      </w:r>
      <w:r>
        <w:rPr>
          <w:rFonts w:ascii="Times New Roman" w:cs="Times New Roman" w:eastAsia="Times New Roman" w:hAnsi="Times New Roman"/>
          <w:sz w:val="17"/>
          <w:szCs w:val="17"/>
          <w:color w:val="auto"/>
          <w:vertAlign w:val="superscript"/>
        </w:rPr>
        <w:t>st</w:t>
      </w:r>
      <w:r>
        <w:rPr>
          <w:rFonts w:ascii="Times New Roman" w:cs="Times New Roman" w:eastAsia="Times New Roman" w:hAnsi="Times New Roman"/>
          <w:sz w:val="12"/>
          <w:szCs w:val="12"/>
          <w:color w:val="auto"/>
        </w:rPr>
        <w:t xml:space="preserve"> floor Control room 111.60m</w:t>
      </w:r>
      <w:r>
        <w:rPr>
          <w:rFonts w:ascii="Times New Roman" w:cs="Times New Roman" w:eastAsia="Times New Roman" w:hAnsi="Times New Roman"/>
          <w:sz w:val="17"/>
          <w:szCs w:val="17"/>
          <w:color w:val="auto"/>
          <w:vertAlign w:val="superscript"/>
        </w:rPr>
        <w:t>2</w:t>
      </w:r>
    </w:p>
    <w:p>
      <w:pPr>
        <w:sectPr>
          <w:pgSz w:w="11900" w:h="16838" w:orient="portrait"/>
          <w:cols w:equalWidth="0" w:num="1">
            <w:col w:w="9019"/>
          </w:cols>
          <w:pgMar w:left="1440" w:top="226" w:right="1440" w:bottom="1440" w:gutter="0" w:footer="0" w:header="0"/>
        </w:sectPr>
      </w:pPr>
    </w:p>
    <w:bookmarkStart w:id="81" w:name="page82"/>
    <w:bookmarkEnd w:id="81"/>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1120" w:hanging="288"/>
        <w:spacing w:after="0"/>
        <w:tabs>
          <w:tab w:leader="none" w:pos="11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No[1760-2004-005344]</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 9-dong</w:t>
      </w:r>
    </w:p>
    <w:p>
      <w:pPr>
        <w:spacing w:after="0" w:line="1" w:lineRule="exact"/>
        <w:rPr>
          <w:rFonts w:ascii="Times New Roman" w:cs="Times New Roman" w:eastAsia="Times New Roman" w:hAnsi="Times New Roman"/>
          <w:sz w:val="12"/>
          <w:szCs w:val="12"/>
          <w:color w:val="auto"/>
        </w:rPr>
      </w:pPr>
    </w:p>
    <w:p>
      <w:pPr>
        <w:ind w:left="1120" w:right="445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[Road Name Address] 375, Suchul-daero, Gumi-si, Gyeongsangbuk-do Reinforced concrete single-story factory building with steel-plate roof</w:t>
      </w:r>
    </w:p>
    <w:p>
      <w:pPr>
        <w:ind w:left="1340"/>
        <w:spacing w:after="0" w:line="18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1"/>
          <w:szCs w:val="11"/>
          <w:color w:val="auto"/>
        </w:rPr>
        <w:t xml:space="preserve"> floor Dangerous goods storage 288m</w:t>
      </w:r>
      <w:r>
        <w:rPr>
          <w:rFonts w:ascii="Times New Roman" w:cs="Times New Roman" w:eastAsia="Times New Roman" w:hAnsi="Times New Roman"/>
          <w:sz w:val="16"/>
          <w:szCs w:val="16"/>
          <w:color w:val="auto"/>
          <w:vertAlign w:val="superscript"/>
        </w:rPr>
        <w:t>2</w:t>
      </w:r>
    </w:p>
    <w:p>
      <w:pPr>
        <w:ind w:left="13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w:t>
      </w:r>
      <w:r>
        <w:rPr>
          <w:rFonts w:ascii="Times New Roman" w:cs="Times New Roman" w:eastAsia="Times New Roman" w:hAnsi="Times New Roman"/>
          <w:sz w:val="17"/>
          <w:szCs w:val="17"/>
          <w:color w:val="auto"/>
          <w:vertAlign w:val="superscript"/>
        </w:rPr>
        <w:t>st</w:t>
      </w:r>
      <w:r>
        <w:rPr>
          <w:rFonts w:ascii="Times New Roman" w:cs="Times New Roman" w:eastAsia="Times New Roman" w:hAnsi="Times New Roman"/>
          <w:sz w:val="12"/>
          <w:szCs w:val="12"/>
          <w:color w:val="auto"/>
        </w:rPr>
        <w:t xml:space="preserve"> floor Dangerous goods storage 377.6m</w:t>
      </w:r>
      <w:r>
        <w:rPr>
          <w:rFonts w:ascii="Times New Roman" w:cs="Times New Roman" w:eastAsia="Times New Roman" w:hAnsi="Times New Roman"/>
          <w:sz w:val="17"/>
          <w:szCs w:val="17"/>
          <w:color w:val="auto"/>
          <w:vertAlign w:val="superscript"/>
        </w:rPr>
        <w:t>2</w:t>
      </w:r>
    </w:p>
    <w:p>
      <w:pPr>
        <w:spacing w:after="0" w:line="98"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No[1760-2004-005349]</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 10-dong</w:t>
      </w:r>
    </w:p>
    <w:p>
      <w:pPr>
        <w:spacing w:after="0" w:line="1"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[Road Name Address] 375, Suchul-daero, Gumi-si, Gyeongsangbuk-do</w:t>
      </w:r>
    </w:p>
    <w:p>
      <w:pPr>
        <w:spacing w:after="0" w:line="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Reinforced concrete single-story factory building with steel-plate roof (Dangerous goods storage) 288m</w:t>
      </w:r>
      <w:r>
        <w:rPr>
          <w:rFonts w:ascii="Times New Roman" w:cs="Times New Roman" w:eastAsia="Times New Roman" w:hAnsi="Times New Roman"/>
          <w:sz w:val="17"/>
          <w:szCs w:val="17"/>
          <w:color w:val="auto"/>
          <w:vertAlign w:val="superscript"/>
        </w:rPr>
        <w:t>2</w:t>
      </w:r>
    </w:p>
    <w:p>
      <w:pPr>
        <w:spacing w:after="0" w:line="99"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No[1760-2009-008404]</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 11-dong</w:t>
      </w:r>
    </w:p>
    <w:p>
      <w:pPr>
        <w:spacing w:after="0" w:line="1"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Reinforced concrete single-story factory building with slate roof (Plating room) 172.8m</w:t>
      </w:r>
      <w:r>
        <w:rPr>
          <w:rFonts w:ascii="Times New Roman" w:cs="Times New Roman" w:eastAsia="Times New Roman" w:hAnsi="Times New Roman"/>
          <w:sz w:val="17"/>
          <w:szCs w:val="17"/>
          <w:color w:val="auto"/>
          <w:vertAlign w:val="superscript"/>
        </w:rPr>
        <w:t>2</w:t>
      </w:r>
    </w:p>
    <w:p>
      <w:pPr>
        <w:spacing w:after="0" w:line="99"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No[1760-2004-005412]</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 12-dong</w:t>
      </w:r>
    </w:p>
    <w:p>
      <w:pPr>
        <w:spacing w:after="0" w:line="1" w:lineRule="exact"/>
        <w:rPr>
          <w:rFonts w:ascii="Times New Roman" w:cs="Times New Roman" w:eastAsia="Times New Roman" w:hAnsi="Times New Roman"/>
          <w:sz w:val="12"/>
          <w:szCs w:val="12"/>
          <w:color w:val="auto"/>
        </w:rPr>
      </w:pPr>
    </w:p>
    <w:p>
      <w:pPr>
        <w:ind w:left="1120" w:right="445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[Road Name Address] 375, Suchul-daero, Gumi-si, Gyeongsangbuk-do Reinforced concrete single-story factory building with slab roof</w:t>
      </w:r>
    </w:p>
    <w:p>
      <w:pPr>
        <w:ind w:left="1340" w:right="573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Basement Industrial water tank 421.5m</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1"/>
          <w:szCs w:val="11"/>
          <w:color w:val="auto"/>
        </w:rPr>
        <w:t xml:space="preserve"> 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1"/>
          <w:szCs w:val="11"/>
          <w:color w:val="auto"/>
        </w:rPr>
        <w:t xml:space="preserve"> floor Industrial water tank 13.5m</w:t>
      </w:r>
      <w:r>
        <w:rPr>
          <w:rFonts w:ascii="Times New Roman" w:cs="Times New Roman" w:eastAsia="Times New Roman" w:hAnsi="Times New Roman"/>
          <w:sz w:val="16"/>
          <w:szCs w:val="16"/>
          <w:color w:val="auto"/>
          <w:vertAlign w:val="superscript"/>
        </w:rPr>
        <w:t>2</w:t>
      </w:r>
    </w:p>
    <w:p>
      <w:pPr>
        <w:spacing w:after="0" w:line="65"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No[1760-2004-005411]</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 13-dong</w:t>
      </w:r>
    </w:p>
    <w:p>
      <w:pPr>
        <w:spacing w:after="0" w:line="1" w:lineRule="exact"/>
        <w:rPr>
          <w:rFonts w:ascii="Times New Roman" w:cs="Times New Roman" w:eastAsia="Times New Roman" w:hAnsi="Times New Roman"/>
          <w:sz w:val="12"/>
          <w:szCs w:val="12"/>
          <w:color w:val="auto"/>
        </w:rPr>
      </w:pPr>
    </w:p>
    <w:p>
      <w:pPr>
        <w:ind w:left="1120" w:right="4339"/>
        <w:spacing w:after="0" w:line="31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[Road Name Address] 375, Suchul-daero, Gumi-si, Gyeongsangbuk-do Basement of reinforced concrete factory building with slab roof 671.77m</w:t>
      </w:r>
      <w:r>
        <w:rPr>
          <w:rFonts w:ascii="Times New Roman" w:cs="Times New Roman" w:eastAsia="Times New Roman" w:hAnsi="Times New Roman"/>
          <w:sz w:val="16"/>
          <w:szCs w:val="16"/>
          <w:color w:val="auto"/>
          <w:vertAlign w:val="superscript"/>
        </w:rPr>
        <w:t>2</w:t>
      </w:r>
    </w:p>
    <w:p>
      <w:pPr>
        <w:sectPr>
          <w:pgSz w:w="11900" w:h="16838" w:orient="portrait"/>
          <w:cols w:equalWidth="0" w:num="1">
            <w:col w:w="9019"/>
          </w:cols>
          <w:pgMar w:left="1440" w:top="226" w:right="1440" w:bottom="1440" w:gutter="0" w:footer="0" w:header="0"/>
        </w:sectPr>
      </w:pPr>
    </w:p>
    <w:bookmarkStart w:id="82" w:name="page83"/>
    <w:bookmarkEnd w:id="82"/>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1120" w:hanging="288"/>
        <w:spacing w:after="0"/>
        <w:tabs>
          <w:tab w:leader="none" w:pos="112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No[1760-2004-005414]</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 14-dong</w:t>
      </w:r>
    </w:p>
    <w:p>
      <w:pPr>
        <w:spacing w:after="0" w:line="1" w:lineRule="exact"/>
        <w:rPr>
          <w:rFonts w:ascii="Times New Roman" w:cs="Times New Roman" w:eastAsia="Times New Roman" w:hAnsi="Times New Roman"/>
          <w:sz w:val="12"/>
          <w:szCs w:val="12"/>
          <w:color w:val="auto"/>
        </w:rPr>
      </w:pPr>
    </w:p>
    <w:p>
      <w:pPr>
        <w:ind w:left="1120" w:right="445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[Road Name Address] 375, Suchul-daero, Gumi-si, Gyeongsangbuk-do Lightweight steel frame 2-story factory building with slab roof</w:t>
      </w:r>
    </w:p>
    <w:p>
      <w:pPr>
        <w:ind w:left="1340"/>
        <w:spacing w:after="0" w:line="18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1"/>
          <w:szCs w:val="11"/>
          <w:color w:val="auto"/>
        </w:rPr>
        <w:t xml:space="preserve"> floor F.A.B storage 83.86m</w:t>
      </w:r>
      <w:r>
        <w:rPr>
          <w:rFonts w:ascii="Times New Roman" w:cs="Times New Roman" w:eastAsia="Times New Roman" w:hAnsi="Times New Roman"/>
          <w:sz w:val="16"/>
          <w:szCs w:val="16"/>
          <w:color w:val="auto"/>
          <w:vertAlign w:val="superscript"/>
        </w:rPr>
        <w:t>2</w:t>
      </w:r>
    </w:p>
    <w:p>
      <w:pPr>
        <w:ind w:left="13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7"/>
          <w:szCs w:val="17"/>
          <w:color w:val="auto"/>
          <w:vertAlign w:val="superscript"/>
        </w:rPr>
        <w:t>nd</w:t>
      </w:r>
      <w:r>
        <w:rPr>
          <w:rFonts w:ascii="Times New Roman" w:cs="Times New Roman" w:eastAsia="Times New Roman" w:hAnsi="Times New Roman"/>
          <w:sz w:val="12"/>
          <w:szCs w:val="12"/>
          <w:color w:val="auto"/>
        </w:rPr>
        <w:t xml:space="preserve"> floor F.A.B storage 83.86m</w:t>
      </w:r>
      <w:r>
        <w:rPr>
          <w:rFonts w:ascii="Times New Roman" w:cs="Times New Roman" w:eastAsia="Times New Roman" w:hAnsi="Times New Roman"/>
          <w:sz w:val="17"/>
          <w:szCs w:val="17"/>
          <w:color w:val="auto"/>
          <w:vertAlign w:val="superscript"/>
        </w:rPr>
        <w:t>2</w:t>
      </w:r>
    </w:p>
    <w:p>
      <w:pPr>
        <w:spacing w:after="0" w:line="98"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No[1760-2007-001929]</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 15-dong</w:t>
      </w:r>
    </w:p>
    <w:p>
      <w:pPr>
        <w:spacing w:after="0" w:line="1" w:lineRule="exact"/>
        <w:rPr>
          <w:rFonts w:ascii="Times New Roman" w:cs="Times New Roman" w:eastAsia="Times New Roman" w:hAnsi="Times New Roman"/>
          <w:sz w:val="12"/>
          <w:szCs w:val="12"/>
          <w:color w:val="auto"/>
        </w:rPr>
      </w:pPr>
    </w:p>
    <w:p>
      <w:pPr>
        <w:ind w:left="1340" w:right="3919" w:hanging="220"/>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Lightweight steel frame single-story factory building with prefabricated panel roof Security office 324m</w:t>
      </w:r>
      <w:r>
        <w:rPr>
          <w:rFonts w:ascii="Times New Roman" w:cs="Times New Roman" w:eastAsia="Times New Roman" w:hAnsi="Times New Roman"/>
          <w:sz w:val="17"/>
          <w:szCs w:val="17"/>
          <w:color w:val="auto"/>
          <w:vertAlign w:val="superscript"/>
        </w:rPr>
        <w:t>2</w:t>
      </w:r>
    </w:p>
    <w:p>
      <w:pPr>
        <w:spacing w:after="0" w:line="41"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No[1760-2004-005350]</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 16-dong</w:t>
      </w:r>
    </w:p>
    <w:p>
      <w:pPr>
        <w:spacing w:after="0" w:line="1" w:lineRule="exact"/>
        <w:rPr>
          <w:rFonts w:ascii="Times New Roman" w:cs="Times New Roman" w:eastAsia="Times New Roman" w:hAnsi="Times New Roman"/>
          <w:sz w:val="12"/>
          <w:szCs w:val="12"/>
          <w:color w:val="auto"/>
        </w:rPr>
      </w:pPr>
    </w:p>
    <w:p>
      <w:pPr>
        <w:ind w:left="1120" w:right="3839"/>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[Road Name Address] 375, Suchul-daero, Gumi-si, Gyeongsangbuk-do Lightweight steel frame single-story factory building with panel roof on truss 270m</w:t>
      </w:r>
      <w:r>
        <w:rPr>
          <w:rFonts w:ascii="Times New Roman" w:cs="Times New Roman" w:eastAsia="Times New Roman" w:hAnsi="Times New Roman"/>
          <w:sz w:val="17"/>
          <w:szCs w:val="17"/>
          <w:color w:val="auto"/>
          <w:vertAlign w:val="superscript"/>
        </w:rPr>
        <w:t>2</w:t>
      </w:r>
    </w:p>
    <w:p>
      <w:pPr>
        <w:spacing w:after="0" w:line="41"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No[1760-1999-007320]</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 17-dong</w:t>
      </w:r>
    </w:p>
    <w:p>
      <w:pPr>
        <w:spacing w:after="0" w:line="1"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[Road Name Address] 375, Suchul-daero, Gumi-si, Gyeongsangbuk-do</w:t>
      </w:r>
    </w:p>
    <w:p>
      <w:pPr>
        <w:spacing w:after="0" w:line="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Reinforced concrete single-story factory building with prefabricated panel roof 288m</w:t>
      </w:r>
      <w:r>
        <w:rPr>
          <w:rFonts w:ascii="Times New Roman" w:cs="Times New Roman" w:eastAsia="Times New Roman" w:hAnsi="Times New Roman"/>
          <w:sz w:val="17"/>
          <w:szCs w:val="17"/>
          <w:color w:val="auto"/>
          <w:vertAlign w:val="superscript"/>
        </w:rPr>
        <w:t>2</w:t>
      </w:r>
    </w:p>
    <w:p>
      <w:pPr>
        <w:spacing w:after="0" w:line="99"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No[1760-2005-008712]</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 18-dong</w:t>
      </w:r>
    </w:p>
    <w:p>
      <w:pPr>
        <w:spacing w:after="0" w:line="1"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Steel-framed single-story factory with grass wool panel roof (Gym) 1,218.42m</w:t>
      </w:r>
      <w:r>
        <w:rPr>
          <w:rFonts w:ascii="Times New Roman" w:cs="Times New Roman" w:eastAsia="Times New Roman" w:hAnsi="Times New Roman"/>
          <w:sz w:val="17"/>
          <w:szCs w:val="17"/>
          <w:color w:val="auto"/>
          <w:vertAlign w:val="superscript"/>
        </w:rPr>
        <w:t>2</w:t>
      </w:r>
    </w:p>
    <w:p>
      <w:pPr>
        <w:sectPr>
          <w:pgSz w:w="11900" w:h="16838" w:orient="portrait"/>
          <w:cols w:equalWidth="0" w:num="1">
            <w:col w:w="9019"/>
          </w:cols>
          <w:pgMar w:left="1440" w:top="226" w:right="1440" w:bottom="1440" w:gutter="0" w:footer="0" w:header="0"/>
        </w:sectPr>
      </w:pPr>
    </w:p>
    <w:bookmarkStart w:id="83" w:name="page84"/>
    <w:bookmarkEnd w:id="83"/>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7" w:lineRule="exact"/>
        <w:rPr>
          <w:sz w:val="20"/>
          <w:szCs w:val="20"/>
          <w:color w:val="auto"/>
        </w:rPr>
      </w:pPr>
    </w:p>
    <w:p>
      <w:pPr>
        <w:ind w:left="1120" w:hanging="288"/>
        <w:spacing w:after="0"/>
        <w:tabs>
          <w:tab w:leader="none" w:pos="112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No[1760-2020-000803]</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 19-dong</w:t>
      </w:r>
    </w:p>
    <w:p>
      <w:pPr>
        <w:spacing w:after="0" w:line="1"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[Road Name Address] 375, Suchul-daero, Gumi-si, Gyeongsangbuk-do</w:t>
      </w:r>
    </w:p>
    <w:p>
      <w:pPr>
        <w:spacing w:after="0" w:line="6" w:lineRule="exact"/>
        <w:rPr>
          <w:rFonts w:ascii="Times New Roman" w:cs="Times New Roman" w:eastAsia="Times New Roman" w:hAnsi="Times New Roman"/>
          <w:sz w:val="12"/>
          <w:szCs w:val="12"/>
          <w:color w:val="auto"/>
        </w:rPr>
      </w:pPr>
    </w:p>
    <w:p>
      <w:pPr>
        <w:ind w:left="1340" w:right="2259" w:hanging="220"/>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Reinforced concrete single-story factory building with panel roof (Dangerous goods storage and processing facilities) 1</w:t>
      </w:r>
      <w:r>
        <w:rPr>
          <w:rFonts w:ascii="Times New Roman" w:cs="Times New Roman" w:eastAsia="Times New Roman" w:hAnsi="Times New Roman"/>
          <w:sz w:val="17"/>
          <w:szCs w:val="17"/>
          <w:color w:val="auto"/>
          <w:vertAlign w:val="superscript"/>
        </w:rPr>
        <w:t>st</w:t>
      </w:r>
      <w:r>
        <w:rPr>
          <w:rFonts w:ascii="Times New Roman" w:cs="Times New Roman" w:eastAsia="Times New Roman" w:hAnsi="Times New Roman"/>
          <w:sz w:val="12"/>
          <w:szCs w:val="12"/>
          <w:color w:val="auto"/>
        </w:rPr>
        <w:t xml:space="preserve"> floor High-pressure gas reservoir 103.5m</w:t>
      </w:r>
      <w:r>
        <w:rPr>
          <w:rFonts w:ascii="Times New Roman" w:cs="Times New Roman" w:eastAsia="Times New Roman" w:hAnsi="Times New Roman"/>
          <w:sz w:val="17"/>
          <w:szCs w:val="17"/>
          <w:color w:val="auto"/>
          <w:vertAlign w:val="superscript"/>
        </w:rPr>
        <w:t>2</w:t>
      </w:r>
    </w:p>
    <w:p>
      <w:pPr>
        <w:spacing w:after="0" w:line="41"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No[1760-2022-003006]</w:t>
      </w:r>
    </w:p>
    <w:p>
      <w:pPr>
        <w:spacing w:after="0" w:line="6" w:lineRule="exact"/>
        <w:rPr>
          <w:rFonts w:ascii="Times New Roman" w:cs="Times New Roman" w:eastAsia="Times New Roman" w:hAnsi="Times New Roman"/>
          <w:sz w:val="12"/>
          <w:szCs w:val="12"/>
          <w:color w:val="auto"/>
        </w:rPr>
      </w:pPr>
    </w:p>
    <w:p>
      <w:pPr>
        <w:jc w:val="both"/>
        <w:ind w:left="1120" w:right="567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281, Imsu-dong, Gumi-si, Gyeongsangbuk-do 282, Imsu-dong, Gumi-si, Gyeongsangbuk-do 283, Imsu-dong, Gumi-si, Gyeongsangbuk-do 20-dong</w:t>
      </w:r>
    </w:p>
    <w:p>
      <w:pPr>
        <w:spacing w:after="0" w:line="1" w:lineRule="exact"/>
        <w:rPr>
          <w:rFonts w:ascii="Times New Roman" w:cs="Times New Roman" w:eastAsia="Times New Roman" w:hAnsi="Times New Roman"/>
          <w:sz w:val="12"/>
          <w:szCs w:val="12"/>
          <w:color w:val="auto"/>
        </w:rPr>
      </w:pPr>
    </w:p>
    <w:p>
      <w:pPr>
        <w:ind w:left="1120" w:right="445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[Road Name Address] 375, Suchul-daero, Gumi-si, Gyeongsangbuk-do Steel-framed single-story factory</w:t>
      </w:r>
    </w:p>
    <w:p>
      <w:pPr>
        <w:ind w:left="13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w:t>
      </w:r>
      <w:r>
        <w:rPr>
          <w:rFonts w:ascii="Times New Roman" w:cs="Times New Roman" w:eastAsia="Times New Roman" w:hAnsi="Times New Roman"/>
          <w:sz w:val="17"/>
          <w:szCs w:val="17"/>
          <w:color w:val="auto"/>
          <w:vertAlign w:val="superscript"/>
        </w:rPr>
        <w:t>st</w:t>
      </w:r>
      <w:r>
        <w:rPr>
          <w:rFonts w:ascii="Times New Roman" w:cs="Times New Roman" w:eastAsia="Times New Roman" w:hAnsi="Times New Roman"/>
          <w:sz w:val="12"/>
          <w:szCs w:val="12"/>
          <w:color w:val="auto"/>
        </w:rPr>
        <w:t xml:space="preserve"> floor Factory (Machine room) 320m</w:t>
      </w:r>
      <w:r>
        <w:rPr>
          <w:rFonts w:ascii="Times New Roman" w:cs="Times New Roman" w:eastAsia="Times New Roman" w:hAnsi="Times New Roman"/>
          <w:sz w:val="17"/>
          <w:szCs w:val="17"/>
          <w:color w:val="auto"/>
          <w:vertAlign w:val="superscript"/>
        </w:rPr>
        <w:t>2</w:t>
      </w:r>
    </w:p>
    <w:p>
      <w:pPr>
        <w:sectPr>
          <w:pgSz w:w="11900" w:h="16838" w:orient="portrait"/>
          <w:cols w:equalWidth="0" w:num="1">
            <w:col w:w="9019"/>
          </w:cols>
          <w:pgMar w:left="1440" w:top="226" w:right="1440" w:bottom="1440" w:gutter="0" w:footer="0" w:header="0"/>
        </w:sectPr>
      </w:pPr>
    </w:p>
    <w:bookmarkStart w:id="84" w:name="page85"/>
    <w:bookmarkEnd w:id="84"/>
    <w:p>
      <w:pPr>
        <w:jc w:val="right"/>
        <w:ind w:right="83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[English Translation]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Notice to Mortgagor</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Nature of Mortgage</w:t>
      </w:r>
    </w:p>
    <w:p>
      <w:pPr>
        <w:spacing w:after="0" w:line="87" w:lineRule="exact"/>
        <w:rPr>
          <w:sz w:val="20"/>
          <w:szCs w:val="20"/>
          <w:color w:val="auto"/>
        </w:rPr>
      </w:pPr>
    </w:p>
    <w:p>
      <w:pPr>
        <w:ind w:left="1120" w:right="959" w:hanging="288"/>
        <w:spacing w:after="0" w:line="279" w:lineRule="auto"/>
        <w:tabs>
          <w:tab w:leader="none" w:pos="112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mortgage grants the creditor the right to dispose of all or any part of the mortgaged property in order to satisfy the obligor’s obligations, in the event that the obligor fails to repay its obligations owing to the creditor.</w:t>
      </w:r>
    </w:p>
    <w:p>
      <w:pPr>
        <w:spacing w:after="0" w:line="48" w:lineRule="exact"/>
        <w:rPr>
          <w:rFonts w:ascii="Times New Roman" w:cs="Times New Roman" w:eastAsia="Times New Roman" w:hAnsi="Times New Roman"/>
          <w:sz w:val="12"/>
          <w:szCs w:val="12"/>
          <w:color w:val="auto"/>
        </w:rPr>
      </w:pPr>
    </w:p>
    <w:p>
      <w:pPr>
        <w:ind w:left="1120" w:right="899" w:hanging="288"/>
        <w:spacing w:after="0" w:line="279" w:lineRule="auto"/>
        <w:tabs>
          <w:tab w:leader="none" w:pos="112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other words, by mortgaging your real estate to secure other person’s obligation, you are assuming a risk of losing your property in the event the obligor’s fails to perform its obligations.</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Liability per each Type of Security</w:t>
      </w:r>
    </w:p>
    <w:p>
      <w:pPr>
        <w:spacing w:after="0" w:line="83" w:lineRule="exact"/>
        <w:rPr>
          <w:sz w:val="20"/>
          <w:szCs w:val="20"/>
          <w:color w:val="auto"/>
        </w:rPr>
      </w:pPr>
    </w:p>
    <w:p>
      <w:pPr>
        <w:ind w:left="1120" w:right="899" w:hanging="288"/>
        <w:spacing w:after="0" w:line="286" w:lineRule="auto"/>
        <w:tabs>
          <w:tab w:leader="none" w:pos="112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Security for specific obligation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only secures specified obligations to be borne by the obligor to the creditor. An extension of maturity, roll-over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credit or replacement with another loan will discharge the security</w:t>
      </w:r>
      <w:r>
        <w:rPr>
          <w:rFonts w:ascii="Times New Roman" w:cs="Times New Roman" w:eastAsia="Times New Roman" w:hAnsi="Times New Roman"/>
          <w:sz w:val="12"/>
          <w:szCs w:val="12"/>
          <w:b w:val="1"/>
          <w:bCs w:val="1"/>
          <w:color w:val="auto"/>
        </w:rPr>
        <w:t>.</w:t>
      </w:r>
    </w:p>
    <w:p>
      <w:pPr>
        <w:spacing w:after="0" w:line="40" w:lineRule="exact"/>
        <w:rPr>
          <w:rFonts w:ascii="Times New Roman" w:cs="Times New Roman" w:eastAsia="Times New Roman" w:hAnsi="Times New Roman"/>
          <w:sz w:val="12"/>
          <w:szCs w:val="12"/>
          <w:color w:val="auto"/>
        </w:rPr>
      </w:pPr>
    </w:p>
    <w:p>
      <w:pPr>
        <w:ind w:left="1120" w:right="859" w:hanging="288"/>
        <w:spacing w:after="0" w:line="268" w:lineRule="auto"/>
        <w:tabs>
          <w:tab w:leader="none" w:pos="112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Kun-security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secures any obligations currently outstanding or to be incurred in the future based on current or future transaction agreements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between the obligor and the creditor within the maximum mortgage amount. There are three (3) types of kun-security and the scope of liability per each type of kun-security is as follows:</w:t>
      </w:r>
    </w:p>
    <w:p>
      <w:pPr>
        <w:spacing w:after="0" w:line="53" w:lineRule="exact"/>
        <w:rPr>
          <w:sz w:val="20"/>
          <w:szCs w:val="20"/>
          <w:color w:val="auto"/>
        </w:rPr>
      </w:pPr>
    </w:p>
    <w:p>
      <w:pPr>
        <w:ind w:left="1480" w:hanging="360"/>
        <w:spacing w:after="0"/>
        <w:tabs>
          <w:tab w:leader="none" w:pos="1480" w:val="left"/>
        </w:tabs>
        <w:numPr>
          <w:ilvl w:val="0"/>
          <w:numId w:val="9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Specified kun-security</w:t>
      </w:r>
      <w:r>
        <w:rPr>
          <w:rFonts w:ascii="Times New Roman" w:cs="Times New Roman" w:eastAsia="Times New Roman" w:hAnsi="Times New Roman"/>
          <w:sz w:val="12"/>
          <w:szCs w:val="12"/>
          <w:color w:val="auto"/>
        </w:rPr>
        <w:t>” secures obligations of the obligor arising from a specified transaction agreement (e.g., credit transaction</w:t>
      </w:r>
    </w:p>
    <w:p>
      <w:pPr>
        <w:spacing w:after="0" w:line="20" w:lineRule="exact"/>
        <w:rPr>
          <w:sz w:val="20"/>
          <w:szCs w:val="20"/>
          <w:color w:val="auto"/>
        </w:rPr>
      </w:pPr>
    </w:p>
    <w:p>
      <w:pPr>
        <w:ind w:left="1480" w:right="999"/>
        <w:spacing w:after="0" w:line="258" w:lineRule="auto"/>
        <w:rPr>
          <w:sz w:val="20"/>
          <w:szCs w:val="20"/>
          <w:color w:val="auto"/>
        </w:rPr>
      </w:pPr>
      <w:r>
        <w:rPr>
          <w:rFonts w:ascii="Times New Roman" w:cs="Times New Roman" w:eastAsia="Times New Roman" w:hAnsi="Times New Roman"/>
          <w:sz w:val="12"/>
          <w:szCs w:val="12"/>
          <w:color w:val="auto"/>
        </w:rPr>
        <w:t>agreement dated       ) and also secures the obligation upon extension of its maturity. However, roll-over or replacement with another loan will discharge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-114300</wp:posOffset>
            </wp:positionV>
            <wp:extent cx="22860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28600" cy="5715"/>
                    </a:xfrm>
                    <a:prstGeom prst="rect">
                      <a:avLst/>
                    </a:prstGeom>
                    <a:noFill/>
                  </pic:spPr>
                </pic:pic>
              </a:graphicData>
            </a:graphic>
          </wp:anchor>
        </w:drawing>
      </w:r>
    </w:p>
    <w:p>
      <w:pPr>
        <w:spacing w:after="0" w:line="38" w:lineRule="exact"/>
        <w:rPr>
          <w:sz w:val="20"/>
          <w:szCs w:val="20"/>
          <w:color w:val="auto"/>
        </w:rPr>
      </w:pPr>
    </w:p>
    <w:p>
      <w:pPr>
        <w:ind w:left="1480" w:right="899" w:hanging="360"/>
        <w:spacing w:after="0" w:line="261" w:lineRule="auto"/>
        <w:tabs>
          <w:tab w:leader="none" w:pos="1480" w:val="left"/>
        </w:tabs>
        <w:numPr>
          <w:ilvl w:val="0"/>
          <w:numId w:val="9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Limited kun-security</w:t>
      </w:r>
      <w:r>
        <w:rPr>
          <w:rFonts w:ascii="Times New Roman" w:cs="Times New Roman" w:eastAsia="Times New Roman" w:hAnsi="Times New Roman"/>
          <w:sz w:val="12"/>
          <w:szCs w:val="12"/>
          <w:color w:val="auto"/>
        </w:rPr>
        <w:t>” secures any and all obligations of the obligor currently outstanding or to be incurred in the future based on specific type of transaction (e.g., overdraft transaction) either current or future, and also secures the obligation upon extension of its maturity, roll-over and replacement with other credit of the same type. However, replacement with other credit of a different type will discharge the security.</w:t>
      </w:r>
    </w:p>
    <w:p>
      <w:pPr>
        <w:spacing w:after="0" w:line="56" w:lineRule="exact"/>
        <w:rPr>
          <w:rFonts w:ascii="MS PGothic" w:cs="MS PGothic" w:eastAsia="MS PGothic" w:hAnsi="MS PGothic"/>
          <w:sz w:val="12"/>
          <w:szCs w:val="12"/>
          <w:color w:val="auto"/>
        </w:rPr>
      </w:pPr>
    </w:p>
    <w:p>
      <w:pPr>
        <w:ind w:left="1480" w:right="919" w:hanging="360"/>
        <w:spacing w:after="0" w:line="266" w:lineRule="auto"/>
        <w:tabs>
          <w:tab w:leader="none" w:pos="1480" w:val="left"/>
        </w:tabs>
        <w:numPr>
          <w:ilvl w:val="0"/>
          <w:numId w:val="9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Comprehensive kun-security</w:t>
      </w:r>
      <w:r>
        <w:rPr>
          <w:rFonts w:ascii="Times New Roman" w:cs="Times New Roman" w:eastAsia="Times New Roman" w:hAnsi="Times New Roman"/>
          <w:sz w:val="12"/>
          <w:szCs w:val="12"/>
          <w:color w:val="auto"/>
        </w:rPr>
        <w:t>” secures any and all obligations (inclusive of obligations arising from credit transactions and any other type of obligations) of the obligor currently outstanding or to be incurred in the future and the scope of liability you are assuming is very extensive. Therefore, please carefully decide whether or not to provide this comprehensive kun-security.</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Mortgagor as Guarantor</w:t>
      </w:r>
    </w:p>
    <w:p>
      <w:pPr>
        <w:spacing w:after="0" w:line="87" w:lineRule="exact"/>
        <w:rPr>
          <w:sz w:val="20"/>
          <w:szCs w:val="20"/>
          <w:color w:val="auto"/>
        </w:rPr>
      </w:pPr>
    </w:p>
    <w:p>
      <w:pPr>
        <w:ind w:left="1120" w:right="879" w:hanging="288"/>
        <w:spacing w:after="0" w:line="279" w:lineRule="auto"/>
        <w:tabs>
          <w:tab w:leader="none" w:pos="11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mortgagor also guarantees the obligor’s obligations jointly and severally with the obligor, the Bank is entitled to recover from the mortgagor’s general property in addition to the mortgaged property.</w:t>
      </w:r>
    </w:p>
    <w:p>
      <w:pPr>
        <w:sectPr>
          <w:pgSz w:w="11900" w:h="16838" w:orient="portrait"/>
          <w:cols w:equalWidth="0" w:num="1">
            <w:col w:w="9019"/>
          </w:cols>
          <w:pgMar w:left="1440" w:top="226" w:right="1440" w:bottom="1440" w:gutter="0" w:footer="0" w:header="0"/>
        </w:sectPr>
      </w:pPr>
    </w:p>
    <w:bookmarkStart w:id="85" w:name="page86"/>
    <w:bookmarkEnd w:id="85"/>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302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SARBANES-OXLEY ACT OF 2002</w:t>
      </w:r>
    </w:p>
    <w:p>
      <w:pPr>
        <w:spacing w:after="0" w:line="1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 Young-Joon Kim, certify that:</w:t>
      </w:r>
    </w:p>
    <w:p>
      <w:pPr>
        <w:spacing w:after="0" w:line="150" w:lineRule="exact"/>
        <w:rPr>
          <w:sz w:val="20"/>
          <w:szCs w:val="20"/>
          <w:color w:val="auto"/>
        </w:rPr>
      </w:pPr>
    </w:p>
    <w:p>
      <w:pPr>
        <w:ind w:left="1240" w:hanging="114"/>
        <w:spacing w:after="0"/>
        <w:tabs>
          <w:tab w:leader="none" w:pos="124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Magnachip Semiconductor Corporation;</w:t>
      </w:r>
    </w:p>
    <w:p>
      <w:pPr>
        <w:spacing w:after="0" w:line="150" w:lineRule="exact"/>
        <w:rPr>
          <w:rFonts w:ascii="Times New Roman" w:cs="Times New Roman" w:eastAsia="Times New Roman" w:hAnsi="Times New Roman"/>
          <w:sz w:val="12"/>
          <w:szCs w:val="12"/>
          <w:color w:val="auto"/>
        </w:rPr>
      </w:pPr>
    </w:p>
    <w:p>
      <w:pPr>
        <w:ind w:left="840" w:right="979" w:firstLine="286"/>
        <w:spacing w:after="0" w:line="265" w:lineRule="auto"/>
        <w:tabs>
          <w:tab w:leader="none" w:pos="1254"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Times New Roman" w:cs="Times New Roman" w:eastAsia="Times New Roman" w:hAnsi="Times New Roman"/>
          <w:sz w:val="12"/>
          <w:szCs w:val="12"/>
          <w:color w:val="auto"/>
        </w:rPr>
      </w:pPr>
    </w:p>
    <w:p>
      <w:pPr>
        <w:ind w:left="840" w:right="939" w:firstLine="286"/>
        <w:spacing w:after="0" w:line="279" w:lineRule="auto"/>
        <w:tabs>
          <w:tab w:leader="none" w:pos="1254"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jc w:val="both"/>
        <w:ind w:left="840" w:right="919" w:firstLine="286"/>
        <w:spacing w:after="0" w:line="265" w:lineRule="auto"/>
        <w:tabs>
          <w:tab w:leader="none" w:pos="1254"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sz w:val="20"/>
          <w:szCs w:val="20"/>
          <w:color w:val="auto"/>
        </w:rPr>
      </w:pPr>
    </w:p>
    <w:p>
      <w:pPr>
        <w:ind w:left="1120" w:right="919" w:firstLine="6"/>
        <w:spacing w:after="0" w:line="265" w:lineRule="auto"/>
        <w:tabs>
          <w:tab w:leader="none" w:pos="1283"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Times New Roman" w:cs="Times New Roman" w:eastAsia="Times New Roman" w:hAnsi="Times New Roman"/>
          <w:sz w:val="12"/>
          <w:szCs w:val="12"/>
          <w:color w:val="auto"/>
        </w:rPr>
      </w:pPr>
    </w:p>
    <w:p>
      <w:pPr>
        <w:ind w:left="1120" w:right="879" w:firstLine="6"/>
        <w:spacing w:after="0" w:line="265" w:lineRule="auto"/>
        <w:tabs>
          <w:tab w:leader="none" w:pos="129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Times New Roman" w:cs="Times New Roman" w:eastAsia="Times New Roman" w:hAnsi="Times New Roman"/>
          <w:sz w:val="12"/>
          <w:szCs w:val="12"/>
          <w:color w:val="auto"/>
        </w:rPr>
      </w:pPr>
    </w:p>
    <w:p>
      <w:pPr>
        <w:ind w:left="1120" w:right="1259" w:firstLine="6"/>
        <w:spacing w:after="0" w:line="327" w:lineRule="auto"/>
        <w:tabs>
          <w:tab w:leader="none" w:pos="1283" w:val="left"/>
        </w:tabs>
        <w:numPr>
          <w:ilvl w:val="0"/>
          <w:numId w:val="9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Times New Roman" w:cs="Times New Roman" w:eastAsia="Times New Roman" w:hAnsi="Times New Roman"/>
          <w:sz w:val="11"/>
          <w:szCs w:val="11"/>
          <w:color w:val="auto"/>
        </w:rPr>
      </w:pPr>
    </w:p>
    <w:p>
      <w:pPr>
        <w:jc w:val="both"/>
        <w:ind w:left="1120" w:right="899" w:firstLine="6"/>
        <w:spacing w:after="0" w:line="265" w:lineRule="auto"/>
        <w:tabs>
          <w:tab w:leader="none" w:pos="129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sz w:val="20"/>
          <w:szCs w:val="20"/>
          <w:color w:val="auto"/>
        </w:rPr>
      </w:pPr>
    </w:p>
    <w:p>
      <w:pPr>
        <w:ind w:left="840" w:right="899" w:firstLine="286"/>
        <w:spacing w:after="0" w:line="279" w:lineRule="auto"/>
        <w:tabs>
          <w:tab w:leader="none" w:pos="1254"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left="1120" w:right="859" w:firstLine="6"/>
        <w:spacing w:after="0" w:line="279" w:lineRule="auto"/>
        <w:tabs>
          <w:tab w:leader="none" w:pos="1283"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1120" w:right="1199" w:firstLine="6"/>
        <w:spacing w:after="0" w:line="279" w:lineRule="auto"/>
        <w:tabs>
          <w:tab w:leader="none" w:pos="129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Dated: May 10, 2024</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186309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Young-Joon Kim</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(Principal Executive Officer)</w:t>
      </w:r>
    </w:p>
    <w:p>
      <w:pPr>
        <w:sectPr>
          <w:pgSz w:w="11900" w:h="16838" w:orient="portrait"/>
          <w:cols w:equalWidth="0" w:num="1">
            <w:col w:w="9019"/>
          </w:cols>
          <w:pgMar w:left="1440" w:top="125" w:right="1440" w:bottom="1440" w:gutter="0" w:footer="0" w:header="0"/>
        </w:sectPr>
      </w:pPr>
    </w:p>
    <w:bookmarkStart w:id="86" w:name="page87"/>
    <w:bookmarkEnd w:id="86"/>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302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SARBANES-OXLEY ACT OF 2002</w:t>
      </w:r>
    </w:p>
    <w:p>
      <w:pPr>
        <w:spacing w:after="0" w:line="1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 Shin Young Park, certify that:</w:t>
      </w:r>
    </w:p>
    <w:p>
      <w:pPr>
        <w:spacing w:after="0" w:line="150" w:lineRule="exact"/>
        <w:rPr>
          <w:sz w:val="20"/>
          <w:szCs w:val="20"/>
          <w:color w:val="auto"/>
        </w:rPr>
      </w:pPr>
    </w:p>
    <w:p>
      <w:pPr>
        <w:ind w:left="1240" w:hanging="114"/>
        <w:spacing w:after="0"/>
        <w:tabs>
          <w:tab w:leader="none" w:pos="124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Magnachip Semiconductor Corporation;</w:t>
      </w:r>
    </w:p>
    <w:p>
      <w:pPr>
        <w:spacing w:after="0" w:line="150" w:lineRule="exact"/>
        <w:rPr>
          <w:rFonts w:ascii="Times New Roman" w:cs="Times New Roman" w:eastAsia="Times New Roman" w:hAnsi="Times New Roman"/>
          <w:sz w:val="12"/>
          <w:szCs w:val="12"/>
          <w:color w:val="auto"/>
        </w:rPr>
      </w:pPr>
    </w:p>
    <w:p>
      <w:pPr>
        <w:ind w:left="840" w:right="979" w:firstLine="286"/>
        <w:spacing w:after="0" w:line="265" w:lineRule="auto"/>
        <w:tabs>
          <w:tab w:leader="none" w:pos="1254"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Times New Roman" w:cs="Times New Roman" w:eastAsia="Times New Roman" w:hAnsi="Times New Roman"/>
          <w:sz w:val="12"/>
          <w:szCs w:val="12"/>
          <w:color w:val="auto"/>
        </w:rPr>
      </w:pPr>
    </w:p>
    <w:p>
      <w:pPr>
        <w:ind w:left="840" w:right="939" w:firstLine="286"/>
        <w:spacing w:after="0" w:line="279" w:lineRule="auto"/>
        <w:tabs>
          <w:tab w:leader="none" w:pos="1254"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jc w:val="both"/>
        <w:ind w:left="840" w:right="919" w:firstLine="286"/>
        <w:spacing w:after="0" w:line="265" w:lineRule="auto"/>
        <w:tabs>
          <w:tab w:leader="none" w:pos="1254"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sz w:val="20"/>
          <w:szCs w:val="20"/>
          <w:color w:val="auto"/>
        </w:rPr>
      </w:pPr>
    </w:p>
    <w:p>
      <w:pPr>
        <w:ind w:left="1120" w:right="919" w:firstLine="6"/>
        <w:spacing w:after="0" w:line="265" w:lineRule="auto"/>
        <w:tabs>
          <w:tab w:leader="none" w:pos="1283"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Times New Roman" w:cs="Times New Roman" w:eastAsia="Times New Roman" w:hAnsi="Times New Roman"/>
          <w:sz w:val="12"/>
          <w:szCs w:val="12"/>
          <w:color w:val="auto"/>
        </w:rPr>
      </w:pPr>
    </w:p>
    <w:p>
      <w:pPr>
        <w:ind w:left="1120" w:right="879" w:firstLine="6"/>
        <w:spacing w:after="0" w:line="265" w:lineRule="auto"/>
        <w:tabs>
          <w:tab w:leader="none" w:pos="129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Times New Roman" w:cs="Times New Roman" w:eastAsia="Times New Roman" w:hAnsi="Times New Roman"/>
          <w:sz w:val="12"/>
          <w:szCs w:val="12"/>
          <w:color w:val="auto"/>
        </w:rPr>
      </w:pPr>
    </w:p>
    <w:p>
      <w:pPr>
        <w:ind w:left="1120" w:right="1259" w:firstLine="6"/>
        <w:spacing w:after="0" w:line="327" w:lineRule="auto"/>
        <w:tabs>
          <w:tab w:leader="none" w:pos="1283" w:val="left"/>
        </w:tabs>
        <w:numPr>
          <w:ilvl w:val="0"/>
          <w:numId w:val="9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Times New Roman" w:cs="Times New Roman" w:eastAsia="Times New Roman" w:hAnsi="Times New Roman"/>
          <w:sz w:val="11"/>
          <w:szCs w:val="11"/>
          <w:color w:val="auto"/>
        </w:rPr>
      </w:pPr>
    </w:p>
    <w:p>
      <w:pPr>
        <w:jc w:val="both"/>
        <w:ind w:left="1120" w:right="899" w:firstLine="6"/>
        <w:spacing w:after="0" w:line="265" w:lineRule="auto"/>
        <w:tabs>
          <w:tab w:leader="none" w:pos="129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sz w:val="20"/>
          <w:szCs w:val="20"/>
          <w:color w:val="auto"/>
        </w:rPr>
      </w:pPr>
    </w:p>
    <w:p>
      <w:pPr>
        <w:ind w:left="840" w:right="899" w:firstLine="286"/>
        <w:spacing w:after="0" w:line="279" w:lineRule="auto"/>
        <w:tabs>
          <w:tab w:leader="none" w:pos="1254"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left="1120" w:right="859" w:firstLine="6"/>
        <w:spacing w:after="0" w:line="279" w:lineRule="auto"/>
        <w:tabs>
          <w:tab w:leader="none" w:pos="1283"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1120" w:right="1199" w:firstLine="6"/>
        <w:spacing w:after="0" w:line="279" w:lineRule="auto"/>
        <w:tabs>
          <w:tab w:leader="none" w:pos="129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Dated: May 10, 2024</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186309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Shin Young Park</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(Principal Financial Officer and Principal Accounting</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Officer)</w:t>
      </w:r>
    </w:p>
    <w:p>
      <w:pPr>
        <w:sectPr>
          <w:pgSz w:w="11900" w:h="16838" w:orient="portrait"/>
          <w:cols w:equalWidth="0" w:num="1">
            <w:col w:w="9019"/>
          </w:cols>
          <w:pgMar w:left="1440" w:top="125" w:right="1440" w:bottom="1440" w:gutter="0" w:footer="0" w:header="0"/>
        </w:sectPr>
      </w:pPr>
    </w:p>
    <w:bookmarkStart w:id="87" w:name="page88"/>
    <w:bookmarkEnd w:id="87"/>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left="840" w:right="1179" w:firstLine="294"/>
        <w:spacing w:after="0" w:line="279" w:lineRule="auto"/>
        <w:rPr>
          <w:sz w:val="20"/>
          <w:szCs w:val="20"/>
          <w:color w:val="auto"/>
        </w:rPr>
      </w:pPr>
      <w:r>
        <w:rPr>
          <w:rFonts w:ascii="Times New Roman" w:cs="Times New Roman" w:eastAsia="Times New Roman" w:hAnsi="Times New Roman"/>
          <w:sz w:val="12"/>
          <w:szCs w:val="12"/>
          <w:color w:val="auto"/>
        </w:rPr>
        <w:t>Pursuant to 18 U.S.C. § 1350, as adopted pursuant to Section 906 of the Sarbanes-Oxley Act of 2002, the undersigned officer of Magnachip Semiconductor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hereby certifies, to such officer’s knowledge, that:</w:t>
      </w:r>
    </w:p>
    <w:p>
      <w:pPr>
        <w:spacing w:after="0" w:line="111" w:lineRule="exact"/>
        <w:rPr>
          <w:sz w:val="20"/>
          <w:szCs w:val="20"/>
          <w:color w:val="auto"/>
        </w:rPr>
      </w:pPr>
    </w:p>
    <w:p>
      <w:pPr>
        <w:jc w:val="both"/>
        <w:ind w:left="840" w:right="979" w:firstLine="286"/>
        <w:spacing w:after="0" w:line="265" w:lineRule="auto"/>
        <w:tabs>
          <w:tab w:leader="none" w:pos="1277"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Quarterly Report on Form 10-Q of the Company for the quarterly period ended March 31, 2024 as filed with the Securities and Exchange Commission on the date hereof (the “</w:t>
      </w:r>
      <w:r>
        <w:rPr>
          <w:rFonts w:ascii="Times New Roman" w:cs="Times New Roman" w:eastAsia="Times New Roman" w:hAnsi="Times New Roman"/>
          <w:sz w:val="12"/>
          <w:szCs w:val="12"/>
          <w:b w:val="1"/>
          <w:bCs w:val="1"/>
          <w:color w:val="auto"/>
        </w:rPr>
        <w:t>Report</w:t>
      </w:r>
      <w:r>
        <w:rPr>
          <w:rFonts w:ascii="Times New Roman" w:cs="Times New Roman" w:eastAsia="Times New Roman" w:hAnsi="Times New Roman"/>
          <w:sz w:val="12"/>
          <w:szCs w:val="12"/>
          <w:color w:val="auto"/>
        </w:rPr>
        <w:t>”) fully complies with the requirements of Section 13(a) or Section 15(d), as applicable, of the Securities Exchange Act of 1934, as amended; and</w:t>
      </w:r>
    </w:p>
    <w:p>
      <w:pPr>
        <w:spacing w:after="0" w:line="118" w:lineRule="exact"/>
        <w:rPr>
          <w:rFonts w:ascii="Times New Roman" w:cs="Times New Roman" w:eastAsia="Times New Roman" w:hAnsi="Times New Roman"/>
          <w:sz w:val="12"/>
          <w:szCs w:val="12"/>
          <w:color w:val="auto"/>
        </w:rPr>
      </w:pPr>
    </w:p>
    <w:p>
      <w:pPr>
        <w:ind w:left="840" w:right="1319" w:firstLine="286"/>
        <w:spacing w:after="0" w:line="279" w:lineRule="auto"/>
        <w:tabs>
          <w:tab w:leader="none" w:pos="131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 as of the dates and for the periods expressed in the Report.</w:t>
      </w:r>
    </w:p>
    <w:p>
      <w:pPr>
        <w:spacing w:after="0" w:line="129" w:lineRule="exact"/>
        <w:rPr>
          <w:sz w:val="20"/>
          <w:szCs w:val="20"/>
          <w:color w:val="auto"/>
        </w:rPr>
      </w:pPr>
    </w:p>
    <w:p>
      <w:pPr>
        <w:ind w:left="840"/>
        <w:spacing w:after="0"/>
        <w:tabs>
          <w:tab w:leader="none" w:pos="4780" w:val="left"/>
        </w:tabs>
        <w:rPr>
          <w:sz w:val="20"/>
          <w:szCs w:val="20"/>
          <w:color w:val="auto"/>
        </w:rPr>
      </w:pPr>
      <w:r>
        <w:rPr>
          <w:rFonts w:ascii="Times New Roman" w:cs="Times New Roman" w:eastAsia="Times New Roman" w:hAnsi="Times New Roman"/>
          <w:sz w:val="12"/>
          <w:szCs w:val="12"/>
          <w:color w:val="auto"/>
        </w:rPr>
        <w:t>Dated: May 10, 2024</w:t>
      </w:r>
      <w:r>
        <w:rPr>
          <w:sz w:val="20"/>
          <w:szCs w:val="20"/>
          <w:color w:val="auto"/>
        </w:rPr>
        <w:tab/>
      </w:r>
      <w:r>
        <w:rPr>
          <w:rFonts w:ascii="Times New Roman" w:cs="Times New Roman" w:eastAsia="Times New Roman" w:hAnsi="Times New Roman"/>
          <w:sz w:val="11"/>
          <w:szCs w:val="11"/>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10795</wp:posOffset>
            </wp:positionV>
            <wp:extent cx="214312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spacing w:after="0" w:line="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color w:val="auto"/>
        </w:rPr>
        <w:t>Young-Joon Kim</w:t>
      </w:r>
    </w:p>
    <w:p>
      <w:pPr>
        <w:spacing w:after="0" w:line="1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139" w:lineRule="exact"/>
        <w:rPr>
          <w:sz w:val="20"/>
          <w:szCs w:val="20"/>
          <w:color w:val="auto"/>
        </w:rPr>
      </w:pPr>
    </w:p>
    <w:p>
      <w:pPr>
        <w:jc w:val="both"/>
        <w:ind w:left="840" w:right="959" w:firstLine="294"/>
        <w:spacing w:after="0" w:line="265" w:lineRule="auto"/>
        <w:rPr>
          <w:sz w:val="20"/>
          <w:szCs w:val="20"/>
          <w:color w:val="auto"/>
        </w:rPr>
      </w:pPr>
      <w:r>
        <w:rPr>
          <w:rFonts w:ascii="Times New Roman" w:cs="Times New Roman" w:eastAsia="Times New Roman" w:hAnsi="Times New Roman"/>
          <w:sz w:val="12"/>
          <w:szCs w:val="12"/>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19" w:lineRule="exact"/>
        <w:rPr>
          <w:sz w:val="20"/>
          <w:szCs w:val="20"/>
          <w:color w:val="auto"/>
        </w:rPr>
      </w:pPr>
    </w:p>
    <w:p>
      <w:pPr>
        <w:jc w:val="both"/>
        <w:ind w:left="840" w:right="979" w:firstLine="294"/>
        <w:spacing w:after="0" w:line="279" w:lineRule="auto"/>
        <w:rPr>
          <w:sz w:val="20"/>
          <w:szCs w:val="20"/>
          <w:color w:val="auto"/>
        </w:rPr>
      </w:pPr>
      <w:r>
        <w:rPr>
          <w:rFonts w:ascii="Times New Roman" w:cs="Times New Roman" w:eastAsia="Times New Roman" w:hAnsi="Times New Roman"/>
          <w:sz w:val="12"/>
          <w:szCs w:val="12"/>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019"/>
          </w:cols>
          <w:pgMar w:left="1440" w:top="125" w:right="1440" w:bottom="1440" w:gutter="0" w:footer="0" w:header="0"/>
        </w:sectPr>
      </w:pPr>
    </w:p>
    <w:bookmarkStart w:id="88" w:name="page89"/>
    <w:bookmarkEnd w:id="88"/>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left="840" w:right="1179" w:firstLine="294"/>
        <w:spacing w:after="0" w:line="279" w:lineRule="auto"/>
        <w:rPr>
          <w:sz w:val="20"/>
          <w:szCs w:val="20"/>
          <w:color w:val="auto"/>
        </w:rPr>
      </w:pPr>
      <w:r>
        <w:rPr>
          <w:rFonts w:ascii="Times New Roman" w:cs="Times New Roman" w:eastAsia="Times New Roman" w:hAnsi="Times New Roman"/>
          <w:sz w:val="12"/>
          <w:szCs w:val="12"/>
          <w:color w:val="auto"/>
        </w:rPr>
        <w:t>Pursuant to 18 U.S.C. § 1350, as adopted pursuant to Section 906 of the Sarbanes-Oxley Act of 2002, the undersigned officer of Magnachip Semiconductor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hereby certifies, to such officer’s knowledge, that:</w:t>
      </w:r>
    </w:p>
    <w:p>
      <w:pPr>
        <w:spacing w:after="0" w:line="111" w:lineRule="exact"/>
        <w:rPr>
          <w:sz w:val="20"/>
          <w:szCs w:val="20"/>
          <w:color w:val="auto"/>
        </w:rPr>
      </w:pPr>
    </w:p>
    <w:p>
      <w:pPr>
        <w:jc w:val="both"/>
        <w:ind w:left="840" w:right="979" w:firstLine="286"/>
        <w:spacing w:after="0" w:line="265" w:lineRule="auto"/>
        <w:tabs>
          <w:tab w:leader="none" w:pos="1277"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Quarterly Report on Form 10-Q of the Company for the quarterly period ended March 31, 2024 as filed with the Securities and Exchange Commission on the date hereof (the “</w:t>
      </w:r>
      <w:r>
        <w:rPr>
          <w:rFonts w:ascii="Times New Roman" w:cs="Times New Roman" w:eastAsia="Times New Roman" w:hAnsi="Times New Roman"/>
          <w:sz w:val="12"/>
          <w:szCs w:val="12"/>
          <w:b w:val="1"/>
          <w:bCs w:val="1"/>
          <w:color w:val="auto"/>
        </w:rPr>
        <w:t>Report</w:t>
      </w:r>
      <w:r>
        <w:rPr>
          <w:rFonts w:ascii="Times New Roman" w:cs="Times New Roman" w:eastAsia="Times New Roman" w:hAnsi="Times New Roman"/>
          <w:sz w:val="12"/>
          <w:szCs w:val="12"/>
          <w:color w:val="auto"/>
        </w:rPr>
        <w:t>”) fully complies with the requirements of Section 13(a) or Section 15(d), as applicable, of the Securities Exchange Act of 1934, as amended; and</w:t>
      </w:r>
    </w:p>
    <w:p>
      <w:pPr>
        <w:spacing w:after="0" w:line="118" w:lineRule="exact"/>
        <w:rPr>
          <w:rFonts w:ascii="Times New Roman" w:cs="Times New Roman" w:eastAsia="Times New Roman" w:hAnsi="Times New Roman"/>
          <w:sz w:val="12"/>
          <w:szCs w:val="12"/>
          <w:color w:val="auto"/>
        </w:rPr>
      </w:pPr>
    </w:p>
    <w:p>
      <w:pPr>
        <w:ind w:left="840" w:right="1319" w:firstLine="286"/>
        <w:spacing w:after="0" w:line="279" w:lineRule="auto"/>
        <w:tabs>
          <w:tab w:leader="none" w:pos="131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 as of the dates and for the periods expressed in the Report.</w:t>
      </w:r>
    </w:p>
    <w:p>
      <w:pPr>
        <w:spacing w:after="0" w:line="129" w:lineRule="exact"/>
        <w:rPr>
          <w:sz w:val="20"/>
          <w:szCs w:val="20"/>
          <w:color w:val="auto"/>
        </w:rPr>
      </w:pPr>
    </w:p>
    <w:p>
      <w:pPr>
        <w:ind w:left="840"/>
        <w:spacing w:after="0"/>
        <w:tabs>
          <w:tab w:leader="none" w:pos="4780" w:val="left"/>
        </w:tabs>
        <w:rPr>
          <w:sz w:val="20"/>
          <w:szCs w:val="20"/>
          <w:color w:val="auto"/>
        </w:rPr>
      </w:pPr>
      <w:r>
        <w:rPr>
          <w:rFonts w:ascii="Times New Roman" w:cs="Times New Roman" w:eastAsia="Times New Roman" w:hAnsi="Times New Roman"/>
          <w:sz w:val="12"/>
          <w:szCs w:val="12"/>
          <w:color w:val="auto"/>
        </w:rPr>
        <w:t>Dated: May 10, 2024</w:t>
      </w:r>
      <w:r>
        <w:rPr>
          <w:sz w:val="20"/>
          <w:szCs w:val="20"/>
          <w:color w:val="auto"/>
        </w:rPr>
        <w:tab/>
      </w:r>
      <w:r>
        <w:rPr>
          <w:rFonts w:ascii="Times New Roman" w:cs="Times New Roman" w:eastAsia="Times New Roman" w:hAnsi="Times New Roman"/>
          <w:sz w:val="11"/>
          <w:szCs w:val="11"/>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10795</wp:posOffset>
            </wp:positionV>
            <wp:extent cx="214312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spacing w:after="0" w:line="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color w:val="auto"/>
        </w:rPr>
        <w:t>Shin Young Park</w:t>
      </w:r>
    </w:p>
    <w:p>
      <w:pPr>
        <w:spacing w:after="0" w:line="1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color w:val="auto"/>
        </w:rPr>
        <w:t>(Principal Financial Officer and Principal Accounting Officer)</w:t>
      </w:r>
    </w:p>
    <w:p>
      <w:pPr>
        <w:spacing w:after="0" w:line="139" w:lineRule="exact"/>
        <w:rPr>
          <w:sz w:val="20"/>
          <w:szCs w:val="20"/>
          <w:color w:val="auto"/>
        </w:rPr>
      </w:pPr>
    </w:p>
    <w:p>
      <w:pPr>
        <w:jc w:val="both"/>
        <w:ind w:left="840" w:right="959" w:firstLine="294"/>
        <w:spacing w:after="0" w:line="265" w:lineRule="auto"/>
        <w:rPr>
          <w:sz w:val="20"/>
          <w:szCs w:val="20"/>
          <w:color w:val="auto"/>
        </w:rPr>
      </w:pPr>
      <w:r>
        <w:rPr>
          <w:rFonts w:ascii="Times New Roman" w:cs="Times New Roman" w:eastAsia="Times New Roman" w:hAnsi="Times New Roman"/>
          <w:sz w:val="12"/>
          <w:szCs w:val="12"/>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19" w:lineRule="exact"/>
        <w:rPr>
          <w:sz w:val="20"/>
          <w:szCs w:val="20"/>
          <w:color w:val="auto"/>
        </w:rPr>
      </w:pPr>
    </w:p>
    <w:p>
      <w:pPr>
        <w:jc w:val="both"/>
        <w:ind w:left="840" w:right="979" w:firstLine="294"/>
        <w:spacing w:after="0" w:line="279" w:lineRule="auto"/>
        <w:rPr>
          <w:sz w:val="20"/>
          <w:szCs w:val="20"/>
          <w:color w:val="auto"/>
        </w:rPr>
      </w:pPr>
      <w:r>
        <w:rPr>
          <w:rFonts w:ascii="Times New Roman" w:cs="Times New Roman" w:eastAsia="Times New Roman" w:hAnsi="Times New Roman"/>
          <w:sz w:val="12"/>
          <w:szCs w:val="12"/>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1)"/>
      <w:numFmt w:val="lowerRoman"/>
      <w:start w:val="1"/>
    </w:lvl>
  </w:abstractNum>
  <w:abstractNum w:abstractNumId="3">
    <w:nsid w:val="520EEDD1"/>
    <w:multiLevelType w:val="hybridMultilevel"/>
    <w:lvl w:ilvl="0">
      <w:lvlJc w:val="left"/>
      <w:lvlText w:val="(%1)"/>
      <w:numFmt w:val="lowerRoman"/>
      <w:start w:val="4"/>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1)"/>
      <w:numFmt w:val="lowerLetter"/>
      <w:start w:val="1"/>
    </w:lvl>
    <w:lvl w:ilvl="1">
      <w:lvlJc w:val="left"/>
      <w:lvlText w:val="•"/>
      <w:numFmt w:val="bullet"/>
      <w:start w:val="1"/>
    </w:lvl>
  </w:abstractNum>
  <w:abstractNum w:abstractNumId="6">
    <w:nsid w:val="23F9C13C"/>
    <w:multiLevelType w:val="hybridMultilevel"/>
    <w:lvl w:ilvl="0">
      <w:lvlJc w:val="left"/>
      <w:lvlText w:val="(%1)"/>
      <w:numFmt w:val="lowerLetter"/>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1)"/>
      <w:numFmt w:val="lowerLetter"/>
      <w:start w:val="1"/>
    </w:lvl>
  </w:abstractNum>
  <w:abstractNum w:abstractNumId="9">
    <w:nsid w:val="39386575"/>
    <w:multiLevelType w:val="hybridMultilevel"/>
    <w:lvl w:ilvl="0">
      <w:lvlJc w:val="left"/>
      <w:lvlText w:val="(%1)"/>
      <w:numFmt w:val="lowerLetter"/>
      <w:start w:val="2"/>
    </w:lvl>
    <w:lvl w:ilvl="1">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1)"/>
      <w:numFmt w:val="decimal"/>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1."/>
      <w:numFmt w:val="decimal"/>
      <w:start w:val="1"/>
    </w:lvl>
  </w:abstractNum>
  <w:abstractNum w:abstractNumId="19">
    <w:nsid w:val="3F6AB60F"/>
    <w:multiLevelType w:val="hybridMultilevel"/>
    <w:lvl w:ilvl="0">
      <w:lvlJc w:val="left"/>
      <w:lvlText w:val="(%1)"/>
      <w:numFmt w:val="decimal"/>
      <w:start w:val="1"/>
    </w:lvl>
  </w:abstractNum>
  <w:abstractNum w:abstractNumId="20">
    <w:nsid w:val="61574095"/>
    <w:multiLevelType w:val="hybridMultilevel"/>
    <w:lvl w:ilvl="0">
      <w:lvlJc w:val="left"/>
      <w:lvlText w:val="(%1)"/>
      <w:numFmt w:val="decimal"/>
      <w:start w:val="1"/>
    </w:lvl>
    <w:lvl w:ilvl="1">
      <w:lvlJc w:val="left"/>
      <w:lvlText w:val="%2."/>
      <w:numFmt w:val="decimal"/>
      <w:start w:val="1"/>
    </w:lvl>
  </w:abstractNum>
  <w:abstractNum w:abstractNumId="21">
    <w:nsid w:val="7E0C57B1"/>
    <w:multiLevelType w:val="hybridMultilevel"/>
    <w:lvl w:ilvl="0">
      <w:lvlJc w:val="left"/>
      <w:lvlText w:val="(%1)"/>
      <w:numFmt w:val="decimal"/>
      <w:start w:val="1"/>
    </w:lvl>
  </w:abstractNum>
  <w:abstractNum w:abstractNumId="22">
    <w:nsid w:val="77AE35EB"/>
    <w:multiLevelType w:val="hybridMultilevel"/>
    <w:lvl w:ilvl="0">
      <w:lvlJc w:val="left"/>
      <w:lvlText w:val="(%1)"/>
      <w:numFmt w:val="decimal"/>
      <w:start w:val="1"/>
    </w:lvl>
  </w:abstractNum>
  <w:abstractNum w:abstractNumId="23">
    <w:nsid w:val="579BE4F1"/>
    <w:multiLevelType w:val="hybridMultilevel"/>
    <w:lvl w:ilvl="0">
      <w:lvlJc w:val="left"/>
      <w:lvlText w:val="(%1)"/>
      <w:numFmt w:val="decimal"/>
      <w:start w:val="1"/>
    </w:lvl>
  </w:abstractNum>
  <w:abstractNum w:abstractNumId="24">
    <w:nsid w:val="310C50B3"/>
    <w:multiLevelType w:val="hybridMultilevel"/>
    <w:lvl w:ilvl="0">
      <w:lvlJc w:val="left"/>
      <w:lvlText w:val="(%1)"/>
      <w:numFmt w:val="decimal"/>
      <w:start w:val="1"/>
    </w:lvl>
  </w:abstractNum>
  <w:abstractNum w:abstractNumId="25">
    <w:nsid w:val="5FF87E05"/>
    <w:multiLevelType w:val="hybridMultilevel"/>
    <w:lvl w:ilvl="0">
      <w:lvlJc w:val="left"/>
      <w:lvlText w:val="%1."/>
      <w:numFmt w:val="decimal"/>
      <w:start w:val="1"/>
    </w:lvl>
  </w:abstractNum>
  <w:abstractNum w:abstractNumId="26">
    <w:nsid w:val="2F305DEF"/>
    <w:multiLevelType w:val="hybridMultilevel"/>
    <w:lvl w:ilvl="0">
      <w:lvlJc w:val="left"/>
      <w:lvlText w:val="(%1)"/>
      <w:numFmt w:val="decimal"/>
      <w:start w:val="4"/>
    </w:lvl>
  </w:abstractNum>
  <w:abstractNum w:abstractNumId="27">
    <w:nsid w:val="25A70BF7"/>
    <w:multiLevelType w:val="hybridMultilevel"/>
    <w:lvl w:ilvl="0">
      <w:lvlJc w:val="left"/>
      <w:lvlText w:val="(%1)"/>
      <w:numFmt w:val="decimal"/>
      <w:start w:val="1"/>
    </w:lvl>
  </w:abstractNum>
  <w:abstractNum w:abstractNumId="28">
    <w:nsid w:val="1DBABF00"/>
    <w:multiLevelType w:val="hybridMultilevel"/>
    <w:lvl w:ilvl="0">
      <w:lvlJc w:val="left"/>
      <w:lvlText w:val="(%1)"/>
      <w:numFmt w:val="decimal"/>
      <w:start w:val="2"/>
    </w:lvl>
    <w:lvl w:ilvl="1">
      <w:lvlJc w:val="left"/>
      <w:lvlText w:val="%2."/>
      <w:numFmt w:val="decimal"/>
      <w:start w:val="1"/>
    </w:lvl>
  </w:abstractNum>
  <w:abstractNum w:abstractNumId="29">
    <w:nsid w:val="4AD084E9"/>
    <w:multiLevelType w:val="hybridMultilevel"/>
    <w:lvl w:ilvl="0">
      <w:lvlJc w:val="left"/>
      <w:lvlText w:val="%1."/>
      <w:numFmt w:val="decimal"/>
      <w:start w:val="3"/>
    </w:lvl>
  </w:abstractNum>
  <w:abstractNum w:abstractNumId="30">
    <w:nsid w:val="1F48EAA1"/>
    <w:multiLevelType w:val="hybridMultilevel"/>
    <w:lvl w:ilvl="0">
      <w:lvlJc w:val="left"/>
      <w:lvlText w:val="%1."/>
      <w:numFmt w:val="decimal"/>
      <w:start w:val="5"/>
    </w:lvl>
  </w:abstractNum>
  <w:abstractNum w:abstractNumId="31">
    <w:nsid w:val="1381823A"/>
    <w:multiLevelType w:val="hybridMultilevel"/>
    <w:lvl w:ilvl="0">
      <w:lvlJc w:val="left"/>
      <w:lvlText w:val="%1."/>
      <w:numFmt w:val="decimal"/>
      <w:start w:val="1"/>
    </w:lvl>
  </w:abstractNum>
  <w:abstractNum w:abstractNumId="32">
    <w:nsid w:val="5DB70AE5"/>
    <w:multiLevelType w:val="hybridMultilevel"/>
    <w:lvl w:ilvl="0">
      <w:lvlJc w:val="left"/>
      <w:lvlText w:val="(%1)"/>
      <w:numFmt w:val="decimal"/>
      <w:start w:val="1"/>
    </w:lvl>
  </w:abstractNum>
  <w:abstractNum w:abstractNumId="33">
    <w:nsid w:val="100F8FCA"/>
    <w:multiLevelType w:val="hybridMultilevel"/>
    <w:lvl w:ilvl="0">
      <w:lvlJc w:val="left"/>
      <w:lvlText w:val="(%1)"/>
      <w:numFmt w:val="decimal"/>
      <w:start w:val="1"/>
    </w:lvl>
  </w:abstractNum>
  <w:abstractNum w:abstractNumId="34">
    <w:nsid w:val="6590700B"/>
    <w:multiLevelType w:val="hybridMultilevel"/>
    <w:lvl w:ilvl="0">
      <w:lvlJc w:val="left"/>
      <w:lvlText w:val="(%1)"/>
      <w:numFmt w:val="decimal"/>
      <w:start w:val="3"/>
    </w:lvl>
  </w:abstractNum>
  <w:abstractNum w:abstractNumId="35">
    <w:nsid w:val="15014ACB"/>
    <w:multiLevelType w:val="hybridMultilevel"/>
    <w:lvl w:ilvl="0">
      <w:lvlJc w:val="left"/>
      <w:lvlText w:val="(%1)"/>
      <w:numFmt w:val="decimal"/>
      <w:start w:val="1"/>
    </w:lvl>
    <w:lvl w:ilvl="1">
      <w:lvlJc w:val="left"/>
      <w:lvlText w:val="%2."/>
      <w:numFmt w:val="decimal"/>
      <w:start w:val="1"/>
    </w:lvl>
  </w:abstractNum>
  <w:abstractNum w:abstractNumId="36">
    <w:nsid w:val="5F5E7FD0"/>
    <w:multiLevelType w:val="hybridMultilevel"/>
    <w:lvl w:ilvl="0">
      <w:lvlJc w:val="left"/>
      <w:lvlText w:val="(%1)"/>
      <w:numFmt w:val="decimal"/>
      <w:start w:val="2"/>
    </w:lvl>
  </w:abstractNum>
  <w:abstractNum w:abstractNumId="37">
    <w:nsid w:val="98A3148"/>
    <w:multiLevelType w:val="hybridMultilevel"/>
    <w:lvl w:ilvl="0">
      <w:lvlJc w:val="left"/>
      <w:lvlText w:val="ø"/>
      <w:numFmt w:val="bullet"/>
      <w:start w:val="1"/>
    </w:lvl>
    <w:lvl w:ilvl="1">
      <w:lvlJc w:val="left"/>
      <w:lvlText w:val="(%2)"/>
      <w:numFmt w:val="decimal"/>
      <w:start w:val="1"/>
    </w:lvl>
  </w:abstractNum>
  <w:abstractNum w:abstractNumId="38">
    <w:nsid w:val="799D0247"/>
    <w:multiLevelType w:val="hybridMultilevel"/>
    <w:lvl w:ilvl="0">
      <w:lvlJc w:val="left"/>
      <w:lvlText w:val="ø"/>
      <w:numFmt w:val="bullet"/>
      <w:start w:val="1"/>
    </w:lvl>
  </w:abstractNum>
  <w:abstractNum w:abstractNumId="39">
    <w:nsid w:val="6B94764"/>
    <w:multiLevelType w:val="hybridMultilevel"/>
    <w:lvl w:ilvl="0">
      <w:lvlJc w:val="left"/>
      <w:lvlText w:val="(%1)"/>
      <w:numFmt w:val="decimal"/>
      <w:start w:val="1"/>
    </w:lvl>
  </w:abstractNum>
  <w:abstractNum w:abstractNumId="40">
    <w:nsid w:val="42C296BD"/>
    <w:multiLevelType w:val="hybridMultilevel"/>
    <w:lvl w:ilvl="0">
      <w:lvlJc w:val="left"/>
      <w:lvlText w:val="(%1)"/>
      <w:numFmt w:val="decimal"/>
      <w:start w:val="1"/>
    </w:lvl>
    <w:lvl w:ilvl="1">
      <w:lvlJc w:val="left"/>
      <w:lvlText w:val="%2."/>
      <w:numFmt w:val="decimal"/>
      <w:start w:val="1"/>
    </w:lvl>
  </w:abstractNum>
  <w:abstractNum w:abstractNumId="41">
    <w:nsid w:val="168E121F"/>
    <w:multiLevelType w:val="hybridMultilevel"/>
    <w:lvl w:ilvl="0">
      <w:lvlJc w:val="left"/>
      <w:lvlText w:val="%1"/>
      <w:numFmt w:val="decimal"/>
      <w:start w:val="1"/>
    </w:lvl>
    <w:lvl w:ilvl="1">
      <w:lvlJc w:val="left"/>
      <w:lvlText w:val="%2."/>
      <w:numFmt w:val="decimal"/>
      <w:start w:val="3"/>
    </w:lvl>
  </w:abstractNum>
  <w:abstractNum w:abstractNumId="42">
    <w:nsid w:val="1EBA5D23"/>
    <w:multiLevelType w:val="hybridMultilevel"/>
    <w:lvl w:ilvl="0">
      <w:lvlJc w:val="left"/>
      <w:lvlText w:val="(%1)"/>
      <w:numFmt w:val="decimal"/>
      <w:start w:val="6"/>
    </w:lvl>
    <w:lvl w:ilvl="1">
      <w:lvlJc w:val="left"/>
      <w:lvlText w:val="%2"/>
      <w:numFmt w:val="decimal"/>
      <w:start w:val="1"/>
    </w:lvl>
  </w:abstractNum>
  <w:abstractNum w:abstractNumId="43">
    <w:nsid w:val="661E3F1E"/>
    <w:multiLevelType w:val="hybridMultilevel"/>
    <w:lvl w:ilvl="0">
      <w:lvlJc w:val="left"/>
      <w:lvlText w:val="ø"/>
      <w:numFmt w:val="bullet"/>
      <w:start w:val="1"/>
    </w:lvl>
    <w:lvl w:ilvl="1">
      <w:lvlJc w:val="left"/>
      <w:lvlText w:val="(%2)"/>
      <w:numFmt w:val="decimal"/>
      <w:start w:val="1"/>
    </w:lvl>
    <w:lvl w:ilvl="2">
      <w:lvlJc w:val="left"/>
      <w:lvlText w:val="%3."/>
      <w:numFmt w:val="decimal"/>
      <w:start w:val="1"/>
    </w:lvl>
  </w:abstractNum>
  <w:abstractNum w:abstractNumId="44">
    <w:nsid w:val="5DC79EA8"/>
    <w:multiLevelType w:val="hybridMultilevel"/>
    <w:lvl w:ilvl="0">
      <w:lvlJc w:val="left"/>
      <w:lvlText w:val="(%1)"/>
      <w:numFmt w:val="decimal"/>
      <w:start w:val="2"/>
    </w:lvl>
    <w:lvl w:ilvl="1">
      <w:lvlJc w:val="left"/>
      <w:lvlText w:val="%2."/>
      <w:numFmt w:val="decimal"/>
      <w:start w:val="1"/>
    </w:lvl>
  </w:abstractNum>
  <w:abstractNum w:abstractNumId="45">
    <w:nsid w:val="540A471C"/>
    <w:multiLevelType w:val="hybridMultilevel"/>
    <w:lvl w:ilvl="0">
      <w:lvlJc w:val="left"/>
      <w:lvlText w:val="%1"/>
      <w:numFmt w:val="decimal"/>
      <w:start w:val="1"/>
    </w:lvl>
    <w:lvl w:ilvl="1">
      <w:lvlJc w:val="left"/>
      <w:lvlText w:val="%2."/>
      <w:numFmt w:val="decimal"/>
      <w:start w:val="2"/>
    </w:lvl>
  </w:abstractNum>
  <w:abstractNum w:abstractNumId="46">
    <w:nsid w:val="7BD3EE7B"/>
    <w:multiLevelType w:val="hybridMultilevel"/>
    <w:lvl w:ilvl="0">
      <w:lvlJc w:val="left"/>
      <w:lvlText w:val="(%1)"/>
      <w:numFmt w:val="decimal"/>
      <w:start w:val="4"/>
    </w:lvl>
    <w:lvl w:ilvl="1">
      <w:lvlJc w:val="left"/>
      <w:lvlText w:val="%2"/>
      <w:numFmt w:val="decimal"/>
      <w:start w:val="1"/>
    </w:lvl>
  </w:abstractNum>
  <w:abstractNum w:abstractNumId="47">
    <w:nsid w:val="51D9C564"/>
    <w:multiLevelType w:val="hybridMultilevel"/>
    <w:lvl w:ilvl="0">
      <w:lvlJc w:val="left"/>
      <w:lvlText w:val="(%1)"/>
      <w:numFmt w:val="decimal"/>
      <w:start w:val="1"/>
    </w:lvl>
  </w:abstractNum>
  <w:abstractNum w:abstractNumId="48">
    <w:nsid w:val="613EFDC5"/>
    <w:multiLevelType w:val="hybridMultilevel"/>
    <w:lvl w:ilvl="0">
      <w:lvlJc w:val="left"/>
      <w:lvlText w:val="(%1)"/>
      <w:numFmt w:val="decimal"/>
      <w:start w:val="1"/>
    </w:lvl>
  </w:abstractNum>
  <w:abstractNum w:abstractNumId="49">
    <w:nsid w:val="BF72B14"/>
    <w:multiLevelType w:val="hybridMultilevel"/>
    <w:lvl w:ilvl="0">
      <w:lvlJc w:val="left"/>
      <w:lvlText w:val="(%1)"/>
      <w:numFmt w:val="decimal"/>
      <w:start w:val="2"/>
    </w:lvl>
  </w:abstractNum>
  <w:abstractNum w:abstractNumId="50">
    <w:nsid w:val="11447B73"/>
    <w:multiLevelType w:val="hybridMultilevel"/>
    <w:lvl w:ilvl="0">
      <w:lvlJc w:val="left"/>
      <w:lvlText w:val="(%1)"/>
      <w:numFmt w:val="decimal"/>
      <w:start w:val="1"/>
    </w:lvl>
  </w:abstractNum>
  <w:abstractNum w:abstractNumId="51">
    <w:nsid w:val="42963E5A"/>
    <w:multiLevelType w:val="hybridMultilevel"/>
    <w:lvl w:ilvl="0">
      <w:lvlJc w:val="left"/>
      <w:lvlText w:val="(%1)"/>
      <w:numFmt w:val="decimal"/>
      <w:start w:val="5"/>
    </w:lvl>
  </w:abstractNum>
  <w:abstractNum w:abstractNumId="52">
    <w:nsid w:val="A0382C5"/>
    <w:multiLevelType w:val="hybridMultilevel"/>
    <w:lvl w:ilvl="0">
      <w:lvlJc w:val="left"/>
      <w:lvlText w:val="(%1)"/>
      <w:numFmt w:val="decimal"/>
      <w:start w:val="1"/>
    </w:lvl>
    <w:lvl w:ilvl="1">
      <w:lvlJc w:val="left"/>
      <w:lvlText w:val="%2."/>
      <w:numFmt w:val="decimal"/>
      <w:start w:val="1"/>
    </w:lvl>
  </w:abstractNum>
  <w:abstractNum w:abstractNumId="53">
    <w:nsid w:val="8F2B15E"/>
    <w:multiLevelType w:val="hybridMultilevel"/>
    <w:lvl w:ilvl="0">
      <w:lvlJc w:val="left"/>
      <w:lvlText w:val="%1"/>
      <w:numFmt w:val="decimal"/>
      <w:start w:val="1"/>
    </w:lvl>
    <w:lvl w:ilvl="1">
      <w:lvlJc w:val="left"/>
      <w:lvlText w:val="%2"/>
      <w:numFmt w:val="decimal"/>
      <w:start w:val="11"/>
    </w:lvl>
  </w:abstractNum>
  <w:abstractNum w:abstractNumId="54">
    <w:nsid w:val="1A32234B"/>
    <w:multiLevelType w:val="hybridMultilevel"/>
    <w:lvl w:ilvl="0">
      <w:lvlJc w:val="left"/>
      <w:lvlText w:val="(%1)"/>
      <w:numFmt w:val="decimal"/>
      <w:start w:val="4"/>
    </w:lvl>
    <w:lvl w:ilvl="1">
      <w:lvlJc w:val="left"/>
      <w:lvlText w:val="%2"/>
      <w:numFmt w:val="decimal"/>
      <w:start w:val="1"/>
    </w:lvl>
  </w:abstractNum>
  <w:abstractNum w:abstractNumId="55">
    <w:nsid w:val="3B0FD379"/>
    <w:multiLevelType w:val="hybridMultilevel"/>
    <w:lvl w:ilvl="0">
      <w:lvlJc w:val="left"/>
      <w:lvlText w:val="(%1)"/>
      <w:numFmt w:val="decimal"/>
      <w:start w:val="1"/>
    </w:lvl>
  </w:abstractNum>
  <w:abstractNum w:abstractNumId="56">
    <w:nsid w:val="68EB2F63"/>
    <w:multiLevelType w:val="hybridMultilevel"/>
    <w:lvl w:ilvl="0">
      <w:lvlJc w:val="left"/>
      <w:lvlText w:val="(%1)"/>
      <w:numFmt w:val="decimal"/>
      <w:start w:val="3"/>
    </w:lvl>
  </w:abstractNum>
  <w:abstractNum w:abstractNumId="57">
    <w:nsid w:val="4962813B"/>
    <w:multiLevelType w:val="hybridMultilevel"/>
    <w:lvl w:ilvl="0">
      <w:lvlJc w:val="left"/>
      <w:lvlText w:val="(%1)"/>
      <w:numFmt w:val="decimal"/>
      <w:start w:val="1"/>
    </w:lvl>
  </w:abstractNum>
  <w:abstractNum w:abstractNumId="58">
    <w:nsid w:val="60B6DF70"/>
    <w:multiLevelType w:val="hybridMultilevel"/>
    <w:lvl w:ilvl="0">
      <w:lvlJc w:val="left"/>
      <w:lvlText w:val="(%1)"/>
      <w:numFmt w:val="decimal"/>
      <w:start w:val="1"/>
    </w:lvl>
  </w:abstractNum>
  <w:abstractNum w:abstractNumId="59">
    <w:nsid w:val="6A5EE64"/>
    <w:multiLevelType w:val="hybridMultilevel"/>
    <w:lvl w:ilvl="0">
      <w:lvlJc w:val="left"/>
      <w:lvlText w:val="(%1)"/>
      <w:numFmt w:val="decimal"/>
      <w:start w:val="4"/>
    </w:lvl>
  </w:abstractNum>
  <w:abstractNum w:abstractNumId="60">
    <w:nsid w:val="14330624"/>
    <w:multiLevelType w:val="hybridMultilevel"/>
    <w:lvl w:ilvl="0">
      <w:lvlJc w:val="left"/>
      <w:lvlText w:val="(%1)"/>
      <w:numFmt w:val="decimal"/>
      <w:start w:val="1"/>
    </w:lvl>
  </w:abstractNum>
  <w:abstractNum w:abstractNumId="61">
    <w:nsid w:val="7FFFCA11"/>
    <w:multiLevelType w:val="hybridMultilevel"/>
    <w:lvl w:ilvl="0">
      <w:lvlJc w:val="left"/>
      <w:lvlText w:val="(%1)"/>
      <w:numFmt w:val="decimal"/>
      <w:start w:val="1"/>
    </w:lvl>
  </w:abstractNum>
  <w:abstractNum w:abstractNumId="62">
    <w:nsid w:val="1A27709E"/>
    <w:multiLevelType w:val="hybridMultilevel"/>
    <w:lvl w:ilvl="0">
      <w:lvlJc w:val="left"/>
      <w:lvlText w:val="(%1)"/>
      <w:numFmt w:val="decimal"/>
      <w:start w:val="1"/>
    </w:lvl>
  </w:abstractNum>
  <w:abstractNum w:abstractNumId="63">
    <w:nsid w:val="71EA1109"/>
    <w:multiLevelType w:val="hybridMultilevel"/>
    <w:lvl w:ilvl="0">
      <w:lvlJc w:val="left"/>
      <w:lvlText w:val="(%1)"/>
      <w:numFmt w:val="decimal"/>
      <w:start w:val="2"/>
    </w:lvl>
  </w:abstractNum>
  <w:abstractNum w:abstractNumId="64">
    <w:nsid w:val="100F59DC"/>
    <w:multiLevelType w:val="hybridMultilevel"/>
    <w:lvl w:ilvl="0">
      <w:lvlJc w:val="left"/>
      <w:lvlText w:val="(%1)"/>
      <w:numFmt w:val="decimal"/>
      <w:start w:val="1"/>
    </w:lvl>
  </w:abstractNum>
  <w:abstractNum w:abstractNumId="65">
    <w:nsid w:val="7FB7E0AA"/>
    <w:multiLevelType w:val="hybridMultilevel"/>
    <w:lvl w:ilvl="0">
      <w:lvlJc w:val="left"/>
      <w:lvlText w:val="(%1)"/>
      <w:numFmt w:val="decimal"/>
      <w:start w:val="1"/>
    </w:lvl>
  </w:abstractNum>
  <w:abstractNum w:abstractNumId="66">
    <w:nsid w:val="6EB5BD4"/>
    <w:multiLevelType w:val="hybridMultilevel"/>
    <w:lvl w:ilvl="0">
      <w:lvlJc w:val="left"/>
      <w:lvlText w:val="ø"/>
      <w:numFmt w:val="bullet"/>
      <w:start w:val="1"/>
    </w:lvl>
    <w:lvl w:ilvl="1">
      <w:lvlJc w:val="left"/>
      <w:lvlText w:val="(%2)"/>
      <w:numFmt w:val="decimal"/>
      <w:start w:val="1"/>
    </w:lvl>
    <w:lvl w:ilvl="2">
      <w:lvlJc w:val="left"/>
      <w:lvlText w:val="%3."/>
      <w:numFmt w:val="decimal"/>
      <w:start w:val="1"/>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1."/>
      <w:numFmt w:val="decimal"/>
      <w:start w:val="1"/>
    </w:lvl>
  </w:abstractNum>
  <w:abstractNum w:abstractNumId="69">
    <w:nsid w:val="885E1B"/>
    <w:multiLevelType w:val="hybridMultilevel"/>
    <w:lvl w:ilvl="0">
      <w:lvlJc w:val="left"/>
      <w:lvlText w:val="%1."/>
      <w:numFmt w:val="lowerLetter"/>
      <w:start w:val="1"/>
    </w:lvl>
  </w:abstractNum>
  <w:abstractNum w:abstractNumId="70">
    <w:nsid w:val="76272110"/>
    <w:multiLevelType w:val="hybridMultilevel"/>
    <w:lvl w:ilvl="0">
      <w:lvlJc w:val="left"/>
      <w:lvlText w:val="%1."/>
      <w:numFmt w:val="decimal"/>
      <w:start w:val="2"/>
    </w:lvl>
    <w:lvl w:ilvl="1">
      <w:lvlJc w:val="left"/>
      <w:lvlText w:val="%2."/>
      <w:numFmt w:val="lowerLetter"/>
      <w:start w:val="1"/>
    </w:lvl>
  </w:abstractNum>
  <w:abstractNum w:abstractNumId="71">
    <w:nsid w:val="4C04A8AF"/>
    <w:multiLevelType w:val="hybridMultilevel"/>
    <w:lvl w:ilvl="0">
      <w:lvlJc w:val="left"/>
      <w:lvlText w:val="%1."/>
      <w:numFmt w:val="decimal"/>
      <w:start w:val="1"/>
    </w:lvl>
  </w:abstractNum>
  <w:abstractNum w:abstractNumId="72">
    <w:nsid w:val="1716703B"/>
    <w:multiLevelType w:val="hybridMultilevel"/>
    <w:lvl w:ilvl="0">
      <w:lvlJc w:val="left"/>
      <w:lvlText w:val="%1."/>
      <w:numFmt w:val="decimal"/>
      <w:start w:val="1"/>
    </w:lvl>
  </w:abstractNum>
  <w:abstractNum w:abstractNumId="73">
    <w:nsid w:val="14E17E33"/>
    <w:multiLevelType w:val="hybridMultilevel"/>
    <w:lvl w:ilvl="0">
      <w:lvlJc w:val="left"/>
      <w:lvlText w:val="%1."/>
      <w:numFmt w:val="decimal"/>
      <w:start w:val="1"/>
    </w:lvl>
  </w:abstractNum>
  <w:abstractNum w:abstractNumId="74">
    <w:nsid w:val="3222E7CD"/>
    <w:multiLevelType w:val="hybridMultilevel"/>
    <w:lvl w:ilvl="0">
      <w:lvlJc w:val="left"/>
      <w:lvlText w:val="%1."/>
      <w:numFmt w:val="decimal"/>
      <w:start w:val="1"/>
    </w:lvl>
  </w:abstractNum>
  <w:abstractNum w:abstractNumId="75">
    <w:nsid w:val="74DE0EE3"/>
    <w:multiLevelType w:val="hybridMultilevel"/>
    <w:lvl w:ilvl="0">
      <w:lvlJc w:val="left"/>
      <w:lvlText w:val="%1."/>
      <w:numFmt w:val="decimal"/>
      <w:start w:val="3"/>
    </w:lvl>
  </w:abstractNum>
  <w:abstractNum w:abstractNumId="76">
    <w:nsid w:val="68EBC550"/>
    <w:multiLevelType w:val="hybridMultilevel"/>
    <w:lvl w:ilvl="0">
      <w:lvlJc w:val="left"/>
      <w:lvlText w:val="%1."/>
      <w:numFmt w:val="decimal"/>
      <w:start w:val="1"/>
    </w:lvl>
  </w:abstractNum>
  <w:abstractNum w:abstractNumId="77">
    <w:nsid w:val="2DF6D648"/>
    <w:multiLevelType w:val="hybridMultilevel"/>
    <w:lvl w:ilvl="0">
      <w:lvlJc w:val="left"/>
      <w:lvlText w:val="%1."/>
      <w:numFmt w:val="decimal"/>
      <w:start w:val="1"/>
    </w:lvl>
  </w:abstractNum>
  <w:abstractNum w:abstractNumId="78">
    <w:nsid w:val="46B7D44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9">
    <w:nsid w:val="4A2AC315"/>
    <w:multiLevelType w:val="hybridMultilevel"/>
    <w:lvl w:ilvl="0">
      <w:lvlJc w:val="left"/>
      <w:lvlText w:val="%1."/>
      <w:numFmt w:val="decimal"/>
      <w:start w:val="1"/>
    </w:lvl>
  </w:abstractNum>
  <w:abstractNum w:abstractNumId="80">
    <w:nsid w:val="39EE015C"/>
    <w:multiLevelType w:val="hybridMultilevel"/>
    <w:lvl w:ilvl="0">
      <w:lvlJc w:val="left"/>
      <w:lvlText w:val="*"/>
      <w:numFmt w:val="bullet"/>
      <w:start w:val="1"/>
    </w:lvl>
  </w:abstractNum>
  <w:abstractNum w:abstractNumId="81">
    <w:nsid w:val="57FC4FBB"/>
    <w:multiLevelType w:val="hybridMultilevel"/>
    <w:lvl w:ilvl="0">
      <w:lvlJc w:val="left"/>
      <w:lvlText w:val="*"/>
      <w:numFmt w:val="bullet"/>
      <w:start w:val="1"/>
    </w:lvl>
  </w:abstractNum>
  <w:abstractNum w:abstractNumId="82">
    <w:nsid w:val="CC1016F"/>
    <w:multiLevelType w:val="hybridMultilevel"/>
    <w:lvl w:ilvl="0">
      <w:lvlJc w:val="left"/>
      <w:lvlText w:val="%1."/>
      <w:numFmt w:val="decimal"/>
      <w:start w:val="1"/>
    </w:lvl>
  </w:abstractNum>
  <w:abstractNum w:abstractNumId="83">
    <w:nsid w:val="43F18422"/>
    <w:multiLevelType w:val="hybridMultilevel"/>
    <w:lvl w:ilvl="0">
      <w:lvlJc w:val="left"/>
      <w:lvlText w:val="%1."/>
      <w:numFmt w:val="decimal"/>
      <w:start w:val="8"/>
    </w:lvl>
  </w:abstractNum>
  <w:abstractNum w:abstractNumId="84">
    <w:nsid w:val="60EF0119"/>
    <w:multiLevelType w:val="hybridMultilevel"/>
    <w:lvl w:ilvl="0">
      <w:lvlJc w:val="left"/>
      <w:lvlText w:val="%1."/>
      <w:numFmt w:val="decimal"/>
      <w:start w:val="11"/>
    </w:lvl>
  </w:abstractNum>
  <w:abstractNum w:abstractNumId="85">
    <w:nsid w:val="26F324BA"/>
    <w:multiLevelType w:val="hybridMultilevel"/>
    <w:lvl w:ilvl="0">
      <w:lvlJc w:val="left"/>
      <w:lvlText w:val="%1."/>
      <w:numFmt w:val="decimal"/>
      <w:start w:val="13"/>
    </w:lvl>
  </w:abstractNum>
  <w:abstractNum w:abstractNumId="86">
    <w:nsid w:val="7F01579B"/>
    <w:multiLevelType w:val="hybridMultilevel"/>
    <w:lvl w:ilvl="0">
      <w:lvlJc w:val="left"/>
      <w:lvlText w:val="%1."/>
      <w:numFmt w:val="decimal"/>
      <w:start w:val="18"/>
    </w:lvl>
  </w:abstractNum>
  <w:abstractNum w:abstractNumId="87">
    <w:nsid w:val="49DA307D"/>
    <w:multiLevelType w:val="hybridMultilevel"/>
    <w:lvl w:ilvl="0">
      <w:lvlJc w:val="left"/>
      <w:lvlText w:val="%1."/>
      <w:numFmt w:val="decimal"/>
      <w:start w:val="23"/>
    </w:lvl>
  </w:abstractNum>
  <w:abstractNum w:abstractNumId="88">
    <w:nsid w:val="7055A5F5"/>
    <w:multiLevelType w:val="hybridMultilevel"/>
    <w:lvl w:ilvl="0">
      <w:lvlJc w:val="left"/>
      <w:lvlText w:val="-"/>
      <w:numFmt w:val="bullet"/>
      <w:start w:val="1"/>
    </w:lvl>
  </w:abstractNum>
  <w:abstractNum w:abstractNumId="89">
    <w:nsid w:val="5FB8370B"/>
    <w:multiLevelType w:val="hybridMultilevel"/>
    <w:lvl w:ilvl="0">
      <w:lvlJc w:val="left"/>
      <w:lvlText w:val="-"/>
      <w:numFmt w:val="bullet"/>
      <w:start w:val="1"/>
    </w:lvl>
  </w:abstractNum>
  <w:abstractNum w:abstractNumId="90">
    <w:nsid w:val="50801EE1"/>
    <w:multiLevelType w:val="hybridMultilevel"/>
    <w:lvl w:ilvl="0">
      <w:lvlJc w:val="left"/>
      <w:lvlText w:val="✓"/>
      <w:numFmt w:val="bullet"/>
      <w:start w:val="1"/>
    </w:lvl>
  </w:abstractNum>
  <w:abstractNum w:abstractNumId="91">
    <w:nsid w:val="488AC1A"/>
    <w:multiLevelType w:val="hybridMultilevel"/>
    <w:lvl w:ilvl="0">
      <w:lvlJc w:val="left"/>
      <w:lvlText w:val="✓"/>
      <w:numFmt w:val="bullet"/>
      <w:start w:val="1"/>
    </w:lvl>
  </w:abstractNum>
  <w:abstractNum w:abstractNumId="92">
    <w:nsid w:val="5FB8011C"/>
    <w:multiLevelType w:val="hybridMultilevel"/>
    <w:lvl w:ilvl="0">
      <w:lvlJc w:val="left"/>
      <w:lvlText w:val="-"/>
      <w:numFmt w:val="bullet"/>
      <w:start w:val="1"/>
    </w:lvl>
  </w:abstractNum>
  <w:abstractNum w:abstractNumId="93">
    <w:nsid w:val="6AA78F7F"/>
    <w:multiLevelType w:val="hybridMultilevel"/>
    <w:lvl w:ilvl="0">
      <w:lvlJc w:val="left"/>
      <w:lvlText w:val="%1."/>
      <w:numFmt w:val="decimal"/>
      <w:start w:val="1"/>
    </w:lvl>
  </w:abstractNum>
  <w:abstractNum w:abstractNumId="94">
    <w:nsid w:val="7672BD23"/>
    <w:multiLevelType w:val="hybridMultilevel"/>
    <w:lvl w:ilvl="0">
      <w:lvlJc w:val="left"/>
      <w:lvlText w:val="(%1)"/>
      <w:numFmt w:val="lowerLetter"/>
      <w:start w:val="1"/>
    </w:lvl>
  </w:abstractNum>
  <w:abstractNum w:abstractNumId="95">
    <w:nsid w:val="6FC75AF8"/>
    <w:multiLevelType w:val="hybridMultilevel"/>
    <w:lvl w:ilvl="0">
      <w:lvlJc w:val="left"/>
      <w:lvlText w:val="%1."/>
      <w:numFmt w:val="decimal"/>
      <w:start w:val="5"/>
    </w:lvl>
  </w:abstractNum>
  <w:abstractNum w:abstractNumId="96">
    <w:nsid w:val="6A5F7029"/>
    <w:multiLevelType w:val="hybridMultilevel"/>
    <w:lvl w:ilvl="0">
      <w:lvlJc w:val="left"/>
      <w:lvlText w:val="(%1)"/>
      <w:numFmt w:val="lowerLetter"/>
      <w:start w:val="1"/>
    </w:lvl>
  </w:abstractNum>
  <w:abstractNum w:abstractNumId="97">
    <w:nsid w:val="7D5E18F8"/>
    <w:multiLevelType w:val="hybridMultilevel"/>
    <w:lvl w:ilvl="0">
      <w:lvlJc w:val="left"/>
      <w:lvlText w:val="%1."/>
      <w:numFmt w:val="decimal"/>
      <w:start w:val="1"/>
    </w:lvl>
  </w:abstractNum>
  <w:abstractNum w:abstractNumId="98">
    <w:nsid w:val="5F3534A4"/>
    <w:multiLevelType w:val="hybridMultilevel"/>
    <w:lvl w:ilvl="0">
      <w:lvlJc w:val="left"/>
      <w:lvlText w:val="(%1)"/>
      <w:numFmt w:val="lowerLetter"/>
      <w:start w:val="1"/>
    </w:lvl>
  </w:abstractNum>
  <w:abstractNum w:abstractNumId="99">
    <w:nsid w:val="73A1821B"/>
    <w:multiLevelType w:val="hybridMultilevel"/>
    <w:lvl w:ilvl="0">
      <w:lvlJc w:val="left"/>
      <w:lvlText w:val="%1."/>
      <w:numFmt w:val="decimal"/>
      <w:start w:val="5"/>
    </w:lvl>
  </w:abstractNum>
  <w:abstractNum w:abstractNumId="100">
    <w:nsid w:val="7DE67713"/>
    <w:multiLevelType w:val="hybridMultilevel"/>
    <w:lvl w:ilvl="0">
      <w:lvlJc w:val="left"/>
      <w:lvlText w:val="(%1)"/>
      <w:numFmt w:val="lowerLetter"/>
      <w:start w:val="1"/>
    </w:lvl>
  </w:abstractNum>
  <w:abstractNum w:abstractNumId="101">
    <w:nsid w:val="555C55B5"/>
    <w:multiLevelType w:val="hybridMultilevel"/>
    <w:lvl w:ilvl="0">
      <w:lvlJc w:val="left"/>
      <w:lvlText w:val="(%1)"/>
      <w:numFmt w:val="lowerRoman"/>
      <w:start w:val="1"/>
    </w:lvl>
  </w:abstractNum>
  <w:abstractNum w:abstractNumId="102">
    <w:nsid w:val="3FA62AC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67" Type="http://schemas.openxmlformats.org/officeDocument/2006/relationships/hyperlink" Target="http://www.sec.gov/ix?doc=/Archives/edgar/data/1325702/000119312524077621/d819823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2024-05-10T15:56:06Z</dcterms:created>
  <dcterms:modified xsi:type="dcterms:W3CDTF">2024-05-10T15:56:06Z</dcterms:modified>
</cp:coreProperties>
</file>