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left="444" w:right="1940"/>
        <w:spacing w:after="0" w:line="264" w:lineRule="auto"/>
        <w:rPr>
          <w:sz w:val="20"/>
          <w:szCs w:val="20"/>
          <w:color w:val="auto"/>
        </w:rPr>
      </w:pPr>
      <w:r>
        <w:rPr>
          <w:rFonts w:ascii="Times New Roman" w:cs="Times New Roman" w:eastAsia="Times New Roman" w:hAnsi="Times New Roman"/>
          <w:sz w:val="18"/>
          <w:szCs w:val="18"/>
          <w:b w:val="1"/>
          <w:bCs w:val="1"/>
          <w:color w:val="auto"/>
        </w:rPr>
        <w:t>c/o Magnachip Semiconductor, Ltd. 15F, 76 Jikji-daero 436beon-gil, Heungdeok-gu Cheongju-si, Chungcheongbuk-do, 28581, Republic of Korea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sectPr>
          <w:pgSz w:w="11900" w:h="16838" w:orient="portrait"/>
          <w:cols w:equalWidth="0" w:num="2">
            <w:col w:w="7044" w:space="720"/>
            <w:col w:w="326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held its 2024 Annual Meeting of Stockholders (“Annual Meeting”) on June 13, 2024. As of the close of business on the record date of April 23, 2024, there were 38,263,642 shares of the Company’s common stock outstanding and entitled to vote at the Annual Meeting. The number of shares of the Company’s common stock present at the meeting, in person or by proxy, was 29,687,036, or 77.59% of the outstanding shares entitled to vote.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meeting, the following proposals were submitted to a vote of the Company’s stockholders, with the final voting results indicated below:</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1 - Election of Directors</w:t>
      </w:r>
      <w:r>
        <w:rPr>
          <w:rFonts w:ascii="Times New Roman" w:cs="Times New Roman" w:eastAsia="Times New Roman" w:hAnsi="Times New Roman"/>
          <w:sz w:val="18"/>
          <w:szCs w:val="18"/>
          <w:color w:val="auto"/>
        </w:rPr>
        <w:t>. The Company’s stockholders elected the following five directors to serve until the 2025 Annual Meetings of Stockholders and until their respective successors are elected and qualified.</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For</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Kyo-Hwa (Liz) Chung</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18,773,575</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2,399,482</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8,513,979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Young-Joon (YJ) Kim</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18,616,284</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2,556,773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8,513,979</w:t>
            </w:r>
          </w:p>
        </w:tc>
        <w:tc>
          <w:tcPr>
            <w:tcW w:w="6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Ilbok Lee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16,855,117</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4,317,940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8,513,979</w:t>
            </w:r>
          </w:p>
        </w:tc>
        <w:tc>
          <w:tcPr>
            <w:tcW w:w="6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Gilbert Nathan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17,892,233</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3,280,824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8,513,979</w:t>
            </w:r>
          </w:p>
        </w:tc>
        <w:tc>
          <w:tcPr>
            <w:tcW w:w="6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Camillo Martino</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17,859,261</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3,313,796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8,513,979</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2 - Advisory Vote on the Compensation of the Named Executive Officers</w:t>
      </w:r>
      <w:r>
        <w:rPr>
          <w:rFonts w:ascii="Times New Roman" w:cs="Times New Roman" w:eastAsia="Times New Roman" w:hAnsi="Times New Roman"/>
          <w:sz w:val="18"/>
          <w:szCs w:val="18"/>
          <w:color w:val="auto"/>
        </w:rPr>
        <w:t>. The Company’s stockholders approved, on an advisory basis, the compensation of the Company’s named executive officers as disclosed in the Company’s 2024 proxy materials.</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16,917,873</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4,225,854</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29,330</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8,513,979</w:t>
            </w:r>
          </w:p>
        </w:tc>
      </w:tr>
    </w:tbl>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3 - Ratification of the Appointment of Samil PricewaterhouseCoopers</w:t>
      </w:r>
      <w:r>
        <w:rPr>
          <w:rFonts w:ascii="Times New Roman" w:cs="Times New Roman" w:eastAsia="Times New Roman" w:hAnsi="Times New Roman"/>
          <w:sz w:val="18"/>
          <w:szCs w:val="18"/>
          <w:color w:val="auto"/>
        </w:rPr>
        <w:t>. The Company’s stockholders ratified the appointment of Samil PricewaterhouseCoopers as the Company’s independent registered public accounting firm for the fiscal year ending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20" w:type="dxa"/>
            <w:vAlign w:val="bottom"/>
          </w:tcPr>
          <w:p>
            <w:pPr>
              <w:spacing w:after="0"/>
              <w:rPr>
                <w:sz w:val="16"/>
                <w:szCs w:val="16"/>
                <w:color w:val="auto"/>
              </w:rPr>
            </w:pPr>
          </w:p>
        </w:tc>
        <w:tc>
          <w:tcPr>
            <w:tcW w:w="344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2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1320" w:type="dxa"/>
            <w:vAlign w:val="bottom"/>
          </w:tcPr>
          <w:p>
            <w:pPr>
              <w:spacing w:after="0"/>
              <w:rPr>
                <w:sz w:val="18"/>
                <w:szCs w:val="18"/>
                <w:color w:val="auto"/>
              </w:rPr>
            </w:pPr>
          </w:p>
        </w:tc>
        <w:tc>
          <w:tcPr>
            <w:tcW w:w="284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28,575,490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1,094,283</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17,263</w:t>
            </w:r>
          </w:p>
        </w:tc>
      </w:tr>
      <w:tr>
        <w:trPr>
          <w:trHeight w:val="432"/>
        </w:trPr>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There were no broker non-votes with respect to Proposal 3.</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pacing w:after="0" w:line="19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4 - Advisory Vote on the Frequency of Stockholder Vote on Executive Compensation</w:t>
      </w:r>
      <w:r>
        <w:rPr>
          <w:rFonts w:ascii="Times New Roman" w:cs="Times New Roman" w:eastAsia="Times New Roman" w:hAnsi="Times New Roman"/>
          <w:sz w:val="18"/>
          <w:szCs w:val="18"/>
          <w:color w:val="auto"/>
        </w:rPr>
        <w:t>. The Company’s stockholders voted, on an advisory basis, regarding the frequency of future advisory votes on the compensation of the Company’s named executive officers. “1 Year” received the most votes.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 Year</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3 Year</w:t>
            </w:r>
          </w:p>
        </w:tc>
        <w:tc>
          <w:tcPr>
            <w:tcW w:w="21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182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19,235,551</w:t>
            </w:r>
          </w:p>
        </w:tc>
        <w:tc>
          <w:tcPr>
            <w:tcW w:w="1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16,105</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1,570,381</w:t>
            </w:r>
          </w:p>
        </w:tc>
        <w:tc>
          <w:tcPr>
            <w:tcW w:w="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351,020</w:t>
            </w:r>
          </w:p>
        </w:tc>
        <w:tc>
          <w:tcPr>
            <w:tcW w:w="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8,513,979</w:t>
            </w: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these results, and consistent with the Board’s recommendation disclosed in the Company’s 2024 proxy materials, the Board has determined that the Company will hold an advisory vote on the compensation of the Company’s named executive officers on an annual basis.</w:t>
      </w:r>
    </w:p>
    <w:p>
      <w:pPr>
        <w:sectPr>
          <w:pgSz w:w="11900" w:h="16838" w:orient="portrait"/>
          <w:cols w:equalWidth="0" w:num="1">
            <w:col w:w="10800"/>
          </w:cols>
          <w:pgMar w:left="440" w:top="293" w:right="6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June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2024-06-20T15:46:47Z</dcterms:created>
  <dcterms:modified xsi:type="dcterms:W3CDTF">2024-06-20T15:46:47Z</dcterms:modified>
</cp:coreProperties>
</file>