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120" w:type="dxa"/>
            <w:vAlign w:val="bottom"/>
          </w:tcPr>
          <w:p>
            <w:pPr>
              <w:jc w:val="center"/>
              <w:ind w:right="23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20" w:type="dxa"/>
            <w:vAlign w:val="bottom"/>
          </w:tcPr>
          <w:p>
            <w:pPr>
              <w:jc w:val="center"/>
              <w:ind w:right="233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20" w:type="dxa"/>
            <w:vAlign w:val="bottom"/>
          </w:tcPr>
          <w:p>
            <w:pPr>
              <w:jc w:val="center"/>
              <w:ind w:left="1138"/>
              <w:spacing w:after="0"/>
              <w:rPr>
                <w:sz w:val="20"/>
                <w:szCs w:val="20"/>
                <w:color w:val="auto"/>
              </w:rPr>
            </w:pPr>
            <w:r>
              <w:rPr>
                <w:rFonts w:ascii="Times New Roman" w:cs="Times New Roman" w:eastAsia="Times New Roman" w:hAnsi="Times New Roman"/>
                <w:sz w:val="18"/>
                <w:szCs w:val="18"/>
                <w:b w:val="1"/>
                <w:bCs w:val="1"/>
                <w:color w:val="auto"/>
                <w:w w:val="99"/>
              </w:rPr>
              <w:t>c/o Magnachip Semiconductor, Ltd.</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6340" w:type="dxa"/>
            <w:vAlign w:val="bottom"/>
            <w:gridSpan w:val="2"/>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9"/>
              </w:rPr>
              <w:t>15F, 76 Jikji-daero 436beon-gil, Heungdeok-gu</w:t>
            </w:r>
          </w:p>
        </w:tc>
        <w:tc>
          <w:tcPr>
            <w:tcW w:w="2460" w:type="dxa"/>
            <w:vAlign w:val="bottom"/>
          </w:tcPr>
          <w:p>
            <w:pPr>
              <w:spacing w:after="0"/>
              <w:rPr>
                <w:sz w:val="18"/>
                <w:szCs w:val="18"/>
                <w:color w:val="auto"/>
              </w:rPr>
            </w:pPr>
          </w:p>
        </w:tc>
      </w:tr>
      <w:tr>
        <w:trPr>
          <w:trHeight w:val="227"/>
        </w:trPr>
        <w:tc>
          <w:tcPr>
            <w:tcW w:w="6340" w:type="dxa"/>
            <w:vAlign w:val="bottom"/>
            <w:gridSpan w:val="2"/>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9"/>
              </w:rPr>
              <w:t>Cheongju-si, Chungcheongbuk-do, 28581, Republic of Korea</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0"/>
        </w:trPr>
        <w:tc>
          <w:tcPr>
            <w:tcW w:w="4120" w:type="dxa"/>
            <w:vAlign w:val="bottom"/>
          </w:tcPr>
          <w:p>
            <w:pPr>
              <w:jc w:val="center"/>
              <w:ind w:left="11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Attached hereto as Exhibit 99.1 and incorporated by reference herein is financial information for Magnachip Semiconductor Corporation and its consolidated subsidiaries for the first quarter ended March 31, 2024, as presented in a press release dated May 2, 2024.</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500" w:type="dxa"/>
            <w:vAlign w:val="bottom"/>
          </w:tcPr>
          <w:p>
            <w:pPr>
              <w:spacing w:after="0"/>
              <w:rPr>
                <w:sz w:val="13"/>
                <w:szCs w:val="13"/>
                <w:color w:val="auto"/>
              </w:rPr>
            </w:pPr>
          </w:p>
        </w:tc>
      </w:tr>
      <w:tr>
        <w:trPr>
          <w:trHeight w:val="173"/>
        </w:trPr>
        <w:tc>
          <w:tcPr>
            <w:tcW w:w="50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6"/>
              </w:rPr>
              <w:t>   No. </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52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98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for Magnachip Semiconductor Corporation dated May 2, 2024, announcing the results for the first quarter ended March 31,</w:t>
            </w:r>
          </w:p>
        </w:tc>
      </w:tr>
      <w:tr>
        <w:trPr>
          <w:trHeight w:val="196"/>
        </w:trPr>
        <w:tc>
          <w:tcPr>
            <w:tcW w:w="500" w:type="dxa"/>
            <w:vAlign w:val="bottom"/>
          </w:tcPr>
          <w:p>
            <w:pPr>
              <w:spacing w:after="0"/>
              <w:rPr>
                <w:sz w:val="17"/>
                <w:szCs w:val="17"/>
                <w:color w:val="auto"/>
              </w:rPr>
            </w:pPr>
          </w:p>
        </w:tc>
        <w:tc>
          <w:tcPr>
            <w:tcW w:w="940" w:type="dxa"/>
            <w:vAlign w:val="bottom"/>
            <w:gridSpan w:val="2"/>
          </w:tcPr>
          <w:p>
            <w:pPr>
              <w:ind w:left="540"/>
              <w:spacing w:after="0" w:line="196" w:lineRule="exact"/>
              <w:rPr>
                <w:sz w:val="20"/>
                <w:szCs w:val="20"/>
                <w:color w:val="auto"/>
              </w:rPr>
            </w:pPr>
            <w:r>
              <w:rPr>
                <w:rFonts w:ascii="Times New Roman" w:cs="Times New Roman" w:eastAsia="Times New Roman" w:hAnsi="Times New Roman"/>
                <w:sz w:val="18"/>
                <w:szCs w:val="18"/>
                <w:color w:val="0000EE"/>
                <w:w w:val="93"/>
              </w:rPr>
              <w:t>2024.</w:t>
            </w:r>
          </w:p>
        </w:tc>
        <w:tc>
          <w:tcPr>
            <w:tcW w:w="4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40" w:type="dxa"/>
            <w:vAlign w:val="bottom"/>
            <w:gridSpan w:val="3"/>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880"/>
          </w:cols>
          <w:pgMar w:left="440" w:top="293" w:right="5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0281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2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Reports Results for First Quarter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35"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consolidated revenue was $49.1 million, within our guidance range of $46-51 million.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standard product business revenue was up 10.6% sequentially.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consolidated gross profit margin was 18.3%, within our guidance range of 17-20%.</w:t>
      </w:r>
    </w:p>
    <w:p>
      <w:pPr>
        <w:spacing w:after="0" w:line="130"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standard product business gross profit margin was down 170 basis points sequentially, mostly due to lower Gumi fab utilization driven by the wind-down of Transitional Foundry Services.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Q1 with $29.7 million in long-term borrowing and $171.6 million in cash.</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$4.1 million or 0.6 million shares during the quarter.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 new high-end smartphone OLED DDIC design for a top tier China smartphone OEM.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 new EV automotive OLED DDIC design win for a leading European automaker.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operations of our new China entity called Magnachip Technology Company (MTC). Our China headquarters is now up and running.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Started initial ramp in Q1 for our first-generation OLED DDIC chip for China for the after-service market.</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Captured our first medium voltage MOSFET automotive design-win for an electric cooling fan with a China-based SUV supplier, as well as an additional automotive power steering related win in Korea.</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to see initial signs of inventory reductions in the distribution channel for our Power Analog Solutions products.</w:t>
      </w:r>
    </w:p>
    <w:p>
      <w:pPr>
        <w:spacing w:after="0" w:line="22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SEOUL, South Korea, May 2, 2024 </w:t>
      </w:r>
      <w:r>
        <w:rPr>
          <w:rFonts w:ascii="Times New Roman" w:cs="Times New Roman" w:eastAsia="Times New Roman" w:hAnsi="Times New Roman"/>
          <w:sz w:val="18"/>
          <w:szCs w:val="18"/>
          <w:color w:val="auto"/>
        </w:rPr>
        <w:t>– Magnachip Semiconductor Corporation (NYSE: MX) (“Magnachip” or the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first quarter 2024.</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YJ Kim, Magnachip’s Chief Executive Officer commented, “In Q1 we started the initial revenue ramp for OLED DDICs for the after-service market, and we were awarded two new designs targeted for a leading China smartphone OEM and also for a leading European EV maker. Our Power Analog Solutions (PAS) business revenue grew 12% sequentially driven by smartphones, e-motors, consumer appliances and server power applications, and we now are launching a slate of next-gen power products to help sustain our momentum. We also are encouraged that the power channel inventory showed signs of improvement in the first quarter.”</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YJ continued, “Looking forward, we expect sequential revenue growth in Mixed-Signal Solutions (MSS) and PAS to continue in Q2 and we reiterate our prior full-year guidance for double digit growth in both MSS and PAS businesses.”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2024 Financial Highlights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4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GAAP</w:t>
            </w: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Q1 2024</w:t>
            </w:r>
          </w:p>
        </w:tc>
        <w:tc>
          <w:tcPr>
            <w:tcW w:w="2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Q4 2023</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5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Q1 2023</w:t>
            </w:r>
          </w:p>
        </w:tc>
        <w:tc>
          <w:tcPr>
            <w:tcW w:w="3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420" w:type="dxa"/>
            <w:vAlign w:val="bottom"/>
            <w:tcBorders>
              <w:bottom w:val="single" w:sz="8" w:color="CCEEFF"/>
            </w:tcBorders>
          </w:tcPr>
          <w:p>
            <w:pPr>
              <w:spacing w:after="0"/>
              <w:rPr>
                <w:sz w:val="12"/>
                <w:szCs w:val="12"/>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57,005</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45,541</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41,182</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10.6%</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51,514</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Mixed-Signal Solutions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9,006</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8,558</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12,807</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 Analog Solutions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36,535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32,624</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38,707</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Transitional Fab 3 foundry services</w:t>
            </w:r>
            <w:r>
              <w:rPr>
                <w:rFonts w:ascii="Times New Roman" w:cs="Times New Roman" w:eastAsia="Times New Roman" w:hAnsi="Times New Roman"/>
                <w:sz w:val="25"/>
                <w:szCs w:val="25"/>
                <w:color w:val="auto"/>
                <w:vertAlign w:val="superscript"/>
              </w:rPr>
              <w:t>(1)</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3,526</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9,640</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63.4%</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5,491</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Gross Profit Margin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4.4%pts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2.9%pts</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1.7%pts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6.4%pts</w:t>
            </w: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Mixed-Signal Solutions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3.3%pts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14.4%pts</w:t>
            </w: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 Analog Solutions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2.7%pts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11.3%pts</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(13,459)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(15,935)</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(21,818)</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(15,417)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(6,040)</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(21,470)</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Loss per Common Share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(0.49)</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(0.49)</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183515</wp:posOffset>
            </wp:positionV>
            <wp:extent cx="1320165"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3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5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0"/>
                <w:szCs w:val="10"/>
                <w:b w:val="1"/>
                <w:bCs w:val="1"/>
                <w:color w:val="auto"/>
              </w:rPr>
              <w:t>(2)</w:t>
            </w: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7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Q1 2024</w:t>
            </w: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Q4 2023</w:t>
            </w:r>
          </w:p>
        </w:tc>
        <w:tc>
          <w:tcPr>
            <w:tcW w:w="9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8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Q1 2023</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60" w:type="dxa"/>
            <w:vAlign w:val="bottom"/>
          </w:tcPr>
          <w:p>
            <w:pPr>
              <w:spacing w:after="0"/>
              <w:rPr>
                <w:sz w:val="12"/>
                <w:szCs w:val="12"/>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Loss</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(14,095)</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3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0"/>
              </w:rPr>
              <w:t>n/a</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(12,249)</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3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0"/>
              </w:rPr>
              <w:t>n/a</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(8,441)</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(9,972)</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(7,873)</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(10,884)</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(8,044)</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(10,367)</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Loss per Common Share—Diluted</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424" w:right="40" w:hanging="424"/>
        <w:spacing w:after="0" w:line="25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sale of the Foundry Services Group business and Fab 4 in Q3 2020, we provided transitional foundry services to the buyer for foundry products manufactured in our fabrication facility located in Gumi, Korea, known as “Fab 3” (“Transitional Fab 3 Foundry Services”). The contractual obligation to provide the Transitional Fab 3 Foundry Services ended August 31, 2023, and we are winding down these foundry services and planning to convert portions of the idle capacity to PAS products beginning around the second half of 2024. Because these foundry services during the wind-down period are still provided to the same buyer by us using our Fab 3 based on mutually agreed terms and conditions, we will continue to report our revenue from providing these foundry services and related cost of sales within the Transitional Fab 3 Foundry Services line in our consolidated statement of operations until such wind down is completed. Management believes that disclosing revenue of Transitional Fab 3 Foundry Services separately from the standard products business allows investors to better understand the results of our core standard products MSS and PAS businesses.</w:t>
      </w:r>
    </w:p>
    <w:p>
      <w:pPr>
        <w:spacing w:after="0" w:line="6" w:lineRule="exact"/>
        <w:rPr>
          <w:rFonts w:ascii="Times New Roman" w:cs="Times New Roman" w:eastAsia="Times New Roman" w:hAnsi="Times New Roman"/>
          <w:sz w:val="18"/>
          <w:szCs w:val="18"/>
          <w:color w:val="auto"/>
        </w:rPr>
      </w:pPr>
    </w:p>
    <w:p>
      <w:pPr>
        <w:ind w:left="424" w:right="240" w:hanging="424"/>
        <w:spacing w:after="0" w:line="253"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loss or as a better indicator of our operating performance than measures that are presented in accordance with GAAP. A reconciliation of GAAP results to non-GAAP results is included in this press release.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Q2 and 2024 Financial Guidance</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Beginning in Q1, the Company begins reporting results under its newly organized businesses: MSS (Mixed-Signal Solutions) and PAS (Power Analog Solutions). While actual results may vary, Magnachip currently expects the following:</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Q2 2024:</w:t>
      </w:r>
    </w:p>
    <w:p>
      <w:pPr>
        <w:spacing w:after="0" w:line="135" w:lineRule="exact"/>
        <w:rPr>
          <w:sz w:val="20"/>
          <w:szCs w:val="20"/>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to be in the range of $49 to $54 million, including approximately $1.5 million of Transitional Foundry Services.</w:t>
      </w:r>
    </w:p>
    <w:p>
      <w:pPr>
        <w:spacing w:after="0" w:line="130" w:lineRule="exact"/>
        <w:rPr>
          <w:rFonts w:ascii="Times New Roman" w:cs="Times New Roman" w:eastAsia="Times New Roman" w:hAnsi="Times New Roman"/>
          <w:sz w:val="18"/>
          <w:szCs w:val="18"/>
          <w:color w:val="auto"/>
        </w:rPr>
      </w:pPr>
    </w:p>
    <w:p>
      <w:pPr>
        <w:ind w:left="1424" w:right="300" w:hanging="331"/>
        <w:spacing w:after="0" w:line="282" w:lineRule="auto"/>
        <w:tabs>
          <w:tab w:leader="none" w:pos="14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MSS revenue to be in the range of $9.5 to $11.5 million. This compares with MSS equivalent revenue of $9.0 million in Q1 2024 and $12.4 million in Q2 2023</w:t>
      </w:r>
    </w:p>
    <w:p>
      <w:pPr>
        <w:spacing w:after="0" w:line="67" w:lineRule="exact"/>
        <w:rPr>
          <w:rFonts w:ascii="Times New Roman" w:cs="Times New Roman" w:eastAsia="Times New Roman" w:hAnsi="Times New Roman"/>
          <w:sz w:val="18"/>
          <w:szCs w:val="18"/>
          <w:color w:val="auto"/>
        </w:rPr>
      </w:pPr>
    </w:p>
    <w:p>
      <w:pPr>
        <w:ind w:left="1424" w:right="160" w:hanging="331"/>
        <w:spacing w:after="0" w:line="282" w:lineRule="auto"/>
        <w:tabs>
          <w:tab w:leader="none" w:pos="14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 revenue to be in the range of $38 to $41 million. This compares with PAS equivalent revenue of $36.5 million in Q1 2024 and $39 million in Q2 2023.</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to be in the range of 17% to 19%.</w:t>
      </w:r>
    </w:p>
    <w:p>
      <w:pPr>
        <w:spacing w:after="0" w:line="130" w:lineRule="exact"/>
        <w:rPr>
          <w:rFonts w:ascii="Times New Roman" w:cs="Times New Roman" w:eastAsia="Times New Roman" w:hAnsi="Times New Roman"/>
          <w:sz w:val="18"/>
          <w:szCs w:val="18"/>
          <w:color w:val="auto"/>
        </w:rPr>
      </w:pPr>
    </w:p>
    <w:p>
      <w:pPr>
        <w:ind w:left="1424" w:right="120" w:hanging="331"/>
        <w:spacing w:after="0" w:line="282" w:lineRule="auto"/>
        <w:tabs>
          <w:tab w:leader="none" w:pos="14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MSS gross profit margin to be in the range of 30% to 33%. This compares with MSS equivalent gross profit margin of 44.6% in Q1 2024, which included non-recurring engineering revenue, and 36.4% in Q2 2023.</w:t>
      </w:r>
    </w:p>
    <w:p>
      <w:pPr>
        <w:spacing w:after="0" w:line="67" w:lineRule="exact"/>
        <w:rPr>
          <w:rFonts w:ascii="Times New Roman" w:cs="Times New Roman" w:eastAsia="Times New Roman" w:hAnsi="Times New Roman"/>
          <w:sz w:val="18"/>
          <w:szCs w:val="18"/>
          <w:color w:val="auto"/>
        </w:rPr>
      </w:pPr>
    </w:p>
    <w:p>
      <w:pPr>
        <w:ind w:left="1424" w:right="120" w:hanging="331"/>
        <w:spacing w:after="0" w:line="266" w:lineRule="auto"/>
        <w:tabs>
          <w:tab w:leader="none" w:pos="14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 gross profit margin to be in the range of 15% to 17%, primarily as a result of the impact of idle capacity from the expected decline in Transitional Foundry Services revenue. This compares with PAS equivalent gross profit margin of 15.4% in Q1 2024 and 23.1% in Q2 2023.</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the full-year 2024, we reiterate our prior guidance:</w:t>
      </w:r>
    </w:p>
    <w:p>
      <w:pPr>
        <w:spacing w:after="0" w:line="135" w:lineRule="exact"/>
        <w:rPr>
          <w:sz w:val="20"/>
          <w:szCs w:val="20"/>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MSS revenue to grow double digits year-over-year as compared with MSS equivalent revenue of $44.4 million in 2023.</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 revenue to grow double digits year-over-year as compared with PAS equivalent revenue of $151.3 million in 2023.</w:t>
      </w:r>
    </w:p>
    <w:p>
      <w:pPr>
        <w:spacing w:after="0" w:line="130" w:lineRule="exact"/>
        <w:rPr>
          <w:rFonts w:ascii="Times New Roman" w:cs="Times New Roman" w:eastAsia="Times New Roman" w:hAnsi="Times New Roman"/>
          <w:sz w:val="18"/>
          <w:szCs w:val="18"/>
          <w:color w:val="auto"/>
        </w:rPr>
      </w:pPr>
    </w:p>
    <w:p>
      <w:pPr>
        <w:ind w:left="964" w:right="34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flat-to-up-slightly year-over-year as recovery in MSS and PAS is offset by the phase-out of Transitional Foundry Services.</w:t>
      </w:r>
    </w:p>
    <w:p>
      <w:pPr>
        <w:spacing w:after="0" w:line="67" w:lineRule="exact"/>
        <w:rPr>
          <w:rFonts w:ascii="Times New Roman" w:cs="Times New Roman" w:eastAsia="Times New Roman" w:hAnsi="Times New Roman"/>
          <w:sz w:val="18"/>
          <w:szCs w:val="18"/>
          <w:color w:val="auto"/>
        </w:rPr>
      </w:pPr>
    </w:p>
    <w:p>
      <w:pPr>
        <w:ind w:left="964" w:right="14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between 17% to 20%, primarily as a result of the impact of idle capacity expected from the phase-out of Transitional Foundry Services. This compares with the consolidated gross profit margin of 22.4% in 2023.</w:t>
      </w:r>
    </w:p>
    <w:p>
      <w:pPr>
        <w:sectPr>
          <w:pgSz w:w="11900" w:h="16838" w:orient="portrait"/>
          <w:cols w:equalWidth="0" w:num="1">
            <w:col w:w="11024"/>
          </w:cols>
          <w:pgMar w:left="436" w:top="844"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Q1 2024 Earnings Conference Call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Magnachip will host a corresponding conference call at 2:00 p.m. PT / 5:00 p.m. ET on Thursday, May 2, 2024,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www.magnachip.com.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https://register.vevent.com/register/BIffb31aff244f4ff99dae99731c4879bf</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2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second quarter and full year 2024 revenue and gross profit margin expectations, future growth and revenue opportunities from new and existing products and customers, the timing and extent of future revenue contributions by our products and businesses, and the impact of market conditions associated with inflation and higher interest rates, geopolitical conflicts between Russia-Ukraine and between Israel-Hamas, sustained military action and conflict in the Red Sea, and trade tensions between the U.S. and China, on Magnachip’s second quarter and full year 2024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inflation, potential recessions or other deteriorations, economic instability or civil unrest; the geopolitical conflicts between Russia-Ukraine and between Israel-Hamas, sustained military action and conflict in the Red Sea, and trade tensions between the U.S. and China;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other business interruptions that could disrupt supply or delivery of, or demand for, Magnachip’s products; and other risks detailed from time to time in Magnachip’s filings with the U.S. Securities and Exchange Commission (the “SEC”), including our Form 10-K filed on March 8, 2024,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semiconductor platform solutions for communication, Internet of Things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ectPr>
          <w:pgSz w:w="11900" w:h="16838" w:orient="portrait"/>
          <w:cols w:equalWidth="0" w:num="1">
            <w:col w:w="11000"/>
          </w:cols>
          <w:pgMar w:left="440" w:top="84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C. Pelayo,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(360) 808-5154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steven@blueshirtgroup.co</w:t>
      </w:r>
    </w:p>
    <w:p>
      <w:pPr>
        <w:sectPr>
          <w:pgSz w:w="11900" w:h="16838" w:orient="portrait"/>
          <w:cols w:equalWidth="0" w:num="1">
            <w:col w:w="10019"/>
          </w:cols>
          <w:pgMar w:left="440" w:top="846" w:right="1440" w:bottom="1440" w:gutter="0" w:footer="0" w:header="0"/>
        </w:sectPr>
      </w:pPr>
    </w:p>
    <w:bookmarkStart w:id="7" w:name="page8"/>
    <w:bookmarkEnd w:id="7"/>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6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36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tcPr>
          <w:p>
            <w:pPr>
              <w:spacing w:after="0"/>
              <w:rPr>
                <w:sz w:val="10"/>
                <w:szCs w:val="10"/>
                <w:color w:val="auto"/>
              </w:rPr>
            </w:pPr>
          </w:p>
        </w:tc>
        <w:tc>
          <w:tcPr>
            <w:tcW w:w="1540" w:type="dxa"/>
            <w:vAlign w:val="bottom"/>
            <w:gridSpan w:val="3"/>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800" w:type="dxa"/>
            <w:vAlign w:val="bottom"/>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r>
      <w:tr>
        <w:trPr>
          <w:trHeight w:val="173"/>
        </w:trPr>
        <w:tc>
          <w:tcPr>
            <w:tcW w:w="6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45,541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41,182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51,514</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3,526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5,491</w:t>
            </w:r>
          </w:p>
        </w:tc>
      </w:tr>
      <w:tr>
        <w:trPr>
          <w:trHeight w:val="223"/>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50,822</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57,005</w:t>
            </w:r>
          </w:p>
        </w:tc>
        <w:tc>
          <w:tcPr>
            <w:tcW w:w="22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100" w:type="dxa"/>
            <w:vAlign w:val="bottom"/>
          </w:tcPr>
          <w:p>
            <w:pPr>
              <w:spacing w:after="0"/>
              <w:rPr>
                <w:sz w:val="18"/>
                <w:szCs w:val="18"/>
                <w:color w:val="auto"/>
              </w:rPr>
            </w:pPr>
          </w:p>
        </w:tc>
        <w:tc>
          <w:tcPr>
            <w:tcW w:w="11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35,888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31,754</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37,312</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4,211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7,599</w:t>
            </w:r>
          </w:p>
        </w:tc>
      </w:tr>
      <w:tr>
        <w:trPr>
          <w:trHeight w:val="230"/>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39,295</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44,911</w:t>
            </w:r>
          </w:p>
        </w:tc>
        <w:tc>
          <w:tcPr>
            <w:tcW w:w="220" w:type="dxa"/>
            <w:vAlign w:val="bottom"/>
          </w:tcPr>
          <w:p>
            <w:pPr>
              <w:spacing w:after="0"/>
              <w:rPr>
                <w:sz w:val="20"/>
                <w:szCs w:val="20"/>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8,968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11,527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12,094</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standard products business net sales</w:t>
            </w:r>
          </w:p>
        </w:tc>
        <w:tc>
          <w:tcPr>
            <w:tcW w:w="10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11,264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12,079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12,165</w:t>
            </w: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11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11,163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15,383</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13,298</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8,449</w:t>
            </w:r>
          </w:p>
        </w:tc>
      </w:tr>
      <w:tr>
        <w:trPr>
          <w:trHeight w:val="230"/>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27,462</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33,912</w:t>
            </w:r>
          </w:p>
        </w:tc>
        <w:tc>
          <w:tcPr>
            <w:tcW w:w="220" w:type="dxa"/>
            <w:vAlign w:val="bottom"/>
          </w:tcPr>
          <w:p>
            <w:pPr>
              <w:spacing w:after="0"/>
              <w:rPr>
                <w:sz w:val="20"/>
                <w:szCs w:val="20"/>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(13,459)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(15,935)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(21,818)</w:t>
            </w: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2,213)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2,842)</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(238)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10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(5,001)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(3,430)</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(22,697)</w:t>
            </w:r>
          </w:p>
        </w:tc>
        <w:tc>
          <w:tcPr>
            <w:tcW w:w="22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(1,024)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(1,227)</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(0.40)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(0.49)</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(0.40)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(0.49)</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1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6"/>
              </w:rPr>
              <w:t>38,544,781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w w:val="98"/>
              </w:rPr>
              <w:t>38,834,451</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6"/>
              </w:rPr>
              <w:t>43,390,832</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96"/>
              </w:rPr>
              <w:t>38,544,781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8"/>
              </w:rPr>
              <w:t>38,834,451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43,390,832</w:t>
            </w:r>
          </w:p>
        </w:tc>
      </w:tr>
    </w:tbl>
    <w:p>
      <w:pPr>
        <w:sectPr>
          <w:pgSz w:w="11900" w:h="16838" w:orient="portrait"/>
          <w:cols w:equalWidth="0" w:num="1">
            <w:col w:w="11020"/>
          </w:cols>
          <w:pgMar w:left="440" w:top="846" w:right="439" w:bottom="1440" w:gutter="0" w:footer="0" w:header="0"/>
        </w:sectPr>
      </w:pPr>
    </w:p>
    <w:bookmarkStart w:id="8" w:name="page9"/>
    <w:bookmarkEnd w:id="8"/>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171,602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158,092</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30,288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32,641</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31,479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32,733</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10,255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7,390</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Hedge collateral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9,283</w:t>
            </w:r>
          </w:p>
        </w:tc>
        <w:tc>
          <w:tcPr>
            <w:tcW w:w="0" w:type="dxa"/>
            <w:vAlign w:val="bottom"/>
          </w:tcPr>
          <w:p>
            <w:pPr>
              <w:spacing w:after="0"/>
              <w:rPr>
                <w:sz w:val="1"/>
                <w:szCs w:val="1"/>
                <w:color w:val="auto"/>
              </w:rPr>
            </w:pPr>
          </w:p>
        </w:tc>
      </w:tr>
      <w:tr>
        <w:trPr>
          <w:trHeight w:val="223"/>
        </w:trPr>
        <w:tc>
          <w:tcPr>
            <w:tcW w:w="9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258,215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92,868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100,122</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9,297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5,736</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47,669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50,836</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12,186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12,187</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426,164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420,491</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24,619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24,443</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3,286</w:t>
            </w:r>
          </w:p>
        </w:tc>
        <w:tc>
          <w:tcPr>
            <w:tcW w:w="0" w:type="dxa"/>
            <w:vAlign w:val="bottom"/>
          </w:tcPr>
          <w:p>
            <w:pPr>
              <w:spacing w:after="0"/>
              <w:rPr>
                <w:sz w:val="1"/>
                <w:szCs w:val="1"/>
                <w:color w:val="auto"/>
              </w:rPr>
            </w:pPr>
          </w:p>
        </w:tc>
      </w:tr>
      <w:tr>
        <w:trPr>
          <w:trHeight w:val="230"/>
        </w:trPr>
        <w:tc>
          <w:tcPr>
            <w:tcW w:w="9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29,700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15,503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16,020</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10,088</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75,893</w:t>
            </w:r>
          </w:p>
        </w:tc>
        <w:tc>
          <w:tcPr>
            <w:tcW w:w="0" w:type="dxa"/>
            <w:vAlign w:val="bottom"/>
          </w:tcPr>
          <w:p>
            <w:pPr>
              <w:spacing w:after="0"/>
              <w:rPr>
                <w:sz w:val="1"/>
                <w:szCs w:val="1"/>
                <w:color w:val="auto"/>
              </w:rPr>
            </w:pP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57,008,573 shares issued and 38,263,642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March 31, 2024 and 56,971,394 shares issued and 38,852,742 outstanding at December 31, 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274,156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273,256</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283,467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298,884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18,744,931 shares at March 31, 2024 and 18,118,652 shares at December 31, 2023,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(217,607)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(213,454)</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(18,700)</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(14,657)</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321,885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344,598</w:t>
            </w:r>
          </w:p>
        </w:tc>
        <w:tc>
          <w:tcPr>
            <w:tcW w:w="0" w:type="dxa"/>
            <w:vAlign w:val="bottom"/>
          </w:tcPr>
          <w:p>
            <w:pPr>
              <w:spacing w:after="0"/>
              <w:rPr>
                <w:sz w:val="1"/>
                <w:szCs w:val="1"/>
                <w:color w:val="auto"/>
              </w:rPr>
            </w:pPr>
          </w:p>
        </w:tc>
      </w:tr>
      <w:tr>
        <w:trPr>
          <w:trHeight w:val="223"/>
        </w:trPr>
        <w:tc>
          <w:tcPr>
            <w:tcW w:w="9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426,164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84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18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920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9200" w:type="dxa"/>
            <w:vAlign w:val="bottom"/>
          </w:tcPr>
          <w:p>
            <w:pPr>
              <w:spacing w:after="0"/>
              <w:rPr>
                <w:sz w:val="15"/>
                <w:szCs w:val="15"/>
                <w:color w:val="auto"/>
              </w:rPr>
            </w:pP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96"/>
        </w:trPr>
        <w:tc>
          <w:tcPr>
            <w:tcW w:w="9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8"/>
              </w:rPr>
              <w:t>$ (15,417)</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(21,470)</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4,099</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4,357</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1,405</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2,330</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foreign currency, net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10,226</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9,082</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(947)</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1,120</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1,313</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2,973</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1,062</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2,376</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1,904</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(5,256)</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(1,424)</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(2,045)</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7,600</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(2,923)</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(624)</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(884)</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(401)</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r>
      <w:tr>
        <w:trPr>
          <w:trHeight w:val="27"/>
        </w:trPr>
        <w:tc>
          <w:tcPr>
            <w:tcW w:w="9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(3,972)</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7,876</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settlement of hedge collateral</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1,155</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hedge collateral</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(1,093)</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for intellectual property registration</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Collection of guarantee deposits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1,133</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guarantee deposits</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(1,874)</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(3,482)</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long-term borrowing</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(4,659)</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(12,264)</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financing related to water treatment facility arrangement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principal portion of finance lease liabilities</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9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(12,405)</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(6,294)</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(5,253)</w:t>
            </w:r>
          </w:p>
        </w:tc>
      </w:tr>
      <w:tr>
        <w:trPr>
          <w:trHeight w:val="27"/>
        </w:trPr>
        <w:tc>
          <w:tcPr>
            <w:tcW w:w="9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(13,392)</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158,092</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225,477</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171,602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212,085</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846"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183515</wp:posOffset>
            </wp:positionV>
            <wp:extent cx="132016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LOSS TO ADJUSTED OPERATING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8100" w:type="dxa"/>
            <w:vAlign w:val="bottom"/>
          </w:tcPr>
          <w:p>
            <w:pPr>
              <w:spacing w:after="0"/>
              <w:rPr>
                <w:sz w:val="10"/>
                <w:szCs w:val="10"/>
                <w:color w:val="auto"/>
              </w:rPr>
            </w:pPr>
          </w:p>
        </w:tc>
        <w:tc>
          <w:tcPr>
            <w:tcW w:w="74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40" w:type="dxa"/>
            <w:vAlign w:val="bottom"/>
          </w:tcPr>
          <w:p>
            <w:pPr>
              <w:spacing w:after="0"/>
              <w:rPr>
                <w:sz w:val="10"/>
                <w:szCs w:val="10"/>
                <w:color w:val="auto"/>
              </w:rPr>
            </w:pPr>
          </w:p>
        </w:tc>
        <w:tc>
          <w:tcPr>
            <w:tcW w:w="11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8100" w:type="dxa"/>
            <w:vAlign w:val="bottom"/>
          </w:tcPr>
          <w:p>
            <w:pPr>
              <w:spacing w:after="0"/>
              <w:rPr>
                <w:sz w:val="15"/>
                <w:szCs w:val="15"/>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$(13,459)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$(21,818)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1,840</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1,120</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8,449</w:t>
            </w:r>
          </w:p>
        </w:tc>
      </w:tr>
      <w:tr>
        <w:trPr>
          <w:trHeight w:val="27"/>
        </w:trPr>
        <w:tc>
          <w:tcPr>
            <w:tcW w:w="8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Loss</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(12,559)</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(14,095)</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(12,249)</w:t>
            </w:r>
          </w:p>
        </w:tc>
      </w:tr>
      <w:tr>
        <w:trPr>
          <w:trHeight w:val="20"/>
        </w:trPr>
        <w:tc>
          <w:tcPr>
            <w:tcW w:w="8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8"/>
          <w:szCs w:val="18"/>
          <w:color w:val="auto"/>
        </w:rPr>
        <w:t>We present Adjusted Operating Loss as a supplemental measure of our performance. We define Adjusted Operating Loss for the periods indicated as operating loss adjusted to exclude (i) Equity-based compensation expense and (ii) Early termination charges.</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we recorded in our consolidated statement of operations $8,449 thousand of early termination charges in connection with the voluntary resignation program offered to the employees during the first quarter of 2023.</w:t>
      </w:r>
    </w:p>
    <w:p>
      <w:pPr>
        <w:sectPr>
          <w:pgSz w:w="11900" w:h="16838" w:orient="portrait"/>
          <w:cols w:equalWidth="0" w:num="1">
            <w:col w:w="11020"/>
          </w:cols>
          <w:pgMar w:left="440" w:top="846" w:right="439" w:bottom="1440" w:gutter="0" w:footer="0" w:header="0"/>
        </w:sectPr>
      </w:pPr>
    </w:p>
    <w:bookmarkStart w:id="11" w:name="page12"/>
    <w:bookmarkEnd w:id="11"/>
    <w:p>
      <w:pPr>
        <w:jc w:val="center"/>
        <w:ind w:left="440" w:right="1900"/>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183515</wp:posOffset>
            </wp:positionV>
            <wp:extent cx="1320165"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 RECONCILIATION OF NET LOSS TO ADJUSTED EBITDA AND ADJUSTED NET LOSS (In thousands of U.S. dollars, except share data) (Unaudited)</w:t>
      </w:r>
    </w:p>
    <w:p>
      <w:pPr>
        <w:spacing w:after="0" w:line="200" w:lineRule="exact"/>
        <w:rPr>
          <w:sz w:val="20"/>
          <w:szCs w:val="20"/>
          <w:color w:val="auto"/>
        </w:rPr>
      </w:pP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7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22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tcPr>
          <w:p>
            <w:pPr>
              <w:spacing w:after="0"/>
              <w:rPr>
                <w:sz w:val="10"/>
                <w:szCs w:val="10"/>
                <w:color w:val="auto"/>
              </w:rPr>
            </w:pPr>
          </w:p>
        </w:tc>
        <w:tc>
          <w:tcPr>
            <w:tcW w:w="126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7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21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4,357</w:t>
            </w:r>
          </w:p>
        </w:tc>
      </w:tr>
      <w:tr>
        <w:trPr>
          <w:trHeight w:val="27"/>
        </w:trPr>
        <w:tc>
          <w:tcPr>
            <w:tcW w:w="7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8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1,120</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3,430</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8,449</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2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(15,417)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1,120</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8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3,430</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8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8,449</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effect on non-GAAP adjustments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 per common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(0.28)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8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8"/>
              </w:rPr>
              <w:t>38,544,781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38,834,451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6"/>
              </w:rPr>
              <w:t>43,390,832</w:t>
            </w: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8"/>
              </w:rPr>
              <w:t>38,544,781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38,834,451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43,390,832</w:t>
            </w:r>
          </w:p>
        </w:tc>
      </w:tr>
    </w:tbl>
    <w:p>
      <w:pPr>
        <w:spacing w:after="0" w:line="198" w:lineRule="exact"/>
        <w:rPr>
          <w:sz w:val="20"/>
          <w:szCs w:val="20"/>
          <w:color w:val="auto"/>
        </w:rPr>
      </w:pPr>
    </w:p>
    <w:p>
      <w:pPr>
        <w:jc w:val="both"/>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We present Adjusted EBITDA and Adjusted Net Loss as supplemental measures of our performance. We define Adjusted EBITDA for the periods indicated as EBITDA (as defined below), adjusted to exclude (i) Equity-based compensation expense, (ii) Foreign currency loss (gain), net,</w:t>
      </w:r>
    </w:p>
    <w:p>
      <w:pPr>
        <w:ind w:left="4" w:right="460" w:hanging="4"/>
        <w:spacing w:after="0" w:line="260" w:lineRule="auto"/>
        <w:tabs>
          <w:tab w:leader="none" w:pos="3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valuation loss (gain), net and (iv) Early termination charges. EBITDA for the periods indicated is defined as net loss before interest income, interest expense, income tax benefit and depreciation and amortization.</w:t>
      </w:r>
    </w:p>
    <w:p>
      <w:pPr>
        <w:spacing w:after="0" w:line="181"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We prepare Adjusted Net Loss by adjusting net loss to eliminate the impact of a number of non-cash expenses and other items that may be either one time or recurring that we do not consider to be indicative of our core ongoing operating performance. We believe that Adjusted Net Loss is particularly useful because it reflects the impact of our asset base and capital structure on our operating performance. We define Adjusted Net Loss for the periods as net loss, adjusted to exclude (i) Equity-based compensation expense, (ii) Foreign currency loss (gain), net, (iii) Derivative valuation loss (gain), net, (iv) Early termination charges and (v) Income tax effect on non-GAAP adjustments.</w:t>
      </w:r>
    </w:p>
    <w:p>
      <w:pPr>
        <w:spacing w:after="0" w:line="183"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we recorded in our consolidated statement of operations $8,449 thousand of early termination charges in connection with the voluntary resignation program offered to the employees during the first quarter of 2023.</w:t>
      </w:r>
    </w:p>
    <w:sectPr>
      <w:pgSz w:w="11900" w:h="16838" w:orient="portrait"/>
      <w:cols w:equalWidth="0" w:num="1">
        <w:col w:w="11024"/>
      </w:cols>
      <w:pgMar w:left="436" w:top="84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2024-05-02T15:41:51Z</dcterms:created>
  <dcterms:modified xsi:type="dcterms:W3CDTF">2024-05-02T15:41:51Z</dcterms:modified>
</cp:coreProperties>
</file>