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On May 23, 2025, Magnachip Semiconductor Corporation (the “Company”) filed a Current Report on Form 8-K (the “Original Form 8-K”) to report that Theodore S. Kim will depart from his employment and executive officer roles with the Company, effective October 22, 2025. This Amendment No.1 on Form 8-K/A is being filed to supplement the disclosure contained in Item 5.02 of the Original Form 8-K, including the date of departure and the provision of the executed Separation Agreement entered into by and among the Company, Magnachip Semiconductor, Ltd. (“MSK”), which is the Company’s Korean operating subsidiary, and Mr. Theodore Kim, and to file the Separation Agreement as Exhibit 10.1 hereto. The remainder of the Original Form 8-K is unchanged.</w:t>
      </w:r>
    </w:p>
    <w:p>
      <w:pPr>
        <w:spacing w:after="0" w:line="291"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In connection with the previously-announced departure of Theodore S. Kim, the Company’s Chief Compliance Officer, General Counsel and Secretary, the Company, MSK and Mr. Kim entered into a separation agreement dated as of September 9, 2025 (the “Separation Agreement”), pursuant to which Mr. Kim will resign all of his positions with the Company and each of the Company’s subsidiaries, including MSK, on September 9, 2025 and will end his employment with the Company and such subsidiaries effective at the end of October 21, 2025 (the “Separation Date”), and the Company has agreed to the following:</w:t>
      </w:r>
    </w:p>
    <w:p>
      <w:pPr>
        <w:spacing w:after="0" w:line="183" w:lineRule="exact"/>
        <w:rPr>
          <w:sz w:val="20"/>
          <w:szCs w:val="20"/>
          <w:color w:val="auto"/>
        </w:rPr>
      </w:pPr>
    </w:p>
    <w:p>
      <w:pPr>
        <w:ind w:left="4" w:right="20" w:hanging="4"/>
        <w:spacing w:after="0" w:line="269" w:lineRule="auto"/>
        <w:tabs>
          <w:tab w:leader="none" w:pos="21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pay Mr. Kim a cash severance payment equal to twelve times his monthly base salary, payable ratably over a period of twelve months after the Separation Date (with the first payment being paid two months after the Separation Date), together with any annual bonus earned for calendar year 2025, which shall be prorated on a daily basis, (ii) any outstanding unvested equity awards held by Mr. Kim will be treated in accordance with the terms set forth in the Company’s applicable equity incentive plan and the applicable award agreements, solely for the purpose of this clause (ii), as if Mr. Kim’s separation was deemed to be “termination without Cause” under the applicable equity incentive plan and such award agreements, and</w:t>
      </w:r>
    </w:p>
    <w:p>
      <w:pPr>
        <w:spacing w:after="0" w:line="2" w:lineRule="exact"/>
        <w:rPr>
          <w:rFonts w:ascii="Times New Roman" w:cs="Times New Roman" w:eastAsia="Times New Roman" w:hAnsi="Times New Roman"/>
          <w:sz w:val="17"/>
          <w:szCs w:val="17"/>
          <w:color w:val="auto"/>
        </w:rPr>
      </w:pPr>
    </w:p>
    <w:p>
      <w:pPr>
        <w:ind w:left="4" w:right="400" w:hanging="4"/>
        <w:spacing w:after="0" w:line="253"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Kim will be entitled to a temporary continuation of certain expatriate benefits beyond the Separation Date (collectively, the “Separation Benefits”). The Separation Benefits are contingent on the execution and non-revocation of the Release of Claims (as defined below) and Mr. Kim’s compliance with all other terms of his Confidentiality Agreement, Proprietary Information and Invention Assignment Agreement, the Separation Agreement and the Release of Claims.</w:t>
      </w:r>
    </w:p>
    <w:p>
      <w:pPr>
        <w:spacing w:after="0" w:line="189"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Agreement, Mr. Kim also entered into a release with the Company whereby Mr. Kim released all claims he may have against the Company or their respective affiliates, subsidiaries, representatives and other related parties in exchange for the Separation Benefits and the other applicable severance benefits set forth in the Separation Agreement (the “Release of Claims”).</w:t>
      </w:r>
    </w:p>
    <w:p>
      <w:pPr>
        <w:spacing w:after="0" w:line="176"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qualified in its entirety by reference to the full text of the Separation Agreement, which is filed as Exhibit 10.1 to this Current Report on Form 8-K and incorporated herein by reference.</w:t>
      </w:r>
    </w:p>
    <w:p>
      <w:pPr>
        <w:sectPr>
          <w:pgSz w:w="11900" w:h="16838" w:orient="portrait"/>
          <w:cols w:equalWidth="0" w:num="1">
            <w:col w:w="11004"/>
          </w:cols>
          <w:pgMar w:left="436"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spacing w:after="0"/>
              <w:rPr>
                <w:sz w:val="13"/>
                <w:szCs w:val="13"/>
                <w:color w:val="auto"/>
              </w:rPr>
            </w:pPr>
          </w:p>
        </w:tc>
        <w:tc>
          <w:tcPr>
            <w:tcW w:w="8520" w:type="dxa"/>
            <w:vAlign w:val="bottom"/>
            <w:gridSpan w:val="2"/>
            <w:vMerge w:val="restart"/>
          </w:tcPr>
          <w:p>
            <w:pPr>
              <w:ind w:left="3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580" w:type="dxa"/>
            <w:vAlign w:val="bottom"/>
          </w:tcPr>
          <w:p>
            <w:pPr>
              <w:spacing w:after="0"/>
              <w:rPr>
                <w:sz w:val="15"/>
                <w:szCs w:val="15"/>
                <w:color w:val="auto"/>
              </w:rPr>
            </w:pPr>
          </w:p>
        </w:tc>
        <w:tc>
          <w:tcPr>
            <w:tcW w:w="8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990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Separation Agreement, dated as of September 9, by and among Magnachip Semiconductor Corporation, Magnachip Semiconductor, Ltd.,</w:t>
            </w:r>
          </w:p>
        </w:tc>
        <w:tc>
          <w:tcPr>
            <w:tcW w:w="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and Theodore S. Kim.</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September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Shin Young Park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1996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Hand Delivery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Theodore S.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redacted]</w:t>
      </w:r>
    </w:p>
    <w:p>
      <w:pPr>
        <w:spacing w:after="0" w:line="23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Separation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Kim:</w:t>
      </w:r>
    </w:p>
    <w:p>
      <w:pPr>
        <w:spacing w:after="0" w:line="11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confirms our mutual understanding regarding your separation from Magnachip Semiconductor Corporation, a Delaware corporation (“</w:t>
      </w:r>
      <w:r>
        <w:rPr>
          <w:rFonts w:ascii="Times New Roman" w:cs="Times New Roman" w:eastAsia="Times New Roman" w:hAnsi="Times New Roman"/>
          <w:sz w:val="18"/>
          <w:szCs w:val="18"/>
          <w:u w:val="single" w:color="auto"/>
          <w:color w:val="auto"/>
        </w:rPr>
        <w:t>MSC</w:t>
      </w:r>
      <w:r>
        <w:rPr>
          <w:rFonts w:ascii="Times New Roman" w:cs="Times New Roman" w:eastAsia="Times New Roman" w:hAnsi="Times New Roman"/>
          <w:sz w:val="18"/>
          <w:szCs w:val="18"/>
          <w:color w:val="auto"/>
        </w:rPr>
        <w:t>”), and from each direct and indirect subsidiary of MSC, effective as of 11:59 p.m. (Korea Time) on October 21, 2025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MSC and all of its direct and indirect subsidiaries are collectively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6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Reference is made to that certain Employment Agreement by and between you, on the one hand, and MSC and Magnachip Semiconductor, Ltd., a Korean </w:t>
      </w:r>
      <w:r>
        <w:rPr>
          <w:rFonts w:ascii="Times New Roman" w:cs="Times New Roman" w:eastAsia="Times New Roman" w:hAnsi="Times New Roman"/>
          <w:sz w:val="18"/>
          <w:szCs w:val="18"/>
          <w:i w:val="1"/>
          <w:iCs w:val="1"/>
          <w:color w:val="auto"/>
        </w:rPr>
        <w:t>yuhan hoesa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MSK</w:t>
      </w:r>
      <w:r>
        <w:rPr>
          <w:rFonts w:ascii="Times New Roman" w:cs="Times New Roman" w:eastAsia="Times New Roman" w:hAnsi="Times New Roman"/>
          <w:sz w:val="18"/>
          <w:szCs w:val="18"/>
          <w:color w:val="auto"/>
        </w:rPr>
        <w:t>”), on the other hand, entered into as of October 22, 2018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herein without definition shall have the respective meanings ascribed to them in the Employment Agreement.</w:t>
      </w:r>
    </w:p>
    <w:p>
      <w:pPr>
        <w:spacing w:after="0" w:line="175" w:lineRule="exact"/>
        <w:rPr>
          <w:rFonts w:ascii="Times New Roman" w:cs="Times New Roman" w:eastAsia="Times New Roman" w:hAnsi="Times New Roman"/>
          <w:sz w:val="18"/>
          <w:szCs w:val="18"/>
          <w:color w:val="auto"/>
        </w:rPr>
      </w:pPr>
    </w:p>
    <w:p>
      <w:pPr>
        <w:ind w:right="160" w:firstLine="436"/>
        <w:spacing w:after="0" w:line="255"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w:t>
      </w:r>
      <w:r>
        <w:rPr>
          <w:rFonts w:ascii="Times New Roman" w:cs="Times New Roman" w:eastAsia="Times New Roman" w:hAnsi="Times New Roman"/>
          <w:sz w:val="18"/>
          <w:szCs w:val="18"/>
          <w:color w:val="auto"/>
        </w:rPr>
        <w:t>. By signing below, you hereby voluntarily resign from the positions of Chief Compliance Officer, General Counsel and Secretary (collectively, “</w:t>
      </w:r>
      <w:r>
        <w:rPr>
          <w:rFonts w:ascii="Times New Roman" w:cs="Times New Roman" w:eastAsia="Times New Roman" w:hAnsi="Times New Roman"/>
          <w:sz w:val="18"/>
          <w:szCs w:val="18"/>
          <w:u w:val="single" w:color="auto"/>
          <w:color w:val="auto"/>
        </w:rPr>
        <w:t>CCO</w:t>
      </w:r>
      <w:r>
        <w:rPr>
          <w:rFonts w:ascii="Times New Roman" w:cs="Times New Roman" w:eastAsia="Times New Roman" w:hAnsi="Times New Roman"/>
          <w:sz w:val="18"/>
          <w:szCs w:val="18"/>
          <w:color w:val="auto"/>
        </w:rPr>
        <w:t xml:space="preserve">”) of MSC, and from all other positions with each direct and indirect subsidiary of MSC, including MSK, effective as of September 9, 2025 (Korea Time). Without limiting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or Section 10 of the Employment Agreement, you agree to cooperate with the Company and take all actions to effectuate the foregoing, including executing documents in connection with your resignations. For the avoidance of doubt, other than the compensation and benefits contemplated by this Separation Agreement, there shall be no compensation for the cooperation you provide with respect to your resignations. Notwithstanding anything to the contrary, if any provision in the Employment Agreement conflicts with any provision in this Separation Agreement, the provision contained in this Separation Agreement shall govern and control.</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The Company is offering, and you have accepted, the following compensation and benefits (collectively,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w:t>
      </w:r>
      <w:r>
        <w:rPr>
          <w:rFonts w:ascii="Times New Roman" w:cs="Times New Roman" w:eastAsia="Times New Roman" w:hAnsi="Times New Roman"/>
          <w:sz w:val="18"/>
          <w:szCs w:val="18"/>
          <w:color w:val="auto"/>
        </w:rPr>
        <w:t xml:space="preserve">”) in exchange for your execution of this Separation Agreement and the Release of Claims contained herein and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Payment</w:t>
      </w:r>
      <w:r>
        <w:rPr>
          <w:rFonts w:ascii="Times New Roman" w:cs="Times New Roman" w:eastAsia="Times New Roman" w:hAnsi="Times New Roman"/>
          <w:sz w:val="18"/>
          <w:szCs w:val="18"/>
          <w:color w:val="auto"/>
        </w:rPr>
        <w:t xml:space="preserve">. You will receive a cash severance payment equal to your Final Base Salary, which shall be paid as set forth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Company will first withhold all required taxes and similar deductions applicable to the total amount of such cash severance, and the resulting net total amount shall be paid to you in installments. One-twelfth (1/12) of such net total amount shall be referred to herein as the “</w:t>
      </w:r>
      <w:r>
        <w:rPr>
          <w:rFonts w:ascii="Times New Roman" w:cs="Times New Roman" w:eastAsia="Times New Roman" w:hAnsi="Times New Roman"/>
          <w:sz w:val="18"/>
          <w:szCs w:val="18"/>
          <w:u w:val="single" w:color="auto"/>
          <w:color w:val="auto"/>
        </w:rPr>
        <w:t>Monthly Net Salary</w:t>
      </w:r>
      <w:r>
        <w:rPr>
          <w:rFonts w:ascii="Times New Roman" w:cs="Times New Roman" w:eastAsia="Times New Roman" w:hAnsi="Times New Roman"/>
          <w:sz w:val="18"/>
          <w:szCs w:val="18"/>
          <w:color w:val="auto"/>
        </w:rPr>
        <w:t>”. The installment payments shall be as follows: (i) two (2) times the Monthly Net Salary on the 60th day following the Separation Date; and (ii) the Monthly Net Salary on the</w:t>
      </w:r>
    </w:p>
    <w:p>
      <w:pPr>
        <w:spacing w:after="0" w:line="1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Magnachip Semiconductor, 40F, Parc.1 Tower 2, 108, Yeoui-daero, Yeongdeungpo-gu, Seoul, Republic of Korea, 07335</w:t>
      </w:r>
    </w:p>
    <w:p>
      <w:pPr>
        <w:sectPr>
          <w:pgSz w:w="11900" w:h="16838" w:orient="portrait"/>
          <w:cols w:equalWidth="0" w:num="1">
            <w:col w:w="11020"/>
          </w:cols>
          <w:pgMar w:left="440" w:top="117" w:right="439" w:bottom="1440" w:gutter="0" w:footer="0" w:header="0"/>
        </w:sectPr>
      </w:pPr>
    </w:p>
    <w:bookmarkStart w:id="5" w:name="page6"/>
    <w:bookmarkEnd w:id="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 xml:space="preserve">25th day of each month for a period of 10 months starting from January 2026;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25th falls on a non-business day of the Company, the payment will be made on the immediately preceding business day;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the event of a Change in Control, the Company shall pay you in lump-sum all Monthly Net Salary payments remaining to be paid hereunder immediately prior to such Change in Control. You will also be entitled to receive a prorated portion of the Annual Bonus applicable to the calendar year 2025, determined on a daily basis, based on actual performance achievement for such year, and payable if and when annual bonuses (if any) are paid to the senior executives of the Company with respect to such year. The payments set forth in this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are collectively referred to herein as the “</w:t>
      </w:r>
      <w:r>
        <w:rPr>
          <w:rFonts w:ascii="Times New Roman" w:cs="Times New Roman" w:eastAsia="Times New Roman" w:hAnsi="Times New Roman"/>
          <w:sz w:val="17"/>
          <w:szCs w:val="17"/>
          <w:u w:val="single" w:color="auto"/>
          <w:color w:val="auto"/>
        </w:rPr>
        <w:t>Separation Payment</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ind w:right="160" w:firstLine="419"/>
        <w:spacing w:after="0" w:line="273" w:lineRule="auto"/>
        <w:tabs>
          <w:tab w:leader="none" w:pos="67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Compensation</w:t>
      </w:r>
      <w:r>
        <w:rPr>
          <w:rFonts w:ascii="Times New Roman" w:cs="Times New Roman" w:eastAsia="Times New Roman" w:hAnsi="Times New Roman"/>
          <w:sz w:val="17"/>
          <w:szCs w:val="17"/>
          <w:color w:val="auto"/>
        </w:rPr>
        <w:t>. During your engagement with the Company, you have been granted equity awards (“</w:t>
      </w:r>
      <w:r>
        <w:rPr>
          <w:rFonts w:ascii="Times New Roman" w:cs="Times New Roman" w:eastAsia="Times New Roman" w:hAnsi="Times New Roman"/>
          <w:sz w:val="17"/>
          <w:szCs w:val="17"/>
          <w:u w:val="single" w:color="auto"/>
          <w:color w:val="auto"/>
        </w:rPr>
        <w:t>Equity Awards</w:t>
      </w:r>
      <w:r>
        <w:rPr>
          <w:rFonts w:ascii="Times New Roman" w:cs="Times New Roman" w:eastAsia="Times New Roman" w:hAnsi="Times New Roman"/>
          <w:sz w:val="17"/>
          <w:szCs w:val="17"/>
          <w:color w:val="auto"/>
        </w:rPr>
        <w:t>”) under the terms of, as the case may be, the MagnaChip Semiconductor Corporation 2011 Equity Incentive Plan (the “</w:t>
      </w:r>
      <w:r>
        <w:rPr>
          <w:rFonts w:ascii="Times New Roman" w:cs="Times New Roman" w:eastAsia="Times New Roman" w:hAnsi="Times New Roman"/>
          <w:sz w:val="17"/>
          <w:szCs w:val="17"/>
          <w:u w:val="single" w:color="auto"/>
          <w:color w:val="auto"/>
        </w:rPr>
        <w:t>2011 Equity Plan</w:t>
      </w:r>
      <w:r>
        <w:rPr>
          <w:rFonts w:ascii="Times New Roman" w:cs="Times New Roman" w:eastAsia="Times New Roman" w:hAnsi="Times New Roman"/>
          <w:sz w:val="17"/>
          <w:szCs w:val="17"/>
          <w:color w:val="auto"/>
        </w:rPr>
        <w:t>”) or the Magnachip Semiconductor Corporation 2020 Equity and Incentive Compensation Plan, as amended (together with the 2011 Equity Plan, the “</w:t>
      </w:r>
      <w:r>
        <w:rPr>
          <w:rFonts w:ascii="Times New Roman" w:cs="Times New Roman" w:eastAsia="Times New Roman" w:hAnsi="Times New Roman"/>
          <w:sz w:val="17"/>
          <w:szCs w:val="17"/>
          <w:u w:val="single" w:color="auto"/>
          <w:color w:val="auto"/>
        </w:rPr>
        <w:t>Equity Plan</w:t>
      </w:r>
      <w:r>
        <w:rPr>
          <w:rFonts w:ascii="Times New Roman" w:cs="Times New Roman" w:eastAsia="Times New Roman" w:hAnsi="Times New Roman"/>
          <w:sz w:val="17"/>
          <w:szCs w:val="17"/>
          <w:color w:val="auto"/>
        </w:rPr>
        <w:t xml:space="preserve">”). Any Equity Awards that are outstanding under the Equity Plan will be treated in accordance with the terms of the Equity Plan and the applicable award agreements;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your separation shall be deemed to constitute “termination without Cause” under the Equity Plan and the applicable award agreements;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notwithstanding anything to the contrary, you may exercise your stock options, to the extent unexercised and exercisable, at any time prior to the expiration date applicable to each such stock option.</w:t>
      </w:r>
    </w:p>
    <w:p>
      <w:pPr>
        <w:spacing w:after="0" w:line="63" w:lineRule="exact"/>
        <w:rPr>
          <w:rFonts w:ascii="Times New Roman" w:cs="Times New Roman" w:eastAsia="Times New Roman" w:hAnsi="Times New Roman"/>
          <w:sz w:val="17"/>
          <w:szCs w:val="17"/>
          <w:color w:val="auto"/>
        </w:rPr>
      </w:pPr>
    </w:p>
    <w:p>
      <w:pPr>
        <w:ind w:right="700" w:firstLine="419"/>
        <w:spacing w:after="0" w:line="282" w:lineRule="auto"/>
        <w:tabs>
          <w:tab w:leader="none" w:pos="6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Expatriate Benefits</w:t>
      </w:r>
      <w:r>
        <w:rPr>
          <w:rFonts w:ascii="Times New Roman" w:cs="Times New Roman" w:eastAsia="Times New Roman" w:hAnsi="Times New Roman"/>
          <w:sz w:val="18"/>
          <w:szCs w:val="18"/>
          <w:color w:val="auto"/>
        </w:rPr>
        <w:t>. The following benefits shall be provided to you as settlement in respect of all of your expatriate assignment entitlements:</w:t>
      </w:r>
    </w:p>
    <w:p>
      <w:pPr>
        <w:spacing w:after="0" w:line="53" w:lineRule="exact"/>
        <w:rPr>
          <w:rFonts w:ascii="Times New Roman" w:cs="Times New Roman" w:eastAsia="Times New Roman" w:hAnsi="Times New Roman"/>
          <w:sz w:val="18"/>
          <w:szCs w:val="18"/>
          <w:color w:val="auto"/>
        </w:rPr>
      </w:pPr>
    </w:p>
    <w:p>
      <w:pPr>
        <w:jc w:val="both"/>
        <w:ind w:left="540" w:right="60" w:firstLine="408"/>
        <w:spacing w:after="0" w:line="266" w:lineRule="auto"/>
        <w:tabs>
          <w:tab w:leader="none" w:pos="11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your current housing support (including rent payments (if any), utilities, management fees and the like, consistent with past practice) through February 28,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support for utilities, management fee and the like shall continue through only December 31, 2025 and shall discontinue thereafter);</w:t>
      </w:r>
    </w:p>
    <w:p>
      <w:pPr>
        <w:spacing w:after="0" w:line="6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your current life/accident/travel insurance coverage (consistent with past practice);</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 equal to the Monthly Net Salary, to be paid on the 60th day following the Separation Date;</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all other expatriate assignment entitlements, cash payment equal to a sum of USD 32,933.00 plus KRW 36,000,395, to be paid on the 60th date following the Separation Date; and</w:t>
      </w:r>
    </w:p>
    <w:p>
      <w:pPr>
        <w:spacing w:after="0" w:line="53" w:lineRule="exact"/>
        <w:rPr>
          <w:rFonts w:ascii="Times New Roman" w:cs="Times New Roman" w:eastAsia="Times New Roman" w:hAnsi="Times New Roman"/>
          <w:sz w:val="18"/>
          <w:szCs w:val="18"/>
          <w:color w:val="auto"/>
        </w:rPr>
      </w:pPr>
    </w:p>
    <w:p>
      <w:pPr>
        <w:ind w:left="540" w:right="60" w:firstLine="408"/>
        <w:spacing w:after="0" w:line="258" w:lineRule="auto"/>
        <w:tabs>
          <w:tab w:leader="none" w:pos="11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Continuation of tax equalization and tax preparation/consulting services as required with respect to any and all compensation you receive from the Company (including the compensation and benefits you receive under this Separation Agreement) for the tax year(s) during which any portion of such compensation is paid and becomes taxable,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Company’s tax equalization obligation shall not cover or apply to any capital gains taxes accrued or assessed on any equity awards you have been granted by the Company and the tax preparation/consulting services shall not extend beyond the tax year 2025.</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864" w:right="439" w:bottom="1440" w:gutter="0" w:footer="0" w:header="0"/>
        </w:sectPr>
      </w:pPr>
    </w:p>
    <w:bookmarkStart w:id="6" w:name="page7"/>
    <w:bookmarkEnd w:id="6"/>
    <w:p>
      <w:pPr>
        <w:ind w:left="420"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Except as set forth above, you will have no right to receive any compensation or benefit with respect to your expatriate assignment, whether pursuant to the Employment Agreement, the Company’s policies or practices relating to expatriate assignments or otherwise.</w:t>
      </w:r>
    </w:p>
    <w:p>
      <w:pPr>
        <w:spacing w:after="0" w:line="54" w:lineRule="exact"/>
        <w:rPr>
          <w:sz w:val="20"/>
          <w:szCs w:val="20"/>
          <w:color w:val="auto"/>
        </w:rPr>
      </w:pPr>
    </w:p>
    <w:p>
      <w:pPr>
        <w:ind w:left="420" w:right="460" w:firstLine="419"/>
        <w:spacing w:after="0" w:line="282" w:lineRule="auto"/>
        <w:tabs>
          <w:tab w:leader="none" w:pos="109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the Severance Benefit (including the Separation Payment) to be provided to you shall be contingent upon and subject to:</w:t>
      </w:r>
    </w:p>
    <w:p>
      <w:pPr>
        <w:spacing w:after="0" w:line="53"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execution and non-revocation of the Release and your satisfaction of the conditions under the Release;</w:t>
      </w:r>
    </w:p>
    <w:p>
      <w:pPr>
        <w:spacing w:after="0" w:line="117" w:lineRule="exact"/>
        <w:rPr>
          <w:rFonts w:ascii="Times New Roman" w:cs="Times New Roman" w:eastAsia="Times New Roman" w:hAnsi="Times New Roman"/>
          <w:sz w:val="18"/>
          <w:szCs w:val="18"/>
          <w:color w:val="auto"/>
        </w:rPr>
      </w:pPr>
    </w:p>
    <w:p>
      <w:pPr>
        <w:ind w:left="960" w:right="180" w:firstLine="408"/>
        <w:spacing w:after="0" w:line="282" w:lineRule="auto"/>
        <w:tabs>
          <w:tab w:leader="none" w:pos="162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compliance with all of the terms of the Confidentiality Agreement and Proprietary Information and Invention Assignment Agreement, which you signed upon joining the Company, except as superseded by this Separation Agreement; and</w:t>
      </w:r>
    </w:p>
    <w:p>
      <w:pPr>
        <w:spacing w:after="0" w:line="53" w:lineRule="exact"/>
        <w:rPr>
          <w:rFonts w:ascii="Times New Roman" w:cs="Times New Roman" w:eastAsia="Times New Roman" w:hAnsi="Times New Roman"/>
          <w:sz w:val="18"/>
          <w:szCs w:val="18"/>
          <w:color w:val="auto"/>
        </w:rPr>
      </w:pPr>
    </w:p>
    <w:p>
      <w:pPr>
        <w:ind w:left="960" w:right="140" w:firstLine="408"/>
        <w:spacing w:after="0" w:line="282" w:lineRule="auto"/>
        <w:tabs>
          <w:tab w:leader="none" w:pos="167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compliance with all the terms of this Separation Agreement, including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(and by reference, Sections 6, 7, 8 and 10 of the Employment Agreement).</w:t>
      </w:r>
    </w:p>
    <w:p>
      <w:pPr>
        <w:spacing w:after="0" w:line="53" w:lineRule="exact"/>
        <w:rPr>
          <w:rFonts w:ascii="Times New Roman" w:cs="Times New Roman" w:eastAsia="Times New Roman" w:hAnsi="Times New Roman"/>
          <w:sz w:val="18"/>
          <w:szCs w:val="18"/>
          <w:color w:val="auto"/>
        </w:rPr>
      </w:pPr>
    </w:p>
    <w:p>
      <w:pPr>
        <w:ind w:left="1080" w:hanging="241"/>
        <w:spacing w:after="0"/>
        <w:tabs>
          <w:tab w:leader="none" w:pos="10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Notwithstanding anything to the contrary, the Company will withhold taxes and other similar deductions as required by applicable</w:t>
      </w:r>
    </w:p>
    <w:p>
      <w:pPr>
        <w:spacing w:after="0" w:line="38"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law.</w:t>
      </w:r>
    </w:p>
    <w:p>
      <w:pPr>
        <w:spacing w:after="0" w:line="98" w:lineRule="exact"/>
        <w:rPr>
          <w:rFonts w:ascii="Times New Roman" w:cs="Times New Roman" w:eastAsia="Times New Roman" w:hAnsi="Times New Roman"/>
          <w:sz w:val="17"/>
          <w:szCs w:val="17"/>
          <w:color w:val="auto"/>
        </w:rPr>
      </w:pPr>
    </w:p>
    <w:p>
      <w:pPr>
        <w:ind w:left="420" w:right="20" w:firstLine="419"/>
        <w:spacing w:after="0" w:line="271" w:lineRule="auto"/>
        <w:tabs>
          <w:tab w:leader="none" w:pos="10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Benefits and Compensation</w:t>
      </w:r>
      <w:r>
        <w:rPr>
          <w:rFonts w:ascii="Times New Roman" w:cs="Times New Roman" w:eastAsia="Times New Roman" w:hAnsi="Times New Roman"/>
          <w:sz w:val="17"/>
          <w:szCs w:val="17"/>
          <w:color w:val="auto"/>
        </w:rPr>
        <w:t xml:space="preserve">. You agree that, except as otherwise provided herein and except any statutory severance required by Korean law (or its equivalent accrued pursuant to the Company’s policies and practices), you have been paid all benefits and compensation (including any equity-based compensation) owed to you by the Company and are not entitled to any additional severance, wages, salary, bonuses, benefits, equity awards, incentive compensation, allowances or other remuneration from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the foregoing shall not adversely affect the wages and benefits you are entitled to receive through the Separation Date. Except as provided herein or any adjustments due to income-related taxes to be settled between you and the Company with respect to prior periods or any other adjustments that may be required due to manifest error (including miscalculations, misapplication of tax rates, items requiring an amendment to tax filings and the like), neither party shall be required to make any payment or reimbursement to the other party, whether in association with compensation, bonuses, benefits, equity awards, expatriate assignment entitlements (including repatriation benefits and tax equalization) or otherwise.</w:t>
      </w:r>
    </w:p>
    <w:p>
      <w:pPr>
        <w:spacing w:after="0" w:line="65" w:lineRule="exact"/>
        <w:rPr>
          <w:rFonts w:ascii="Times New Roman" w:cs="Times New Roman" w:eastAsia="Times New Roman" w:hAnsi="Times New Roman"/>
          <w:sz w:val="17"/>
          <w:szCs w:val="17"/>
          <w:color w:val="auto"/>
        </w:rPr>
      </w:pPr>
    </w:p>
    <w:p>
      <w:pPr>
        <w:ind w:left="420" w:firstLine="419"/>
        <w:spacing w:after="0" w:line="312" w:lineRule="auto"/>
        <w:tabs>
          <w:tab w:leader="none" w:pos="109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Each party hereto waives any and all notice requirements in connection with the termination or resignation of your employment contemplated by this Separation Agreement, including any such requirement set forth in Section 4(b) of the Employment Agreement.</w:t>
      </w:r>
    </w:p>
    <w:p>
      <w:pPr>
        <w:spacing w:after="0" w:line="139" w:lineRule="exact"/>
        <w:rPr>
          <w:rFonts w:ascii="Times New Roman" w:cs="Times New Roman" w:eastAsia="Times New Roman" w:hAnsi="Times New Roman"/>
          <w:sz w:val="17"/>
          <w:szCs w:val="17"/>
          <w:color w:val="auto"/>
        </w:rPr>
      </w:pPr>
    </w:p>
    <w:p>
      <w:pPr>
        <w:ind w:left="-20" w:right="180" w:firstLine="436"/>
        <w:spacing w:after="0" w:line="266"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Sections 6 (Non-Competition; Non-Solicitation; Non-Hire), 7 (Non-Disclosure of Confidential Information; Non-Disparagement; Intellectual Property), 8 (Injunctive Relief) and 10 (Cooperation) of the Employment Agreement are hereby incorporated hereinto by reference. You hereby confirm the validity and effectiveness of such provisions and agree to comply with them.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864" w:right="479" w:bottom="1440" w:gutter="0" w:footer="0" w:header="0"/>
        </w:sectPr>
      </w:pPr>
    </w:p>
    <w:bookmarkStart w:id="7" w:name="page8"/>
    <w:bookmarkEnd w:id="7"/>
    <w:p>
      <w:pPr>
        <w:ind w:right="160" w:firstLine="436"/>
        <w:spacing w:after="0" w:line="25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5925820</wp:posOffset>
            </wp:positionH>
            <wp:positionV relativeFrom="page">
              <wp:posOffset>182880</wp:posOffset>
            </wp:positionV>
            <wp:extent cx="134620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7432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Separation Agreement, the Release and the Employment Agreement (and the Confidentiality Agreement and the Proprietary Information and Invention Assignment Agreement referenced in this Separation Agreement) constitute the entire agreement and understanding between you and the Company with respect to the subject matter hereof and supersede all prior agreements, policies and understandings (whether written or oral, including any notice of non-renewal), between you and the Company, relating to such subject matter (including any oral promise to retain you as a consultant for any period following your termination of engagement and provide payments or benefits in connection therewith).</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claim, demand, document or other communication hereunder to any party hereto shall be effective upon receipt (or refusal of receipt) and shall be in writing and delivered personally or sent by telex, telecopy, email, commercially recognized overnight courier or certified or registered mail, postage prepaid, to the following address (or at any other address as any party hereto shall have specified by notice in writing to the other party hereto):</w:t>
      </w:r>
    </w:p>
    <w:p>
      <w:pPr>
        <w:spacing w:after="0" w:line="6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 its current executive offices, Attn: Chief Financial Officer ([</w:t>
      </w:r>
      <w:r>
        <w:rPr>
          <w:rFonts w:ascii="Times New Roman" w:cs="Times New Roman" w:eastAsia="Times New Roman" w:hAnsi="Times New Roman"/>
          <w:sz w:val="18"/>
          <w:szCs w:val="18"/>
          <w:i w:val="1"/>
          <w:iCs w:val="1"/>
          <w:color w:val="auto"/>
        </w:rPr>
        <w:t>email address redacted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Mr. Kim ([</w:t>
      </w:r>
      <w:r>
        <w:rPr>
          <w:rFonts w:ascii="Times New Roman" w:cs="Times New Roman" w:eastAsia="Times New Roman" w:hAnsi="Times New Roman"/>
          <w:sz w:val="18"/>
          <w:szCs w:val="18"/>
          <w:i w:val="1"/>
          <w:iCs w:val="1"/>
          <w:color w:val="auto"/>
        </w:rPr>
        <w:t>email address redacted</w:t>
      </w:r>
      <w:r>
        <w:rPr>
          <w:rFonts w:ascii="Times New Roman" w:cs="Times New Roman" w:eastAsia="Times New Roman" w:hAnsi="Times New Roman"/>
          <w:sz w:val="18"/>
          <w:szCs w:val="18"/>
          <w:color w:val="auto"/>
        </w:rPr>
        <w:t>]), at his most recent address on the payroll records of the Company.</w:t>
      </w:r>
    </w:p>
    <w:p>
      <w:pPr>
        <w:spacing w:after="0" w:line="227" w:lineRule="exact"/>
        <w:rPr>
          <w:rFonts w:ascii="Times New Roman" w:cs="Times New Roman" w:eastAsia="Times New Roman" w:hAnsi="Times New Roman"/>
          <w:sz w:val="18"/>
          <w:szCs w:val="18"/>
          <w:color w:val="auto"/>
        </w:rPr>
      </w:pPr>
    </w:p>
    <w:p>
      <w:pPr>
        <w:ind w:right="140"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Sections 13 (Assignment and Successors), 14 (Governing Law), 15 (Validity), 17 (Counterparts), 19 (Amendments; Waivers), 20 (No Inconsistent Actions), 21 (Construction), 22 (Dispute Resolution), 23 (Enforcement), 24 (Withholding), 25 (Clawback) and 27 (Employee Representations) of the Employment Agreement are hereby incorporated hereinto by reference,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those sections shall apply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this Separation Agreement as if the term “Agreement” were replaced with the term “Separation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internationally left blank, 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850" w:right="43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Please confirm your agreement with the foregoing by signing and returning one copy of this Separation Agreement to the undersigned, whereupon this Separation Agreement shall become a binding agreement between you and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MAGNACHIP SEMICONDUCTOR CORP.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Camillo Martino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of the Board of Directors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MAGNACHIP SEMICONDUCTOR,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Camillo Martino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Representative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Theodore S. Kim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864"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257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p>
    <w:p>
      <w:pPr>
        <w:spacing w:after="0" w:line="22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As used in this Release of Claims (this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the term “claims”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have the respective meanings ascribed to them in the Separation Agreement dated September 9, 2025, among Magnachip Semiconductor Corporation, Magnachip Semiconductor, Ltd. and the undersigned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and in consideration of the Severance Benefit, and other good and valuable consideration, I, for and on behalf of myself and my executors, heirs, administrators, representatives, and assigns, hereby agree to release and forever discharge the Company and all of their respective predecessors, successors, affiliates, subsidiaries,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Times New Roman" w:cs="Times New Roman" w:eastAsia="Times New Roman" w:hAnsi="Times New Roman"/>
          <w:sz w:val="18"/>
          <w:szCs w:val="18"/>
          <w:u w:val="single" w:color="auto"/>
          <w:color w:val="auto"/>
        </w:rPr>
        <w:t>Company Releasees</w:t>
      </w:r>
      <w:r>
        <w:rPr>
          <w:rFonts w:ascii="Times New Roman" w:cs="Times New Roman" w:eastAsia="Times New Roman" w:hAnsi="Times New Roman"/>
          <w:sz w:val="18"/>
          <w:szCs w:val="18"/>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executive service to, or employment by, the Company or the termination thereof, including any and all claims arising under federal, state or local laws of the United States of America or under national, provincial or local laws of the Republic of Korea (as well as any applicable foreign jurisdictions) relating to executive service or employment, including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197"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I acknowledge and agree that as of the date I execute this Release (the “</w:t>
      </w:r>
      <w:r>
        <w:rPr>
          <w:rFonts w:ascii="Times New Roman" w:cs="Times New Roman" w:eastAsia="Times New Roman" w:hAnsi="Times New Roman"/>
          <w:sz w:val="17"/>
          <w:szCs w:val="17"/>
          <w:u w:val="single" w:color="auto"/>
          <w:color w:val="auto"/>
        </w:rPr>
        <w:t>Release Effective Date</w:t>
      </w:r>
      <w:r>
        <w:rPr>
          <w:rFonts w:ascii="Times New Roman" w:cs="Times New Roman" w:eastAsia="Times New Roman" w:hAnsi="Times New Roman"/>
          <w:sz w:val="17"/>
          <w:szCs w:val="17"/>
          <w:color w:val="auto"/>
        </w:rPr>
        <w:t>”),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 a “</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Further, I understand that, by executing this Release, I will be limiting the availability of certain remedies that I may have against the Company and limiting also my ability to pursue certain claims against the Company Releasees.</w:t>
      </w:r>
    </w:p>
    <w:p>
      <w:pPr>
        <w:spacing w:after="0" w:line="17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generality of the foregoing, I do not release (i) claims that may arise out of the Separation Agreement, including my right to receive the Severance Benefit, including the Separation Payment, in accordance with the Separation Agreement, (ii) claims for indemnification arising under any applicable indemnification obligation of the Company, or (iii) claims that cannot be waived by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860" w:right="459" w:bottom="1440" w:gutter="0" w:footer="0" w:header="0"/>
        </w:sectPr>
      </w:pPr>
    </w:p>
    <w:bookmarkStart w:id="10" w:name="page11"/>
    <w:bookmarkEnd w:id="10"/>
    <w:p>
      <w:pPr>
        <w:ind w:right="4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183515</wp:posOffset>
            </wp:positionV>
            <wp:extent cx="1363345"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3210"/>
                    </a:xfrm>
                    <a:prstGeom prst="rect">
                      <a:avLst/>
                    </a:prstGeom>
                    <a:noFill/>
                  </pic:spPr>
                </pic:pic>
              </a:graphicData>
            </a:graphic>
          </wp:anchor>
        </w:drawing>
        <w:t>I understand that nothing in this Agreement will preclude, prohibit or restrict me from (i) participating or cooperating in any investigation conducted by any governmental agency or authority or (ii) filing a charge of discrimination with any administrative agency or regulatory authority.</w:t>
      </w:r>
    </w:p>
    <w:p>
      <w:pPr>
        <w:spacing w:after="0" w:line="14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Nothing in this Agreement, or any other agreement with the Company, prohibits or is intended in any manner to prohibit, me from (i) reporting a possible violation of U.S. federal or other applicable law or regulation to any governmental agency or entity, including the Department of Justice, the SEC and the U.S. Congress and any similar governmental agencies of other jurisdictions, including the inspector general of any such governmental agency, or (ii) making other disclosures that are protected under whistleblower provisions of U.S. federal or other applicable law or regulation. This Agreement does not limit my right to receive an award (including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8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 understand that after executing this Release, I have the right to revoke it within seven (7) days after its execution. I understand that this Release will not become effective and enforceable unless the seven (7)-day revocation period passes and I do not revoke the Release in writing. I understand that this Release may not be revoked after the seven (7)-day revocation period has passed. I understand also that any revocation of this Release must be made in writing and delivered to the Company at its principal place of business within the seven (7)-day period.</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Release will become effective, irrevocable and binding on the eighth (8th) day after its execution, so long as I have not timely revoked it as set forth above. I understand and acknowledge that I will not be entitled to payments or benefits under the Separation Agreement unless this Release is effective on or before the date that is 60 days following the Separation Date.</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 hereby agree to waive any and all claims to re-engagement or re-employment with the Company and affirmatively agree not to seek further employment with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864" w:right="459" w:bottom="1440" w:gutter="0" w:footer="0" w:header="0"/>
        </w:sectPr>
      </w:pPr>
    </w:p>
    <w:bookmarkStart w:id="11" w:name="page12"/>
    <w:bookmarkEnd w:id="11"/>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183515</wp:posOffset>
            </wp:positionV>
            <wp:extent cx="1363345"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63345" cy="283210"/>
                    </a:xfrm>
                    <a:prstGeom prst="rect">
                      <a:avLst/>
                    </a:prstGeom>
                    <a:noFill/>
                  </pic:spPr>
                </pic:pic>
              </a:graphicData>
            </a:graphic>
          </wp:anchor>
        </w:drawing>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282575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0940"/>
      </w:cols>
      <w:pgMar w:left="440" w:top="86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lowerRoman"/>
      <w:start w:val="3"/>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lowerLetter"/>
      <w:start w:val="2"/>
    </w:lvl>
    <w:lvl w:ilvl="1">
      <w:lvlJc w:val="left"/>
      <w:lvlText w:val="(%2)"/>
      <w:numFmt w:val="lowerRoman"/>
      <w:start w:val="1"/>
    </w:lvl>
  </w:abstractNum>
  <w:abstractNum w:abstractNumId="5">
    <w:nsid w:val="41B71E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
    <w:nsid w:val="79E2A9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7545E146"/>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2025-09-09T05:15:07Z</dcterms:created>
  <dcterms:modified xsi:type="dcterms:W3CDTF">2025-09-09T05:15:07Z</dcterms:modified>
</cp:coreProperties>
</file>