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5)*</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MagnaChip Semiconductor Corporation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55933J203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93" w:lineRule="exact"/>
        <w:rPr>
          <w:sz w:val="24"/>
          <w:szCs w:val="24"/>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39" w:lineRule="exact"/>
        <w:rPr>
          <w:sz w:val="24"/>
          <w:szCs w:val="24"/>
          <w:color w:val="auto"/>
        </w:rPr>
      </w:pPr>
    </w:p>
    <w:p>
      <w:pPr>
        <w:ind w:left="1520" w:hanging="216"/>
        <w:spacing w:after="0"/>
        <w:tabs>
          <w:tab w:leader="none" w:pos="1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520" w:hanging="216"/>
        <w:spacing w:after="0"/>
        <w:tabs>
          <w:tab w:leader="none" w:pos="1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ind w:left="1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2361565" cy="167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1565"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161925</wp:posOffset>
            </wp:positionV>
            <wp:extent cx="7132320" cy="5760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-129540</wp:posOffset>
            </wp:positionV>
            <wp:extent cx="2352675" cy="167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2675" cy="16700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4760" w:space="720"/>
            <w:col w:w="1440" w:space="720"/>
            <w:col w:w="3600"/>
          </w:cols>
          <w:pgMar w:left="320" w:top="918" w:right="339" w:bottom="1440" w:gutter="0" w:footer="0" w:header="0"/>
        </w:sectPr>
      </w:pPr>
    </w:p>
    <w:p>
      <w:pPr>
        <w:spacing w:after="0" w:line="104" w:lineRule="exact"/>
        <w:rPr>
          <w:sz w:val="20"/>
          <w:szCs w:val="20"/>
          <w:color w:val="auto"/>
        </w:rPr>
      </w:pPr>
    </w:p>
    <w:p>
      <w:pPr>
        <w:ind w:left="1240" w:hanging="70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Evermore Global Advisors, LLC</w:t>
      </w:r>
    </w:p>
    <w:p>
      <w:pPr>
        <w:spacing w:after="0" w:line="131" w:lineRule="exact"/>
        <w:rPr>
          <w:sz w:val="20"/>
          <w:szCs w:val="20"/>
          <w:color w:val="auto"/>
        </w:rPr>
      </w:pPr>
    </w:p>
    <w:p>
      <w:pPr>
        <w:ind w:left="1240" w:right="5020" w:hanging="703"/>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07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6"/>
          <w:szCs w:val="16"/>
          <w:color w:val="auto"/>
        </w:rPr>
        <w:t>☐</w:t>
      </w:r>
    </w:p>
    <w:p>
      <w:pPr>
        <w:spacing w:after="0" w:line="11" w:lineRule="exact"/>
        <w:rPr>
          <w:sz w:val="20"/>
          <w:szCs w:val="20"/>
          <w:color w:val="auto"/>
        </w:rPr>
      </w:pPr>
    </w:p>
    <w:p>
      <w:pPr>
        <w:ind w:left="10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6"/>
          <w:szCs w:val="16"/>
          <w:color w:val="auto"/>
        </w:rPr>
        <w:t>☐</w:t>
      </w:r>
    </w:p>
    <w:p>
      <w:pPr>
        <w:spacing w:after="0" w:line="111" w:lineRule="exact"/>
        <w:rPr>
          <w:sz w:val="20"/>
          <w:szCs w:val="20"/>
          <w:color w:val="auto"/>
        </w:rPr>
      </w:pPr>
    </w:p>
    <w:p>
      <w:pPr>
        <w:ind w:left="1240" w:hanging="703"/>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7" w:lineRule="exact"/>
        <w:rPr>
          <w:sz w:val="20"/>
          <w:szCs w:val="20"/>
          <w:color w:val="auto"/>
        </w:rPr>
      </w:pPr>
    </w:p>
    <w:p>
      <w:pPr>
        <w:ind w:left="1240" w:hanging="70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30" w:lineRule="exact"/>
        <w:rPr>
          <w:rFonts w:ascii="Times New Roman" w:cs="Times New Roman" w:eastAsia="Times New Roman" w:hAnsi="Times New Roman"/>
          <w:sz w:val="18"/>
          <w:szCs w:val="18"/>
          <w:color w:val="auto"/>
        </w:rPr>
      </w:pPr>
    </w:p>
    <w:p>
      <w:pPr>
        <w:ind w:left="2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7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832,331 (See Item 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260" w:type="dxa"/>
            <w:vAlign w:val="bottom"/>
            <w:gridSpan w:val="2"/>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260" w:type="dxa"/>
            <w:vAlign w:val="bottom"/>
            <w:gridSpan w:val="2"/>
            <w:vMerge w:val="continue"/>
          </w:tcPr>
          <w:p>
            <w:pPr>
              <w:spacing w:after="0"/>
              <w:rPr>
                <w:sz w:val="7"/>
                <w:szCs w:val="7"/>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71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 (See Item 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40" w:type="dxa"/>
            <w:vAlign w:val="bottom"/>
          </w:tcPr>
          <w:p>
            <w:pPr>
              <w:spacing w:after="0"/>
              <w:rPr>
                <w:sz w:val="15"/>
                <w:szCs w:val="15"/>
                <w:color w:val="auto"/>
              </w:rPr>
            </w:pPr>
          </w:p>
        </w:tc>
        <w:tc>
          <w:tcPr>
            <w:tcW w:w="1520" w:type="dxa"/>
            <w:vAlign w:val="bottom"/>
          </w:tcPr>
          <w:p>
            <w:pPr>
              <w:jc w:val="center"/>
              <w:ind w:right="63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710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832,331 (See Item 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740" w:type="dxa"/>
            <w:vAlign w:val="bottom"/>
          </w:tcPr>
          <w:p>
            <w:pPr>
              <w:spacing w:after="0"/>
              <w:rPr>
                <w:sz w:val="7"/>
                <w:szCs w:val="7"/>
                <w:color w:val="auto"/>
              </w:rPr>
            </w:pPr>
          </w:p>
        </w:tc>
        <w:tc>
          <w:tcPr>
            <w:tcW w:w="152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710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7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710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 (See Item 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bottom w:val="single" w:sz="8" w:color="auto"/>
            </w:tcBorders>
          </w:tcPr>
          <w:p>
            <w:pPr>
              <w:spacing w:after="0"/>
              <w:rPr>
                <w:sz w:val="4"/>
                <w:szCs w:val="4"/>
                <w:color w:val="auto"/>
              </w:rPr>
            </w:pPr>
          </w:p>
        </w:tc>
        <w:tc>
          <w:tcPr>
            <w:tcW w:w="954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832,331</w:t>
            </w:r>
          </w:p>
        </w:tc>
        <w:tc>
          <w:tcPr>
            <w:tcW w:w="9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bottom w:val="single" w:sz="8" w:color="auto"/>
            </w:tcBorders>
          </w:tcPr>
          <w:p>
            <w:pPr>
              <w:spacing w:after="0"/>
              <w:rPr>
                <w:sz w:val="4"/>
                <w:szCs w:val="4"/>
                <w:color w:val="auto"/>
              </w:rPr>
            </w:pPr>
          </w:p>
        </w:tc>
        <w:tc>
          <w:tcPr>
            <w:tcW w:w="954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9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240" w:right="4980" w:hanging="745"/>
        <w:spacing w:after="0" w:line="225" w:lineRule="auto"/>
        <w:tabs>
          <w:tab w:leader="none" w:pos="1240"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PERCENT OF CLASS REPRESENTED BY AMOUNT IN ROW 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2.3%</w:t>
      </w:r>
    </w:p>
    <w:p>
      <w:pPr>
        <w:spacing w:after="0" w:line="105" w:lineRule="exact"/>
        <w:rPr>
          <w:rFonts w:ascii="Times New Roman" w:cs="Times New Roman" w:eastAsia="Times New Roman" w:hAnsi="Times New Roman"/>
          <w:sz w:val="36"/>
          <w:szCs w:val="36"/>
          <w:color w:val="auto"/>
          <w:vertAlign w:val="superscript"/>
        </w:rPr>
      </w:pPr>
    </w:p>
    <w:p>
      <w:pPr>
        <w:ind w:left="1240" w:right="7500" w:hanging="748"/>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6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4" w:lineRule="exact"/>
        <w:rPr>
          <w:sz w:val="20"/>
          <w:szCs w:val="20"/>
          <w:color w:val="auto"/>
        </w:rPr>
      </w:pPr>
    </w:p>
    <w:p>
      <w:pPr>
        <w:ind w:right="20" w:firstLine="8"/>
        <w:spacing w:after="0" w:line="195" w:lineRule="auto"/>
        <w:tabs>
          <w:tab w:leader="none" w:pos="121"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percentage is based on 35,538,475 shares of common stock outstanding as of October 30, 2020, as set forth in the Issuer’s Form 10-Q for the quarter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2" w:name="page3"/>
    <w:bookmarkEnd w:id="2"/>
    <w:p>
      <w:pPr>
        <w:ind w:left="1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2361565" cy="167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1565"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161925</wp:posOffset>
            </wp:positionV>
            <wp:extent cx="7132320" cy="5812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12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-129540</wp:posOffset>
            </wp:positionV>
            <wp:extent cx="2352675" cy="167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2675" cy="16700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4760" w:space="720"/>
            <w:col w:w="1440" w:space="720"/>
            <w:col w:w="3600"/>
          </w:cols>
          <w:pgMar w:left="320" w:top="918" w:right="339" w:bottom="1440" w:gutter="0" w:footer="0" w:header="0"/>
        </w:sectPr>
      </w:pPr>
    </w:p>
    <w:p>
      <w:pPr>
        <w:spacing w:after="0" w:line="104" w:lineRule="exact"/>
        <w:rPr>
          <w:sz w:val="20"/>
          <w:szCs w:val="20"/>
          <w:color w:val="auto"/>
        </w:rPr>
      </w:pPr>
    </w:p>
    <w:p>
      <w:pPr>
        <w:ind w:left="1240" w:hanging="70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Evermore Global Value Fund, a series of Evermore Funds Trust</w:t>
      </w:r>
    </w:p>
    <w:p>
      <w:pPr>
        <w:spacing w:after="0" w:line="131" w:lineRule="exact"/>
        <w:rPr>
          <w:sz w:val="20"/>
          <w:szCs w:val="20"/>
          <w:color w:val="auto"/>
        </w:rPr>
      </w:pPr>
    </w:p>
    <w:p>
      <w:pPr>
        <w:ind w:left="1240" w:right="5020" w:hanging="703"/>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07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6"/>
          <w:szCs w:val="16"/>
          <w:color w:val="auto"/>
        </w:rPr>
        <w:t>☐</w:t>
      </w:r>
    </w:p>
    <w:p>
      <w:pPr>
        <w:spacing w:after="0" w:line="11" w:lineRule="exact"/>
        <w:rPr>
          <w:sz w:val="20"/>
          <w:szCs w:val="20"/>
          <w:color w:val="auto"/>
        </w:rPr>
      </w:pPr>
    </w:p>
    <w:p>
      <w:pPr>
        <w:ind w:left="107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6"/>
          <w:szCs w:val="16"/>
          <w:color w:val="auto"/>
        </w:rPr>
        <w:t>☐</w:t>
      </w:r>
    </w:p>
    <w:p>
      <w:pPr>
        <w:spacing w:after="0" w:line="111" w:lineRule="exact"/>
        <w:rPr>
          <w:sz w:val="20"/>
          <w:szCs w:val="20"/>
          <w:color w:val="auto"/>
        </w:rPr>
      </w:pPr>
    </w:p>
    <w:p>
      <w:pPr>
        <w:ind w:left="1240" w:hanging="70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7" w:lineRule="exact"/>
        <w:rPr>
          <w:sz w:val="20"/>
          <w:szCs w:val="20"/>
          <w:color w:val="auto"/>
        </w:rPr>
      </w:pPr>
    </w:p>
    <w:p>
      <w:pPr>
        <w:ind w:left="1240" w:hanging="70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Massachusetts</w:t>
      </w:r>
    </w:p>
    <w:p>
      <w:pPr>
        <w:spacing w:after="0" w:line="130" w:lineRule="exact"/>
        <w:rPr>
          <w:rFonts w:ascii="Times New Roman" w:cs="Times New Roman" w:eastAsia="Times New Roman" w:hAnsi="Times New Roman"/>
          <w:sz w:val="18"/>
          <w:szCs w:val="18"/>
          <w:color w:val="auto"/>
        </w:rPr>
      </w:pPr>
    </w:p>
    <w:p>
      <w:pPr>
        <w:ind w:left="2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(See Item 4)</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260" w:type="dxa"/>
            <w:vAlign w:val="bottom"/>
            <w:gridSpan w:val="2"/>
            <w:vMerge w:val="continue"/>
          </w:tcPr>
          <w:p>
            <w:pPr>
              <w:spacing w:after="0"/>
              <w:rPr>
                <w:sz w:val="7"/>
                <w:szCs w:val="7"/>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71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 (See Item 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40" w:type="dxa"/>
            <w:vAlign w:val="bottom"/>
          </w:tcPr>
          <w:p>
            <w:pPr>
              <w:spacing w:after="0"/>
              <w:rPr>
                <w:sz w:val="15"/>
                <w:szCs w:val="15"/>
                <w:color w:val="auto"/>
              </w:rPr>
            </w:pPr>
          </w:p>
        </w:tc>
        <w:tc>
          <w:tcPr>
            <w:tcW w:w="1520" w:type="dxa"/>
            <w:vAlign w:val="bottom"/>
          </w:tcPr>
          <w:p>
            <w:pPr>
              <w:jc w:val="center"/>
              <w:ind w:right="63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710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6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7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(See Item 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1520" w:type="dxa"/>
            <w:vAlign w:val="bottom"/>
          </w:tcPr>
          <w:p>
            <w:pPr>
              <w:jc w:val="center"/>
              <w:ind w:right="630"/>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920" w:type="dxa"/>
            <w:vAlign w:val="bottom"/>
            <w:tcBorders>
              <w:bottom w:val="single" w:sz="8" w:color="auto"/>
            </w:tcBorders>
          </w:tcPr>
          <w:p>
            <w:pPr>
              <w:spacing w:after="0"/>
              <w:rPr>
                <w:sz w:val="16"/>
                <w:szCs w:val="16"/>
                <w:color w:val="auto"/>
              </w:rPr>
            </w:pPr>
          </w:p>
        </w:tc>
        <w:tc>
          <w:tcPr>
            <w:tcW w:w="7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7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 (See Item 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bottom w:val="single" w:sz="8" w:color="auto"/>
            </w:tcBorders>
          </w:tcPr>
          <w:p>
            <w:pPr>
              <w:spacing w:after="0"/>
              <w:rPr>
                <w:sz w:val="4"/>
                <w:szCs w:val="4"/>
                <w:color w:val="auto"/>
              </w:rPr>
            </w:pPr>
          </w:p>
        </w:tc>
        <w:tc>
          <w:tcPr>
            <w:tcW w:w="954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832,331</w:t>
            </w:r>
          </w:p>
        </w:tc>
        <w:tc>
          <w:tcPr>
            <w:tcW w:w="9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bottom w:val="single" w:sz="8" w:color="auto"/>
            </w:tcBorders>
          </w:tcPr>
          <w:p>
            <w:pPr>
              <w:spacing w:after="0"/>
              <w:rPr>
                <w:sz w:val="4"/>
                <w:szCs w:val="4"/>
                <w:color w:val="auto"/>
              </w:rPr>
            </w:pPr>
          </w:p>
        </w:tc>
        <w:tc>
          <w:tcPr>
            <w:tcW w:w="954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9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240" w:right="4980" w:hanging="745"/>
        <w:spacing w:after="0" w:line="225" w:lineRule="auto"/>
        <w:tabs>
          <w:tab w:leader="none" w:pos="1240" w:val="left"/>
        </w:tabs>
        <w:numPr>
          <w:ilvl w:val="0"/>
          <w:numId w:val="1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PERCENT OF CLASS REPRESENTED BY AMOUNT IN ROW 9</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2.3%</w:t>
      </w:r>
    </w:p>
    <w:p>
      <w:pPr>
        <w:spacing w:after="0" w:line="105" w:lineRule="exact"/>
        <w:rPr>
          <w:rFonts w:ascii="Times New Roman" w:cs="Times New Roman" w:eastAsia="Times New Roman" w:hAnsi="Times New Roman"/>
          <w:sz w:val="36"/>
          <w:szCs w:val="36"/>
          <w:color w:val="auto"/>
          <w:vertAlign w:val="superscript"/>
        </w:rPr>
      </w:pPr>
    </w:p>
    <w:p>
      <w:pPr>
        <w:ind w:left="1240" w:right="7500" w:hanging="748"/>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6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4" w:lineRule="exact"/>
        <w:rPr>
          <w:sz w:val="20"/>
          <w:szCs w:val="20"/>
          <w:color w:val="auto"/>
        </w:rPr>
      </w:pPr>
    </w:p>
    <w:p>
      <w:pPr>
        <w:ind w:firstLine="8"/>
        <w:spacing w:after="0" w:line="195" w:lineRule="auto"/>
        <w:tabs>
          <w:tab w:leader="none" w:pos="122"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Reporting Person has delegated all authority to vote and dispose of shares of common stock of the Issuer owned by it to Evermore Global Advisors, LLC, but has the right to rescind this authority upon proper notice.</w:t>
      </w:r>
    </w:p>
    <w:p>
      <w:pPr>
        <w:spacing w:after="0" w:line="240" w:lineRule="exact"/>
        <w:rPr>
          <w:sz w:val="20"/>
          <w:szCs w:val="20"/>
          <w:color w:val="auto"/>
        </w:rPr>
      </w:pPr>
    </w:p>
    <w:p>
      <w:pPr>
        <w:ind w:right="20" w:firstLine="8"/>
        <w:spacing w:after="0" w:line="195" w:lineRule="auto"/>
        <w:tabs>
          <w:tab w:leader="none" w:pos="121"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percentage is based on 35,538,475 shares of common stock outstanding as of October 30, 2020, as set forth in the Issuer’s Form 10-Q for the quarter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3" w:name="page4"/>
    <w:bookmarkEnd w:id="3"/>
    <w:p>
      <w:pPr>
        <w:ind w:left="1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2361565" cy="167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61565"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-129540</wp:posOffset>
            </wp:positionV>
            <wp:extent cx="2352675" cy="167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52675" cy="16700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4760" w:space="720"/>
            <w:col w:w="1440" w:space="720"/>
            <w:col w:w="3600"/>
          </w:cols>
          <w:pgMar w:left="320" w:top="918" w:right="33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MagnaChip Semiconductor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Allée Scheffer, L-2520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Luxembourg, Grand Duchy of Luxembourg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Persons Filing.</w:t>
      </w:r>
    </w:p>
    <w:p>
      <w:pPr>
        <w:spacing w:after="0" w:line="225"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This Schedule 13G/A is being jointly filed by Evermore Global Advisors, LLC (“</w:t>
      </w:r>
      <w:r>
        <w:rPr>
          <w:rFonts w:ascii="Times New Roman" w:cs="Times New Roman" w:eastAsia="Times New Roman" w:hAnsi="Times New Roman"/>
          <w:sz w:val="18"/>
          <w:szCs w:val="18"/>
          <w:u w:val="single" w:color="auto"/>
          <w:color w:val="auto"/>
        </w:rPr>
        <w:t>EGA</w:t>
      </w:r>
      <w:r>
        <w:rPr>
          <w:rFonts w:ascii="Times New Roman" w:cs="Times New Roman" w:eastAsia="Times New Roman" w:hAnsi="Times New Roman"/>
          <w:sz w:val="18"/>
          <w:szCs w:val="18"/>
          <w:color w:val="auto"/>
        </w:rPr>
        <w:t>”) and Evermore Global Value Fund, a series of Evermore Funds Trust (“</w:t>
      </w:r>
      <w:r>
        <w:rPr>
          <w:rFonts w:ascii="Times New Roman" w:cs="Times New Roman" w:eastAsia="Times New Roman" w:hAnsi="Times New Roman"/>
          <w:sz w:val="18"/>
          <w:szCs w:val="18"/>
          <w:u w:val="single" w:color="auto"/>
          <w:color w:val="auto"/>
        </w:rPr>
        <w:t>EGVF</w:t>
      </w:r>
      <w:r>
        <w:rPr>
          <w:rFonts w:ascii="Times New Roman" w:cs="Times New Roman" w:eastAsia="Times New Roman" w:hAnsi="Times New Roman"/>
          <w:sz w:val="18"/>
          <w:szCs w:val="18"/>
          <w:color w:val="auto"/>
        </w:rPr>
        <w:t>” and, together with EGA,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89 Summit Avenue</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Summit, NJ 07901</w:t>
      </w:r>
    </w:p>
    <w:p>
      <w:pPr>
        <w:spacing w:after="0" w:line="207"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EGA is a Delaware limited liability company. EGVF is a Massachusetts business trust.</w:t>
      </w:r>
    </w:p>
    <w:p>
      <w:pPr>
        <w:spacing w:after="0" w:line="225"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Common Stock – $0.01 par value</w:t>
      </w:r>
    </w:p>
    <w:p>
      <w:pPr>
        <w:spacing w:after="0" w:line="225" w:lineRule="exact"/>
        <w:rPr>
          <w:sz w:val="20"/>
          <w:szCs w:val="20"/>
          <w:color w:val="auto"/>
        </w:rPr>
      </w:pPr>
    </w:p>
    <w:p>
      <w:pPr>
        <w:ind w:left="1960" w:right="8500" w:hanging="1304"/>
        <w:spacing w:after="0" w:line="578" w:lineRule="auto"/>
        <w:tabs>
          <w:tab w:leader="none" w:pos="131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4" w:name="page5"/>
    <w:bookmarkEnd w:id="4"/>
    <w:p>
      <w:pPr>
        <w:ind w:left="1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2361565" cy="167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61565"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-129540</wp:posOffset>
            </wp:positionV>
            <wp:extent cx="2352675" cy="167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2675" cy="16700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4760" w:space="720"/>
            <w:col w:w="1440" w:space="720"/>
            <w:col w:w="3600"/>
          </w:cols>
          <w:pgMar w:left="320" w:top="918" w:right="339" w:bottom="1440" w:gutter="0" w:footer="0" w:header="0"/>
        </w:sectPr>
      </w:pPr>
    </w:p>
    <w:p>
      <w:pPr>
        <w:spacing w:after="0" w:line="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196" w:lineRule="exact"/>
        <w:rPr>
          <w:sz w:val="20"/>
          <w:szCs w:val="20"/>
          <w:color w:val="auto"/>
        </w:rPr>
      </w:pP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57"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60" w:hanging="1304"/>
        <w:spacing w:after="0" w:line="215" w:lineRule="exact"/>
        <w:tabs>
          <w:tab w:leader="none" w:pos="1312"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ind w:left="1300" w:hanging="644"/>
        <w:spacing w:after="0" w:line="207" w:lineRule="exact"/>
        <w:tabs>
          <w:tab w:leader="none" w:pos="130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960" w:hanging="1304"/>
        <w:spacing w:after="0" w:line="215" w:lineRule="exact"/>
        <w:tabs>
          <w:tab w:leader="none" w:pos="1312"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 If filing as a non-U.S. institution in accordance with § 240.13d-1(b)(1)(ii) (J), please specify the type of institution:______________</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securities reported herein are beneficially owned by EGVF, an investment company registered under the Investment Company Act of 1940, and other managed account clients of EGA. EGA is an investment adviser registered under the Investment Advisers Act of 1940. Pursuant to the investment advisory agreements entered into by EGA and each of Evermore Funds Trust (of which EGVF is a series) and its other managed account clients, sole investment discretion and voting power over the securities held by such persons has been delegated to EGA, although these agreements and the authority granted to EGA thereunder may be terminated without penalty upon proper notice.</w:t>
      </w:r>
    </w:p>
    <w:p>
      <w:pPr>
        <w:spacing w:after="0" w:line="187"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EGA – 832,331</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EGVF – 832,331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5" w:name="page6"/>
    <w:bookmarkEnd w:id="5"/>
    <w:p>
      <w:pPr>
        <w:ind w:left="1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2361565" cy="167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61565"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-129540</wp:posOffset>
            </wp:positionV>
            <wp:extent cx="2352675" cy="167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52675" cy="16700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4760" w:space="720"/>
            <w:col w:w="1440" w:space="720"/>
            <w:col w:w="3580"/>
          </w:cols>
          <w:pgMar w:left="320" w:top="918" w:right="359" w:bottom="1440" w:gutter="0" w:footer="0" w:header="0"/>
        </w:sectPr>
      </w:pPr>
    </w:p>
    <w:p>
      <w:pPr>
        <w:spacing w:after="0" w:line="37"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EGA – 2.3%</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EGVF – 2.3%</w:t>
      </w:r>
    </w:p>
    <w:p>
      <w:pPr>
        <w:spacing w:after="0" w:line="207"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600" w:right="7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EGA – 832,331 EGVF – 0</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600" w:right="78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EGA–0 EGVF – 0</w:t>
      </w:r>
    </w:p>
    <w:p>
      <w:pPr>
        <w:spacing w:after="0" w:line="13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2600" w:right="7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EGA – 832,331 EGVF – 0</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EGA–0</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EGVF – 0</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3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type w:val="continuous"/>
        </w:sectPr>
      </w:pPr>
    </w:p>
    <w:bookmarkStart w:id="6" w:name="page7"/>
    <w:bookmarkEnd w:id="6"/>
    <w:p>
      <w:pPr>
        <w:ind w:left="1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2361565" cy="167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61565"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-129540</wp:posOffset>
            </wp:positionV>
            <wp:extent cx="2352675" cy="167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2675" cy="16700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4760" w:space="720"/>
            <w:col w:w="1440" w:space="720"/>
            <w:col w:w="3600"/>
          </w:cols>
          <w:pgMar w:left="320" w:top="918" w:right="339" w:bottom="1440" w:gutter="0" w:footer="0" w:header="0"/>
        </w:sectPr>
      </w:pPr>
    </w:p>
    <w:p>
      <w:pPr>
        <w:spacing w:after="0" w:line="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January 15,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Evermore Global Advisors,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Eric LeGoff</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Evermore Global Value Fund, a series of Evermore Funds Trust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Eric LeGoff</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2"/>
      <w:numFmt w:val="bullet"/>
      <w:start w:val="1"/>
    </w:lvl>
  </w:abstractNum>
  <w:abstractNum w:abstractNumId="4">
    <w:nsid w:val="41A7C4C9"/>
    <w:multiLevelType w:val="hybridMultilevel"/>
    <w:lvl w:ilvl="0">
      <w:lvlJc w:val="left"/>
      <w:lvlText w:val="3"/>
      <w:numFmt w:val="bullet"/>
      <w:start w:val="1"/>
    </w:lvl>
  </w:abstractNum>
  <w:abstractNum w:abstractNumId="5">
    <w:nsid w:val="6B68079A"/>
    <w:multiLevelType w:val="hybridMultilevel"/>
    <w:lvl w:ilvl="0">
      <w:lvlJc w:val="left"/>
      <w:lvlText w:val="4"/>
      <w:numFmt w:val="bullet"/>
      <w:start w:val="1"/>
    </w:lvl>
  </w:abstractNum>
  <w:abstractNum w:abstractNumId="6">
    <w:nsid w:val="4E6AFB66"/>
    <w:multiLevelType w:val="hybridMultilevel"/>
    <w:lvl w:ilvl="0">
      <w:lvlJc w:val="left"/>
      <w:lvlText w:val="%1"/>
      <w:numFmt w:val="decimal"/>
      <w:start w:val="11"/>
    </w:lvl>
  </w:abstractNum>
  <w:abstractNum w:abstractNumId="7">
    <w:nsid w:val="25E45D32"/>
    <w:multiLevelType w:val="hybridMultilevel"/>
    <w:lvl w:ilvl="0">
      <w:lvlJc w:val="left"/>
      <w:lvlText w:val="1"/>
      <w:numFmt w:val="bullet"/>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4"/>
      <w:numFmt w:val="bullet"/>
      <w:start w:val="1"/>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2"/>
      <w:numFmt w:val="bullet"/>
      <w:start w:val="1"/>
    </w:lvl>
  </w:abstractNum>
  <w:abstractNum w:abstractNumId="14">
    <w:nsid w:val="436C6125"/>
    <w:multiLevelType w:val="hybridMultilevel"/>
    <w:lvl w:ilvl="0">
      <w:lvlJc w:val="left"/>
      <w:lvlText w:val="3"/>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2"/>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3"/>
    </w:lvl>
  </w:abstractNum>
  <w:abstractNum w:abstractNumId="20">
    <w:nsid w:val="6763845E"/>
    <w:multiLevelType w:val="hybridMultilevel"/>
    <w:lvl w:ilvl="0">
      <w:lvlJc w:val="left"/>
      <w:lvlText w:val="(%1)"/>
      <w:numFmt w:val="lowerLetter"/>
      <w:start w:val="4"/>
    </w:lvl>
  </w:abstractNum>
  <w:abstractNum w:abstractNumId="21">
    <w:nsid w:val="75A2A8D4"/>
    <w:multiLevelType w:val="hybridMultilevel"/>
    <w:lvl w:ilvl="0">
      <w:lvlJc w:val="left"/>
      <w:lvlText w:val="(%1)"/>
      <w:numFmt w:val="lowerLetter"/>
      <w:start w:val="5"/>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2021-01-15T14:46:38Z</dcterms:created>
  <dcterms:modified xsi:type="dcterms:W3CDTF">2021-01-15T14:46:38Z</dcterms:modified>
</cp:coreProperties>
</file>