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Chung Kyo-Hwa Liz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MAGNACHIP SEMICONDUCTOR Corp</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6"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08/31/2022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837" w:lineRule="exact"/>
        <w:rPr>
          <w:sz w:val="24"/>
          <w:szCs w:val="24"/>
          <w:color w:val="auto"/>
        </w:rPr>
      </w:pPr>
    </w:p>
    <w:p>
      <w:pPr>
        <w:sectPr>
          <w:pgSz w:w="11900" w:h="16838" w:orient="portrait"/>
          <w:cols w:equalWidth="0" w:num="3">
            <w:col w:w="3500" w:space="411"/>
            <w:col w:w="3649" w:space="175"/>
            <w:col w:w="3345"/>
          </w:cols>
          <w:pgMar w:left="460" w:top="219" w:right="359" w:bottom="1440" w:gutter="0" w:footer="0" w:header="0"/>
          <w:type w:val="continuous"/>
        </w:sectPr>
      </w:pPr>
    </w:p>
    <w:p>
      <w:pPr>
        <w:spacing w:after="0" w:line="2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SEOUL,</w:t>
      </w:r>
    </w:p>
    <w:p>
      <w:pPr>
        <w:spacing w:after="0" w:line="31" w:lineRule="exact"/>
        <w:rPr>
          <w:sz w:val="24"/>
          <w:szCs w:val="24"/>
          <w:color w:val="auto"/>
        </w:rPr>
      </w:pPr>
    </w:p>
    <w:p>
      <w:pPr>
        <w:ind w:left="120" w:right="200"/>
        <w:spacing w:after="0" w:line="261" w:lineRule="auto"/>
        <w:rPr>
          <w:sz w:val="20"/>
          <w:szCs w:val="20"/>
          <w:color w:val="auto"/>
        </w:rPr>
      </w:pPr>
      <w:r>
        <w:rPr>
          <w:rFonts w:ascii="Times New Roman" w:cs="Times New Roman" w:eastAsia="Times New Roman" w:hAnsi="Times New Roman"/>
          <w:sz w:val="17"/>
          <w:szCs w:val="17"/>
          <w:color w:val="0000FF"/>
        </w:rPr>
        <w:t>REPUBLIC OF M5 06168 KOREA,</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08/31/2022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4,069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25,391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08/31/2022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155</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25,236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47"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cash settlement of 4,069 shares of common stock underlying an RSU award granted to the Reporting Person on August 31, 2021 and reported at that time as common stock in Table I. The Board amended the RSU award on May 27, 2022 to allow for a limited cash settlement of such number of shares of common stock having a fair market value equal to, but not to exceed, the foreign tax obligation incurred by the Reporting Person upon vesting of the RSUs. 4,069 shares were cash settled at a price of $11.70 per share for an aggregate cash settlement of $47,607.30, which amount is approximately equal to (based on applicable foreign exchange rates), but does not exceed, the foreign tax obligation of the Reporting Person.</w:t>
      </w:r>
    </w:p>
    <w:p>
      <w:pPr>
        <w:spacing w:after="0" w:line="24"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cash settlement of 155 shares of common stock underlying an RSU award granted to the Reporting Person on January 18, 2022 and reported at that time as common stock in Table I. The Board amended the RSU award on May 27, 2022 to allow for a limited cash settlement of such number of shares of common stock having a fair market value equal to, but not to exceed, the foreign tax obligation incurred by the Reporting Person upon vesting of the RSUs. 155 shares were cash settled at a price of $11.70 per share for an aggregate cash settlement of $1,813.50, which amount is approximately equal to (based on applicable foreign exchange rates), but does not exceed, the foreign tax obligation of the Reporting Person.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09/01/2022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8303"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2022-09-01T15:18:33Z</dcterms:created>
  <dcterms:modified xsi:type="dcterms:W3CDTF">2022-09-01T15:18:33Z</dcterms:modified>
</cp:coreProperties>
</file>