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526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685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Seunghoon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76" w:lineRule="auto"/>
        <w:rPr>
          <w:sz w:val="20"/>
          <w:szCs w:val="20"/>
          <w:color w:val="auto"/>
        </w:rPr>
      </w:pPr>
      <w:r>
        <w:rPr>
          <w:rFonts w:ascii="Times New Roman" w:cs="Times New Roman" w:eastAsia="Times New Roman" w:hAnsi="Times New Roman"/>
          <w:sz w:val="16"/>
          <w:szCs w:val="16"/>
          <w:color w:val="0000FF"/>
        </w:rPr>
        <w:t>C/O MAGNACHIP SEMICONDUCTOR, LTD., 108, YEOUI-DAERO, YEONGDEUNGPO-GU</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07335</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60" w:type="dxa"/>
            <w:vAlign w:val="bottom"/>
            <w:gridSpan w:val="3"/>
          </w:tcPr>
          <w:p>
            <w:pPr>
              <w:spacing w:after="0" w:line="20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MAGNACHIP SEMICONDUCTOR Corp </w:t>
              </w:r>
            </w:hyperlink>
            <w:r>
              <w:rPr>
                <w:rFonts w:ascii="Times New Roman" w:cs="Times New Roman" w:eastAsia="Times New Roman" w:hAnsi="Times New Roman"/>
                <w:sz w:val="21"/>
                <w:szCs w:val="21"/>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0"/>
                <w:szCs w:val="20"/>
                <w:color w:val="000000"/>
              </w:rPr>
              <w:t>]</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180" w:type="dxa"/>
            <w:vAlign w:val="bottom"/>
          </w:tcPr>
          <w:p>
            <w:pPr>
              <w:ind w:left="4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940" w:type="dxa"/>
            <w:vAlign w:val="bottom"/>
          </w:tcPr>
          <w:p>
            <w:pPr>
              <w:ind w:left="400"/>
              <w:spacing w:after="0" w:line="123"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06/01/2024</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30,000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121,314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06/01/2024</w:t>
            </w:r>
          </w:p>
        </w:tc>
        <w:tc>
          <w:tcPr>
            <w:tcW w:w="108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01/31/2027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line="193" w:lineRule="exact"/>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2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Units ("PRSUs") represents a contingent right to receive one share of Issuer's common stock.</w:t>
      </w:r>
    </w:p>
    <w:p>
      <w:pPr>
        <w:spacing w:after="0" w:line="42" w:lineRule="exact"/>
        <w:rPr>
          <w:rFonts w:ascii="Times New Roman" w:cs="Times New Roman" w:eastAsia="Times New Roman" w:hAnsi="Times New Roman"/>
          <w:sz w:val="13"/>
          <w:szCs w:val="13"/>
          <w:color w:val="008000"/>
        </w:rPr>
      </w:pPr>
    </w:p>
    <w:p>
      <w:pPr>
        <w:ind w:left="40" w:right="18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 number of shares of Issuer common stock that the Reporting Person would receive upon vesting and settlement of the PRSUs at the target level of performance, provided that the actual number of PRSUs that would become eligible to vest range from 0% to 300% of the target number of PRSUs based on actual achievement. The PRSUs vest upon Issuer's common stock achieving a specified price per share.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Acting Co-General Manager of Power Analog Solutions</w:t>
      </w:r>
    </w:p>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Theodore Kim, Attorney-in-  </w:t>
      </w:r>
      <w:r>
        <w:rPr>
          <w:rFonts w:ascii="Times New Roman" w:cs="Times New Roman" w:eastAsia="Times New Roman" w:hAnsi="Times New Roman"/>
          <w:sz w:val="33"/>
          <w:szCs w:val="33"/>
          <w:color w:val="0000FF"/>
          <w:vertAlign w:val="subscript"/>
        </w:rPr>
        <w:t>06/13/2024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8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182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23210"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2024-06-13T15:34:17Z</dcterms:created>
  <dcterms:modified xsi:type="dcterms:W3CDTF">2024-06-13T15:34:17Z</dcterms:modified>
</cp:coreProperties>
</file>