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sz w:val="20"/>
        </w:rPr>
      </w:pPr>
      <w:bookmarkStart w:id="0" w:name="mx-20260630.htm"/>
      <w:bookmarkStart w:id="1" w:name="ksmx20260630"/>
      <w:bookmarkEnd w:id="0"/>
      <w:bookmarkEnd w:id="1"/>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Exchange Act of 1934</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Date of report (Date of earliest event reported): June 26, 2026</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48"/>
        </w:rPr>
        <w:t>Magnachip Semiconductor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6031" w:type="dxa"/>
        <w:jc w:val="left"/>
        <w:tblInd w:w="0" w:type="dxa"/>
        <w:tblLayout w:type="fixed"/>
        <w:tblCellMar>
          <w:top w:w="28" w:type="dxa"/>
          <w:left w:w="28" w:type="dxa"/>
          <w:bottom w:w="28" w:type="dxa"/>
          <w:right w:w="28" w:type="dxa"/>
        </w:tblCellMar>
      </w:tblPr>
      <w:tblGrid>
        <w:gridCol w:w="3037"/>
        <w:gridCol w:w="1508"/>
        <w:gridCol w:w="1486"/>
      </w:tblGrid>
      <w:tr>
        <w:trPr/>
        <w:tc>
          <w:tcPr>
            <w:tcW w:w="303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5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001-34791</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83-0406195</w:t>
            </w:r>
          </w:p>
        </w:tc>
      </w:tr>
      <w:tr>
        <w:trPr/>
        <w:tc>
          <w:tcPr>
            <w:tcW w:w="3037"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508"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454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45" w:type="dxa"/>
            <w:gridSpan w:val="2"/>
            <w:tcBorders/>
            <w:tcMar>
              <w:top w:w="0" w:type="dxa"/>
              <w:left w:w="0" w:type="dxa"/>
              <w:bottom w:w="0" w:type="dxa"/>
              <w:right w:w="0" w:type="dxa"/>
            </w:tcMar>
            <w:vAlign w:val="center"/>
          </w:tcPr>
          <w:p>
            <w:pPr>
              <w:pStyle w:val="TableContents"/>
              <w:bidi w:val="0"/>
              <w:spacing w:before="40" w:after="283"/>
              <w:jc w:val="center"/>
              <w:rPr>
                <w:rFonts w:ascii="Times New Roman" w:hAnsi="Times New Roman"/>
                <w:sz w:val="16"/>
              </w:rPr>
            </w:pPr>
            <w:r>
              <w:rPr>
                <w:rFonts w:ascii="Times New Roman" w:hAnsi="Times New Roman"/>
                <w:b/>
                <w:color w:val="000000"/>
                <w:sz w:val="16"/>
              </w:rPr>
              <w:t>c/o Magnachip Semiconductor, Ltd.</w:t>
            </w:r>
            <w:r>
              <w:rPr>
                <w:rFonts w:ascii="Times New Roman" w:hAnsi="Times New Roman"/>
                <w:color w:val="000000"/>
                <w:sz w:val="16"/>
              </w:rPr>
              <w:t xml:space="preserve"> </w:t>
            </w:r>
          </w:p>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15F, 76 Jikji-daero 436beon-gil, Heungdeok-gu</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Cheongju-si, Chungcheongbuk-do, 28581, Republic of Korea</w:t>
            </w:r>
          </w:p>
        </w:tc>
        <w:tc>
          <w:tcPr>
            <w:tcW w:w="148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454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+82 (2) 6903-3000</w:t>
      </w:r>
      <w:r>
        <w:rPr>
          <w:rFonts w:ascii="Times New Roman" w:hAnsi="Times New Roman"/>
          <w:color w:val="000000"/>
          <w:sz w:val="20"/>
        </w:rPr>
        <w:t xml:space="preserve"> </w:t>
      </w:r>
    </w:p>
    <w:p>
      <w:pPr>
        <w:pStyle w:val="TextBody"/>
        <w:bidi w:val="0"/>
        <w:spacing w:before="240" w:after="283"/>
        <w:ind w:left="4320" w:right="4320" w:hanging="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pBdr/>
        <w:bidi w:val="0"/>
        <w:spacing w:before="120" w:after="283"/>
        <w:ind w:left="0" w:right="0" w:hanging="490"/>
        <w:jc w:val="left"/>
        <w:rPr/>
      </w:pPr>
      <w:r>
        <w:rPr>
          <w:color w:val="000000"/>
        </w:rPr>
        <w:t xml:space="preserve"> </w:t>
      </w:r>
      <w:r>
        <w:rPr>
          <w:rFonts w:ascii="Times New Roman" w:hAnsi="Times New Roman"/>
          <w:color w:val="000000"/>
          <w:sz w:val="20"/>
        </w:rPr>
        <w:t xml:space="preserve">Written communications pursuant to Rule 425 under the Securities Act (17 CFR 230.425) </w:t>
      </w:r>
    </w:p>
    <w:p>
      <w:pPr>
        <w:pStyle w:val="TextBody"/>
        <w:pBdr/>
        <w:bidi w:val="0"/>
        <w:spacing w:before="120" w:after="283"/>
        <w:ind w:left="0" w:right="0" w:hanging="490"/>
        <w:jc w:val="left"/>
        <w:rPr/>
      </w:pPr>
      <w:r>
        <w:rPr>
          <w:color w:val="000000"/>
        </w:rPr>
        <w:t xml:space="preserve"> </w:t>
      </w:r>
      <w:r>
        <w:rPr>
          <w:rFonts w:ascii="Times New Roman" w:hAnsi="Times New Roman"/>
          <w:color w:val="000000"/>
          <w:sz w:val="20"/>
        </w:rPr>
        <w:t xml:space="preserve">Soliciting material pursuant to Rule 14a-12 under the Exchange Act (17 CFR 240.14a-12) </w:t>
      </w:r>
    </w:p>
    <w:p>
      <w:pPr>
        <w:pStyle w:val="TextBody"/>
        <w:pBdr/>
        <w:bidi w:val="0"/>
        <w:spacing w:before="120" w:after="283"/>
        <w:ind w:left="0" w:right="0" w:hanging="490"/>
        <w:jc w:val="left"/>
        <w:rPr/>
      </w:pPr>
      <w:r>
        <w:rPr>
          <w:color w:val="000000"/>
        </w:rPr>
        <w:t xml:space="preserve"> </w:t>
      </w:r>
      <w:r>
        <w:rPr>
          <w:rFonts w:ascii="Times New Roman" w:hAnsi="Times New Roman"/>
          <w:color w:val="000000"/>
          <w:sz w:val="20"/>
        </w:rPr>
        <w:t xml:space="preserve">Pre-commencement communications pursuant to Rule 14d-2(b) under the Exchange Act (17 CFR 240.14d-2(b)) </w:t>
      </w:r>
    </w:p>
    <w:p>
      <w:pPr>
        <w:pStyle w:val="TextBody"/>
        <w:pBdr/>
        <w:bidi w:val="0"/>
        <w:spacing w:before="120" w:after="283"/>
        <w:ind w:left="0" w:right="0" w:hanging="490"/>
        <w:jc w:val="left"/>
        <w:rPr/>
      </w:pPr>
      <w:r>
        <w:rPr>
          <w:color w:val="000000"/>
        </w:rPr>
        <w:t xml:space="preserve"> </w:t>
      </w:r>
      <w:r>
        <w:rPr>
          <w:rFonts w:ascii="Times New Roman" w:hAnsi="Times New Roman"/>
          <w:color w:val="000000"/>
          <w:sz w:val="20"/>
        </w:rPr>
        <w:t xml:space="preserve">Pre-commencement communications pursuant to Rule 13e-4(c) under the Exchange Act (17 CFR 240.13e-4(c))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125" w:type="dxa"/>
        <w:jc w:val="left"/>
        <w:tblInd w:w="0" w:type="dxa"/>
        <w:tblLayout w:type="fixed"/>
        <w:tblCellMar>
          <w:top w:w="28" w:type="dxa"/>
          <w:left w:w="28" w:type="dxa"/>
          <w:bottom w:w="28" w:type="dxa"/>
          <w:right w:w="28" w:type="dxa"/>
        </w:tblCellMar>
      </w:tblPr>
      <w:tblGrid>
        <w:gridCol w:w="3661"/>
        <w:gridCol w:w="146"/>
        <w:gridCol w:w="1231"/>
        <w:gridCol w:w="146"/>
        <w:gridCol w:w="2941"/>
      </w:tblGrid>
      <w:tr>
        <w:trPr/>
        <w:tc>
          <w:tcPr>
            <w:tcW w:w="3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41"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Trading Symbol</w:t>
            </w:r>
            <w:r>
              <w:rPr>
                <w:rFonts w:ascii="Times New Roman" w:hAnsi="Times New Roman"/>
                <w:color w:val="000000"/>
                <w:sz w:val="20"/>
              </w:rPr>
              <w:t xml:space="preserve">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29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idi w:val="0"/>
        <w:spacing w:before="120" w:after="283"/>
        <w:ind w:left="0" w:right="0" w:hanging="49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Certain Officers;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 xml:space="preserve">(b), (c) On June 26, 2026, the Board of Directors of Magnachip Semiconductor Corporation (the “Company”) appointed Chae Lee to serve as the Company’s Chief Executive Officer and as its principal executive officer, effective July 1, 2026. In connection with Mr. Lee’s appointment, Camillo Martino resigned from his position as Interim Chief Executive Officer of the Company as of the effective date of Mr. Lee’s appointment, thereby concluding his service in that interim capacity. Mr. Martino will continue to serve as Chairman of the Board.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 also increased the size of the Board from four directors to five directors in accordance with its Amended and Restated Bylaws and appointed Mr. Lee as a director effective July 1, 2026, to hold office until the Company’s 2027 annual meeting of stockholders and until his successor is duly elected and qualified.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Mr. Lee, age 61, served as Chief Executive Officer of Tagore Technology, Inc., a pioneer in high-power GaN-based RF switches and power management applications, from January 2023 through July 2024. He previously served as Chief Executive Officer of Insyte Systems, Inc. from February 2020 to June 2022. From January 2016 to December 2019, Mr. Lee served as Senior Vice President and General Manager of the Secure Interface and Power Solutions business unit of NXP Semiconductors N.V. From June 1999 to March 2015, Mr. Lee served as Senior Vice President of Maxim Integrated Products, Inc. Mr. Lee holds a Bachelor of Science degree in Electrical and Electronics Engineering from the Missouri University of Science and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as of July 1, 2026 (the “Effective Date”), the Company entered into an Executive Service Agreement with Mr. Lee (the “Executive Service Agreement”). The Executive Service Agreement provides for, among other things, an annual base salary of $560,000, and he will be eligible to earn a target annual cash bonus equal to 100% of his annual base salary, with the opportunity to earn up to 200% of his annual base salary if applicable performance targets are exceeded, in each case, subject to the terms of the Company’s cash bonus plan and any additional requirements established by the Board. Additionally, the Company expects to enter into an indemnification agreement with Mr. Lee, and Mr. Lee will be entitled to the protection of any directors’ and officers’ insurance policies the Company may maintain generally for the benefit of its directors and officers.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Mr. Lee will receive an initial equity award (the “Initial Equity Award”) under the Magnachip Semiconductor Corporation 2020 Equity and Incentive Compensation Plan (as amended from time to time, the “Equity Incentive Plan”) covering 875,000 shares of the Company’s common stock granted in the following allocations: (i) 288,750 time-based restricted stock units, (ii) 437,500 performance stock units (“PSUs”), and (iii) 148,750 stock options with an exercise price equal to the greater of $5.50 per share or the closing price of the Company's common stock on the date of grant, in each case pursuant to the applicable award agreement under the Equity Incentive Plan. The Initial Equity Award will vest over four years, with a one-year cliff vesting period, subject to Mr. Lee’s continued service through each applicable vesting date. In addition to such time-based vesting, the PSUs will be subject to achievement of performance criteria to be established and approved by the Board within six months following the Effective Date. In addition, the vesting period of the Initial Equity Award will be accelerated from four years to three years upon achievement of certain performance criteria to be established and approved by the Board within six months following the Effective Date, with achievement of such performance criteria to be determined by the Board following completion of the three-year period and subject to Mr. Lee’s continued service through such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Executive Service Agreement, if Mr. Lee’s engagement is terminated by the Company without cause or by Mr. Lee for good reason, in each case other than in connection with a change in control of the Company, Mr. Lee will be entitled to receive: (i) continuation of his Final Base Salary (as defined in the Service Agreement, being his annual base salary as in effect immediately prior to termination or, where a reduction in annual base salary triggered a good reason resignation, as in effect immediately before such reduction) for a period of one year following the date of termination; and (ii) if the date of termination occurs after June 30 of the calendar year in which such termination occurs, a prorated annual bonus for that calendar year based on actual performance. If Mr. Lee’s engagement is terminated by the Company without cause or by Mr. Lee for good reason either (x) during a period when the Company is party to a definitive corporate transaction agreement the consummation of which would result in a change in control of the Company, or (y) within 12 months following a change in control of the Company, Mr. Lee will instead be entitled to receive: (i) an amount equal to 1.5 times his Final Base Salary, payable either in a lump sum or installments as set forth in the Executive Service Agreement, and (ii) if the date of termination occurs after June 30 of the calendar year in which such termination occurs, an amount equal to one additional month of base salary for each month elapsed since July 1 through the date of termination. All severance payments and benefits are conditioned upon Mr. Lee’s timely execution and non-revocation of a general waiver and release of claims and upon his continued compliance with certain restrictive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description of the Executive Service Agreement does not purport to be complete and is subject to and qualified in its entirety by reference to the full text of such agreement, a copy of which is expected to be filed as an exhibit to the Company’s next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no arrangements or understandings between Mr. Lee and any other persons pursuant to which he was appointed as Chief Executive Officer. Further, there are no arrangements or understandings between Mr. Lee and any other persons pursuant to which he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was appointed to the Company’s Board of Directors. In addition, there are no family relationships between Mr. Lee and any other director or executive officer of the Company, and Mr. Lee has no direct or indirect material interest in any transaction required to be disclosed pursuant to Item 404(a) of Regulation 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 In connection with Mr. Martino stepping down as Interim Chief Executive Officer, the Company and Mr. Martino terminated his Consulting Agreement and Executive Services Agreement effective as of July 1, 2026. In connection with the termination of those agreements, the Company has agreed to the following: (i) to pay Mr. Martino a lump sum cash payment equal to the fees that would have accrued during the thirty (30) day period from and after the termination date pursuant to the Consulting Agreement and the Executive Services Agreement; and (ii) to accelerate the vesting of the restricted stock unit grant made to Mr. Martino in connection to his appointment as Interim Chief Executive Officer such that all 105,484 restricted stock units shall be deemed vested upon Mr. Martino’s termination. </w:t>
      </w:r>
    </w:p>
    <w:p>
      <w:pPr>
        <w:pStyle w:val="TextBody"/>
        <w:bidi w:val="0"/>
        <w:jc w:val="left"/>
        <w:rPr>
          <w:rFonts w:ascii="Times New Roman" w:hAnsi="Times New Roman"/>
          <w:sz w:val="20"/>
        </w:rPr>
      </w:pPr>
      <w:r>
        <w:rPr>
          <w:rFonts w:ascii="Times New Roman" w:hAnsi="Times New Roman"/>
          <w:b/>
          <w:color w:val="000000"/>
          <w:sz w:val="20"/>
        </w:rPr>
        <w:t>Item 7.01. Regulation FD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29, 2026, the Company issued a press release announcing the management changes discussed above. A copy of that press release is furnished as Exhibit 99.1 hereto and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this Item 7.01 of this Current Report on Form 8-K, including Exhibit 99.1 attached hereto, is intended to be furnished and shall not be deemed “filed” for purposes of Section 18 of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 is furnished as part of this report:</w:t>
      </w:r>
    </w:p>
    <w:tbl>
      <w:tblPr>
        <w:tblW w:w="7438" w:type="dxa"/>
        <w:jc w:val="left"/>
        <w:tblInd w:w="0" w:type="dxa"/>
        <w:tblLayout w:type="fixed"/>
        <w:tblCellMar>
          <w:top w:w="28" w:type="dxa"/>
          <w:left w:w="28" w:type="dxa"/>
          <w:bottom w:w="28" w:type="dxa"/>
          <w:right w:w="28" w:type="dxa"/>
        </w:tblCellMar>
      </w:tblPr>
      <w:tblGrid>
        <w:gridCol w:w="691"/>
        <w:gridCol w:w="146"/>
        <w:gridCol w:w="6601"/>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br/>
            </w:r>
            <w:r>
              <w:rPr>
                <w:rFonts w:ascii="Times New Roman" w:hAnsi="Times New Roman"/>
                <w:b/>
                <w:color w:val="000000"/>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x-ex99_1.htm">
              <w:r>
                <w:rPr>
                  <w:rStyle w:val="InternetLink"/>
                  <w:rFonts w:ascii="Times New Roman" w:hAnsi="Times New Roman"/>
                  <w:color w:val="0000FF"/>
                  <w:sz w:val="20"/>
                  <w:u w:val="single"/>
                </w:rPr>
                <w:t>Press Release issued June 29, 2026.</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855" w:type="dxa"/>
        <w:jc w:val="left"/>
        <w:tblInd w:w="0" w:type="dxa"/>
        <w:tblLayout w:type="fixed"/>
        <w:tblCellMar>
          <w:top w:w="28" w:type="dxa"/>
          <w:left w:w="28" w:type="dxa"/>
          <w:bottom w:w="28" w:type="dxa"/>
          <w:right w:w="28" w:type="dxa"/>
        </w:tblCellMar>
      </w:tblPr>
      <w:tblGrid>
        <w:gridCol w:w="1846"/>
        <w:gridCol w:w="146"/>
        <w:gridCol w:w="146"/>
        <w:gridCol w:w="146"/>
        <w:gridCol w:w="706"/>
        <w:gridCol w:w="254"/>
        <w:gridCol w:w="3420"/>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4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3420"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MAGNACHIP SEMICONDUCTOR CORPORATION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7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June 30,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Shinyoung Park</w:t>
            </w:r>
          </w:p>
        </w:tc>
        <w:tc>
          <w:tcPr>
            <w:tcW w:w="19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Shinyoung Park</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mx-ex99_1.htm"/>
      <w:bookmarkStart w:id="3" w:name="ksmxex99_1"/>
      <w:bookmarkEnd w:id="2"/>
      <w:bookmarkEnd w:id="3"/>
      <w:r>
        <w:rPr/>
        <w:drawing>
          <wp:inline distT="0" distB="0" distL="0" distR="0">
            <wp:extent cx="244792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7925" cy="495300"/>
                    </a:xfrm>
                    <a:prstGeom prst="rect">
                      <a:avLst/>
                    </a:prstGeom>
                  </pic:spPr>
                </pic:pic>
              </a:graphicData>
            </a:graphic>
          </wp:inline>
        </w:drawing>
      </w:r>
      <w:r>
        <w:br w:type="page"/>
      </w:r>
    </w:p>
    <w:p>
      <w:pPr>
        <w:pStyle w:val="TextBody"/>
        <w:bidi w:val="0"/>
        <w:jc w:val="left"/>
        <w:rPr/>
      </w:pPr>
      <w:r>
        <w:rPr/>
        <w:t> </w:t>
      </w:r>
    </w:p>
    <w:p>
      <w:pPr>
        <w:pStyle w:val="TextBody"/>
        <w:bidi w:val="0"/>
        <w:ind w:left="220" w:right="0" w:hanging="0"/>
        <w:jc w:val="right"/>
        <w:rPr>
          <w:rFonts w:ascii="Times New Roman" w:hAnsi="Times New Roman"/>
          <w:b/>
          <w:color w:val="000000"/>
          <w:sz w:val="21"/>
        </w:rPr>
      </w:pPr>
      <w:r>
        <w:rPr>
          <w:rFonts w:ascii="Times New Roman" w:hAnsi="Times New Roman"/>
          <w:b/>
          <w:color w:val="000000"/>
          <w:sz w:val="21"/>
        </w:rPr>
        <w:t>Exhibit 99.1</w:t>
      </w:r>
    </w:p>
    <w:p>
      <w:pPr>
        <w:pStyle w:val="TextBody"/>
        <w:bidi w:val="0"/>
        <w:ind w:left="220" w:right="0" w:hanging="0"/>
        <w:jc w:val="right"/>
        <w:rPr/>
      </w:pPr>
      <w:r>
        <w:rPr/>
        <w:t> </w:t>
      </w:r>
    </w:p>
    <w:p>
      <w:pPr>
        <w:pStyle w:val="TextBody"/>
        <w:bidi w:val="0"/>
        <w:spacing w:before="0" w:after="160"/>
        <w:jc w:val="center"/>
        <w:rPr/>
      </w:pPr>
      <w:r>
        <w:rPr/>
        <w:t> </w:t>
      </w:r>
    </w:p>
    <w:p>
      <w:pPr>
        <w:pStyle w:val="TextBody"/>
        <w:bidi w:val="0"/>
        <w:spacing w:before="0" w:after="160"/>
        <w:jc w:val="center"/>
        <w:rPr>
          <w:rFonts w:ascii="Times New Roman" w:hAnsi="Times New Roman"/>
          <w:b/>
          <w:color w:val="000000"/>
          <w:sz w:val="28"/>
        </w:rPr>
      </w:pPr>
      <w:r>
        <w:rPr>
          <w:rFonts w:ascii="Times New Roman" w:hAnsi="Times New Roman"/>
          <w:b/>
          <w:color w:val="000000"/>
          <w:sz w:val="28"/>
        </w:rPr>
        <w:t>Magnachip Appoints Chae Lee as Chief Executive Officer</w:t>
      </w:r>
    </w:p>
    <w:p>
      <w:pPr>
        <w:pStyle w:val="TextBody"/>
        <w:bidi w:val="0"/>
        <w:spacing w:before="0" w:after="160"/>
        <w:jc w:val="center"/>
        <w:rPr>
          <w:rFonts w:ascii="Times New Roman" w:hAnsi="Times New Roman"/>
          <w:i/>
          <w:color w:val="000000"/>
          <w:sz w:val="24"/>
        </w:rPr>
      </w:pPr>
      <w:r>
        <w:rPr>
          <w:rFonts w:ascii="Times New Roman" w:hAnsi="Times New Roman"/>
          <w:i/>
          <w:color w:val="000000"/>
          <w:sz w:val="24"/>
        </w:rPr>
        <w:t>Camillo Martino to Continue as Chairman of the Board</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SEOUL, South Korea, June 29, 2026 – Magnachip Semiconductor Corporation (NYSE: MX, “Magnachip”) announced the appointment of Chae Lee as Chief Executive Officer, effective July 1, 2026. Lee is also expected to join Magnachip’s Board of Directors following the effective date of his appointment. Lee succeeds Camillo Martino, who has served as Interim Chief Executive Officer since August 2025 and will continue to serve as Chairman of the Board of Directors.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Lee brings more than 30 years of global semiconductor industry experience spanning power semiconductors, power management integrated circuits (PMIC), sensors, audio amplifiers with expertise in applications, sales, marketing, operations and executive leadership. Most recently, he served as Chief Executive Officer of Tagore Technology, a provider of Gallium Nitride (GaN) semiconductor solutions for Radio Frequency (RF) and Power applications. Prior to Tagore, Lee held senior leadership positions at semiconductor companies including Insyte Systems, NXP Semiconductors, and Maxim Integrated Products where he was responsible for strong high-margin revenue growth through innovative product development in its mobility group.</w:t>
      </w:r>
    </w:p>
    <w:p>
      <w:pPr>
        <w:pStyle w:val="TextBody"/>
        <w:bidi w:val="0"/>
        <w:spacing w:before="0" w:after="160"/>
        <w:jc w:val="left"/>
        <w:rPr>
          <w:color w:val="000000"/>
        </w:rPr>
      </w:pPr>
      <w:r>
        <w:rPr>
          <w:color w:val="000000"/>
        </w:rPr>
        <w:t>“</w:t>
      </w:r>
      <w:r>
        <w:rPr>
          <w:rFonts w:ascii="Times New Roman" w:hAnsi="Times New Roman"/>
          <w:color w:val="000000"/>
          <w:sz w:val="20"/>
        </w:rPr>
        <w:t>Chae has a strong background ideally suited to guide Magnachip through its next phase of growth,” said Camillo Martino, Chairman of the Board. “Chae brings a unique combination of deep technical expertise, operational leadership and commercial experience across both power ICs and system solutions. His experience aligns perfectly with Magnachip’s strategy to strengthen our product portfolio, accelerate innovation and expand our presence in high-value power semiconductor markets.”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Martino added, “On behalf of the Board, I would also like to thank our employees for their dedication and resilience over the past year. I look forward to continuing to work closely with Chae and the management team as Chairman.”</w:t>
      </w:r>
    </w:p>
    <w:p>
      <w:pPr>
        <w:pStyle w:val="TextBody"/>
        <w:bidi w:val="0"/>
        <w:spacing w:before="0" w:after="160"/>
        <w:jc w:val="left"/>
        <w:rPr>
          <w:color w:val="000000"/>
        </w:rPr>
      </w:pPr>
      <w:r>
        <w:rPr>
          <w:color w:val="000000"/>
        </w:rPr>
        <w:t>“</w:t>
      </w:r>
      <w:r>
        <w:rPr>
          <w:rFonts w:ascii="Times New Roman" w:hAnsi="Times New Roman"/>
          <w:color w:val="000000"/>
          <w:sz w:val="20"/>
        </w:rPr>
        <w:t>I am honored to join Magnachip at this important point in its evolution,” said Lee. “Magnachip has a strong heritage in power semiconductors, a talented team, valuable manufacturing assets and on a path to developing compelling next-generation products. I believe the Company is well positioned to capitalize on long-term opportunities across AI, data center, industrial, automotive, robotics, communications, computing and consumer applications. I look forward to working closely with the Board and the entire Magnachip organization to build on the progress already underway and create outstanding value for customers, employees and shareholders.”</w:t>
      </w:r>
    </w:p>
    <w:p>
      <w:pPr>
        <w:pStyle w:val="TextBody"/>
        <w:bidi w:val="0"/>
        <w:spacing w:before="140" w:after="200"/>
        <w:jc w:val="both"/>
        <w:rPr>
          <w:rFonts w:ascii="Times New Roman" w:hAnsi="Times New Roman"/>
          <w:b/>
          <w:color w:val="000000"/>
          <w:sz w:val="20"/>
        </w:rPr>
      </w:pPr>
      <w:r>
        <w:rPr>
          <w:rFonts w:ascii="Times New Roman" w:hAnsi="Times New Roman"/>
          <w:b/>
          <w:color w:val="000000"/>
          <w:sz w:val="20"/>
        </w:rPr>
        <w:t>About Magnachip Semiconductor</w:t>
      </w:r>
    </w:p>
    <w:p>
      <w:pPr>
        <w:pStyle w:val="TextBody"/>
        <w:bidi w:val="0"/>
        <w:spacing w:before="0" w:after="360"/>
        <w:jc w:val="left"/>
        <w:rPr>
          <w:rFonts w:ascii="Times New Roman" w:hAnsi="Times New Roman"/>
          <w:sz w:val="20"/>
        </w:rPr>
      </w:pPr>
      <w:r>
        <w:rPr>
          <w:rFonts w:ascii="Times New Roman" w:hAnsi="Times New Roman"/>
          <w:color w:val="000000"/>
          <w:sz w:val="20"/>
        </w:rPr>
        <w:t>Magnachip is a designer and manufacturer of analog and mixed-signal power semiconductor platform solutions for various applications, including industrial, automotive, communication, consumer and computing. The Company provides a broad range of standard products to customers worldwide. Magnachip, with about 45 years of operating history, owns a substantial number of registered patents and pending applications, and has extensive engineering, design and manufacturing process expertise. For more information, please visit www.magnachip.com</w:t>
      </w:r>
      <w:r>
        <w:rPr>
          <w:rFonts w:ascii="Times New Roman" w:hAnsi="Times New Roman"/>
          <w:color w:val="212529"/>
          <w:sz w:val="20"/>
        </w:rPr>
        <w:t xml:space="preserve">. </w:t>
      </w:r>
      <w:r>
        <w:rPr>
          <w:rFonts w:ascii="Times New Roman" w:hAnsi="Times New Roman"/>
          <w:color w:val="000000"/>
          <w:sz w:val="20"/>
        </w:rPr>
        <w:t>Information on or accessible through Magnachip’s website is not a part of, and is not incorporated into, this release.</w:t>
      </w:r>
    </w:p>
    <w:p>
      <w:pPr>
        <w:pStyle w:val="TextBody"/>
        <w:bidi w:val="0"/>
        <w:spacing w:before="120" w:after="160"/>
        <w:jc w:val="both"/>
        <w:rPr>
          <w:rFonts w:ascii="Times New Roman" w:hAnsi="Times New Roman"/>
          <w:b/>
          <w:color w:val="000000"/>
          <w:sz w:val="20"/>
          <w:u w:val="single"/>
        </w:rPr>
      </w:pPr>
      <w:r>
        <w:rPr>
          <w:rFonts w:ascii="Times New Roman" w:hAnsi="Times New Roman"/>
          <w:b/>
          <w:color w:val="000000"/>
          <w:sz w:val="20"/>
          <w:u w:val="single"/>
        </w:rPr>
        <w:t>CONTACTS:</w:t>
      </w:r>
    </w:p>
    <w:tbl>
      <w:tblPr>
        <w:tblW w:w="5822" w:type="dxa"/>
        <w:jc w:val="left"/>
        <w:tblInd w:w="0" w:type="dxa"/>
        <w:tblLayout w:type="fixed"/>
        <w:tblCellMar>
          <w:top w:w="28" w:type="dxa"/>
          <w:left w:w="28" w:type="dxa"/>
          <w:bottom w:w="28" w:type="dxa"/>
          <w:right w:w="28" w:type="dxa"/>
        </w:tblCellMar>
      </w:tblPr>
      <w:tblGrid>
        <w:gridCol w:w="2851"/>
        <w:gridCol w:w="2971"/>
      </w:tblGrid>
      <w:tr>
        <w:trPr/>
        <w:tc>
          <w:tcPr>
            <w:tcW w:w="2851"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2851" w:type="dxa"/>
            <w:tcBorders>
              <w:left w:val="single" w:sz="8" w:space="0" w:color="000000"/>
              <w:right w:val="single" w:sz="8" w:space="0" w:color="000000"/>
            </w:tcBorders>
            <w:tcMar>
              <w:top w:w="0" w:type="dxa"/>
              <w:left w:w="85" w:type="dxa"/>
              <w:bottom w:w="0" w:type="dxa"/>
              <w:right w:w="58" w:type="dxa"/>
            </w:tcMar>
            <w:vAlign w:val="center"/>
          </w:tcPr>
          <w:p>
            <w:pPr>
              <w:pStyle w:val="TableContents"/>
              <w:bidi w:val="0"/>
              <w:spacing w:before="0" w:after="160"/>
              <w:jc w:val="both"/>
              <w:rPr>
                <w:rFonts w:ascii="Times New Roman" w:hAnsi="Times New Roman"/>
                <w:color w:val="000000"/>
                <w:sz w:val="20"/>
              </w:rPr>
            </w:pPr>
            <w:r>
              <w:rPr>
                <w:rFonts w:ascii="Times New Roman" w:hAnsi="Times New Roman"/>
                <w:color w:val="000000"/>
                <w:sz w:val="20"/>
              </w:rPr>
              <w:t>Mike Bishop</w:t>
            </w:r>
          </w:p>
          <w:p>
            <w:pPr>
              <w:pStyle w:val="TableContents"/>
              <w:bidi w:val="0"/>
              <w:spacing w:before="0" w:after="160"/>
              <w:jc w:val="both"/>
              <w:rPr>
                <w:rFonts w:ascii="Times New Roman" w:hAnsi="Times New Roman"/>
                <w:color w:val="000000"/>
                <w:sz w:val="20"/>
              </w:rPr>
            </w:pPr>
            <w:r>
              <w:rPr>
                <w:rFonts w:ascii="Times New Roman" w:hAnsi="Times New Roman"/>
                <w:color w:val="000000"/>
                <w:sz w:val="20"/>
              </w:rPr>
              <w:t>United States (Investor Relations)</w:t>
            </w:r>
          </w:p>
          <w:p>
            <w:pPr>
              <w:pStyle w:val="TableContents"/>
              <w:bidi w:val="0"/>
              <w:spacing w:before="0" w:after="160"/>
              <w:jc w:val="both"/>
              <w:rPr>
                <w:rFonts w:ascii="Times New Roman" w:hAnsi="Times New Roman"/>
                <w:color w:val="000000"/>
                <w:sz w:val="20"/>
              </w:rPr>
            </w:pPr>
            <w:r>
              <w:rPr>
                <w:rFonts w:ascii="Times New Roman" w:hAnsi="Times New Roman"/>
                <w:color w:val="000000"/>
                <w:sz w:val="20"/>
              </w:rPr>
              <w:t>Bishop IR, LLC</w:t>
            </w:r>
          </w:p>
          <w:p>
            <w:pPr>
              <w:pStyle w:val="TableContents"/>
              <w:bidi w:val="0"/>
              <w:spacing w:before="0" w:after="160"/>
              <w:jc w:val="both"/>
              <w:rPr>
                <w:rFonts w:ascii="Times New Roman" w:hAnsi="Times New Roman"/>
                <w:color w:val="000000"/>
                <w:sz w:val="20"/>
              </w:rPr>
            </w:pPr>
            <w:r>
              <w:rPr>
                <w:rFonts w:ascii="Times New Roman" w:hAnsi="Times New Roman"/>
                <w:color w:val="000000"/>
                <w:sz w:val="20"/>
              </w:rPr>
              <w:t>Tel. +1-415-891-9633</w:t>
            </w:r>
          </w:p>
          <w:p>
            <w:pPr>
              <w:pStyle w:val="TableContents"/>
              <w:bidi w:val="0"/>
              <w:spacing w:before="0" w:after="160"/>
              <w:jc w:val="both"/>
              <w:rPr>
                <w:rFonts w:ascii="Times New Roman" w:hAnsi="Times New Roman"/>
                <w:color w:val="000000"/>
                <w:sz w:val="20"/>
                <w:u w:val="single"/>
              </w:rPr>
            </w:pPr>
            <w:r>
              <w:rPr>
                <w:rFonts w:ascii="Times New Roman" w:hAnsi="Times New Roman"/>
                <w:color w:val="000000"/>
                <w:sz w:val="20"/>
                <w:u w:val="single"/>
              </w:rPr>
              <w:t>mike@bishopir.com</w:t>
            </w:r>
          </w:p>
        </w:tc>
        <w:tc>
          <w:tcPr>
            <w:tcW w:w="2971"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color w:val="000000"/>
                <w:sz w:val="20"/>
              </w:rPr>
            </w:pPr>
            <w:r>
              <w:rPr>
                <w:rFonts w:ascii="Times New Roman" w:hAnsi="Times New Roman"/>
                <w:color w:val="000000"/>
                <w:sz w:val="20"/>
              </w:rPr>
              <w:t>Kyeongah Cho</w:t>
            </w:r>
          </w:p>
          <w:p>
            <w:pPr>
              <w:pStyle w:val="TableContents"/>
              <w:bidi w:val="0"/>
              <w:spacing w:before="0" w:after="160"/>
              <w:jc w:val="both"/>
              <w:rPr>
                <w:rFonts w:ascii="Times New Roman" w:hAnsi="Times New Roman"/>
                <w:color w:val="000000"/>
                <w:sz w:val="20"/>
              </w:rPr>
            </w:pPr>
            <w:r>
              <w:rPr>
                <w:rFonts w:ascii="Times New Roman" w:hAnsi="Times New Roman"/>
                <w:color w:val="000000"/>
                <w:sz w:val="20"/>
              </w:rPr>
              <w:t>Global Marketing Communication</w:t>
            </w:r>
          </w:p>
          <w:p>
            <w:pPr>
              <w:pStyle w:val="TableContents"/>
              <w:bidi w:val="0"/>
              <w:spacing w:before="0" w:after="160"/>
              <w:jc w:val="both"/>
              <w:rPr>
                <w:rFonts w:ascii="Times New Roman" w:hAnsi="Times New Roman"/>
                <w:color w:val="000000"/>
                <w:sz w:val="20"/>
              </w:rPr>
            </w:pPr>
            <w:r>
              <w:rPr>
                <w:rFonts w:ascii="Times New Roman" w:hAnsi="Times New Roman"/>
                <w:color w:val="000000"/>
                <w:sz w:val="20"/>
              </w:rPr>
              <w:t>Magnachip Semiconductor</w:t>
            </w:r>
          </w:p>
          <w:p>
            <w:pPr>
              <w:pStyle w:val="TableContents"/>
              <w:bidi w:val="0"/>
              <w:spacing w:before="0" w:after="160"/>
              <w:jc w:val="both"/>
              <w:rPr>
                <w:rFonts w:ascii="Times New Roman" w:hAnsi="Times New Roman"/>
                <w:color w:val="000000"/>
                <w:sz w:val="20"/>
              </w:rPr>
            </w:pPr>
            <w:r>
              <w:rPr>
                <w:rFonts w:ascii="Times New Roman" w:hAnsi="Times New Roman"/>
                <w:color w:val="000000"/>
                <w:sz w:val="20"/>
              </w:rPr>
              <w:t>Tel. +82-2-6903-3179</w:t>
            </w:r>
          </w:p>
          <w:p>
            <w:pPr>
              <w:pStyle w:val="TableContents"/>
              <w:bidi w:val="0"/>
              <w:spacing w:before="0" w:after="160"/>
              <w:jc w:val="both"/>
              <w:rPr>
                <w:rFonts w:ascii="Times New Roman" w:hAnsi="Times New Roman"/>
                <w:color w:val="000000"/>
                <w:sz w:val="20"/>
                <w:u w:val="single"/>
              </w:rPr>
            </w:pPr>
            <w:r>
              <w:rPr>
                <w:rFonts w:ascii="Times New Roman" w:hAnsi="Times New Roman"/>
                <w:color w:val="000000"/>
                <w:sz w:val="20"/>
                <w:u w:val="single"/>
              </w:rPr>
              <w:t>pr@magnachip.com</w:t>
            </w:r>
          </w:p>
        </w:tc>
      </w:tr>
    </w:tbl>
    <w:p>
      <w:pPr>
        <w:pStyle w:val="TextBody"/>
        <w:bidi w:val="0"/>
        <w:spacing w:before="0" w:after="16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2222</Words>
  <Characters>12184</Characters>
  <CharactersWithSpaces>14398</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