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1"/>
          <w:szCs w:val="11"/>
          <w:b w:val="1"/>
          <w:bCs w:val="1"/>
          <w:color w:val="auto"/>
        </w:rPr>
        <w:t>As filed with the Securities and Exchange Commission on June 12, 2026.</w:t>
      </w:r>
    </w:p>
    <w:p>
      <w:pPr>
        <w:spacing w:after="0" w:line="2" w:lineRule="exact"/>
        <w:rPr>
          <w:sz w:val="24"/>
          <w:szCs w:val="24"/>
          <w:color w:val="auto"/>
        </w:rPr>
      </w:pPr>
    </w:p>
    <w:p>
      <w:pPr>
        <w:ind w:left="8600"/>
        <w:spacing w:after="0"/>
        <w:rPr>
          <w:sz w:val="20"/>
          <w:szCs w:val="20"/>
          <w:color w:val="auto"/>
        </w:rPr>
      </w:pPr>
      <w:r>
        <w:rPr>
          <w:rFonts w:ascii="Times New Roman" w:cs="Times New Roman" w:eastAsia="Times New Roman" w:hAnsi="Times New Roman"/>
          <w:sz w:val="11"/>
          <w:szCs w:val="11"/>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898525</wp:posOffset>
            </wp:positionH>
            <wp:positionV relativeFrom="paragraph">
              <wp:posOffset>48260</wp:posOffset>
            </wp:positionV>
            <wp:extent cx="537781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77815" cy="6350"/>
                    </a:xfrm>
                    <a:prstGeom prst="rect">
                      <a:avLst/>
                    </a:prstGeom>
                    <a:noFill/>
                  </pic:spPr>
                </pic:pic>
              </a:graphicData>
            </a:graphic>
          </wp:anchor>
        </w:drawing>
        <w:drawing>
          <wp:anchor simplePos="0" relativeHeight="251657728" behindDoc="1" locked="0" layoutInCell="0" allowOverlap="1">
            <wp:simplePos x="0" y="0"/>
            <wp:positionH relativeFrom="column">
              <wp:posOffset>898525</wp:posOffset>
            </wp:positionH>
            <wp:positionV relativeFrom="paragraph">
              <wp:posOffset>81280</wp:posOffset>
            </wp:positionV>
            <wp:extent cx="537781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77815" cy="6350"/>
                    </a:xfrm>
                    <a:prstGeom prst="rect">
                      <a:avLst/>
                    </a:prstGeom>
                    <a:noFill/>
                  </pic:spPr>
                </pic:pic>
              </a:graphicData>
            </a:graphic>
          </wp:anchor>
        </w:drawing>
      </w:r>
    </w:p>
    <w:p>
      <w:pPr>
        <w:spacing w:after="0" w:line="1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3020695</wp:posOffset>
            </wp:positionH>
            <wp:positionV relativeFrom="paragraph">
              <wp:posOffset>88265</wp:posOffset>
            </wp:positionV>
            <wp:extent cx="112712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7125" cy="6350"/>
                    </a:xfrm>
                    <a:prstGeom prst="rect">
                      <a:avLst/>
                    </a:prstGeom>
                    <a:noFill/>
                  </pic:spPr>
                </pic:pic>
              </a:graphicData>
            </a:graphic>
          </wp:anchor>
        </w:drawing>
      </w:r>
    </w:p>
    <w:p>
      <w:pPr>
        <w:spacing w:after="0" w:line="1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FORM S-3</w:t>
      </w:r>
    </w:p>
    <w:p>
      <w:pPr>
        <w:spacing w:after="0" w:line="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3020695</wp:posOffset>
            </wp:positionH>
            <wp:positionV relativeFrom="paragraph">
              <wp:posOffset>95250</wp:posOffset>
            </wp:positionV>
            <wp:extent cx="112712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7125" cy="6350"/>
                    </a:xfrm>
                    <a:prstGeom prst="rect">
                      <a:avLst/>
                    </a:prstGeom>
                    <a:noFill/>
                  </pic:spPr>
                </pic:pic>
              </a:graphicData>
            </a:graphic>
          </wp:anchor>
        </w:drawing>
      </w:r>
    </w:p>
    <w:p>
      <w:pPr>
        <w:spacing w:after="0" w:line="148"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28"/>
          <w:szCs w:val="28"/>
          <w:b w:val="1"/>
          <w:bCs w:val="1"/>
          <w:color w:val="auto"/>
        </w:rPr>
        <w:t>Magnachip Semiconductor Corporation</w:t>
      </w:r>
    </w:p>
    <w:p>
      <w:pPr>
        <w:spacing w:after="0" w:line="28" w:lineRule="exact"/>
        <w:rPr>
          <w:sz w:val="24"/>
          <w:szCs w:val="24"/>
          <w:color w:val="auto"/>
        </w:rPr>
      </w:pPr>
    </w:p>
    <w:tbl>
      <w:tblPr>
        <w:tblLayout w:type="fixed"/>
        <w:tblInd w:w="2920" w:type="dxa"/>
        <w:tblCellMar>
          <w:top w:w="0" w:type="dxa"/>
          <w:left w:w="0" w:type="dxa"/>
          <w:bottom w:w="0" w:type="dxa"/>
          <w:right w:w="0" w:type="dxa"/>
        </w:tblCellMar>
      </w:tblPr>
      <w:tr>
        <w:trPr>
          <w:trHeight w:val="145"/>
        </w:trPr>
        <w:tc>
          <w:tcPr>
            <w:tcW w:w="1380" w:type="dxa"/>
            <w:vAlign w:val="bottom"/>
          </w:tcPr>
          <w:p>
            <w:pPr>
              <w:spacing w:after="0"/>
              <w:rPr>
                <w:sz w:val="12"/>
                <w:szCs w:val="12"/>
                <w:color w:val="auto"/>
              </w:rPr>
            </w:pPr>
          </w:p>
        </w:tc>
        <w:tc>
          <w:tcPr>
            <w:tcW w:w="400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tc>
      </w:tr>
      <w:tr>
        <w:trPr>
          <w:trHeight w:val="110"/>
        </w:trPr>
        <w:tc>
          <w:tcPr>
            <w:tcW w:w="1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1760" w:type="dxa"/>
            <w:vAlign w:val="bottom"/>
          </w:tcPr>
          <w:p>
            <w:pPr>
              <w:spacing w:after="0"/>
              <w:rPr>
                <w:sz w:val="9"/>
                <w:szCs w:val="9"/>
                <w:color w:val="auto"/>
              </w:rPr>
            </w:pPr>
          </w:p>
        </w:tc>
      </w:tr>
      <w:tr>
        <w:trPr>
          <w:trHeight w:val="172"/>
        </w:trPr>
        <w:tc>
          <w:tcPr>
            <w:tcW w:w="1380" w:type="dxa"/>
            <w:vAlign w:val="bottom"/>
          </w:tcPr>
          <w:p>
            <w:pPr>
              <w:jc w:val="center"/>
              <w:ind w:right="69"/>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4000" w:type="dxa"/>
            <w:vAlign w:val="bottom"/>
            <w:gridSpan w:val="3"/>
          </w:tcPr>
          <w:p>
            <w:pPr>
              <w:jc w:val="center"/>
              <w:ind w:left="3005"/>
              <w:spacing w:after="0"/>
              <w:rPr>
                <w:sz w:val="20"/>
                <w:szCs w:val="20"/>
                <w:color w:val="auto"/>
              </w:rPr>
            </w:pPr>
            <w:r>
              <w:rPr>
                <w:rFonts w:ascii="Times New Roman" w:cs="Times New Roman" w:eastAsia="Times New Roman" w:hAnsi="Times New Roman"/>
                <w:sz w:val="11"/>
                <w:szCs w:val="11"/>
                <w:b w:val="1"/>
                <w:bCs w:val="1"/>
                <w:color w:val="auto"/>
              </w:rPr>
              <w:t>83-0406195</w:t>
            </w:r>
          </w:p>
        </w:tc>
      </w:tr>
      <w:tr>
        <w:trPr>
          <w:trHeight w:val="104"/>
        </w:trPr>
        <w:tc>
          <w:tcPr>
            <w:tcW w:w="1380" w:type="dxa"/>
            <w:vAlign w:val="bottom"/>
          </w:tcPr>
          <w:p>
            <w:pPr>
              <w:jc w:val="center"/>
              <w:ind w:right="69"/>
              <w:spacing w:after="0" w:line="104" w:lineRule="exact"/>
              <w:rPr>
                <w:sz w:val="20"/>
                <w:szCs w:val="20"/>
                <w:color w:val="auto"/>
              </w:rPr>
            </w:pPr>
            <w:r>
              <w:rPr>
                <w:rFonts w:ascii="Times New Roman" w:cs="Times New Roman" w:eastAsia="Times New Roman" w:hAnsi="Times New Roman"/>
                <w:sz w:val="10"/>
                <w:szCs w:val="10"/>
                <w:b w:val="1"/>
                <w:bCs w:val="1"/>
                <w:color w:val="auto"/>
                <w:w w:val="97"/>
              </w:rPr>
              <w:t>(State or other jurisdiction of</w:t>
            </w:r>
          </w:p>
        </w:tc>
        <w:tc>
          <w:tcPr>
            <w:tcW w:w="4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760" w:type="dxa"/>
            <w:vAlign w:val="bottom"/>
          </w:tcPr>
          <w:p>
            <w:pPr>
              <w:jc w:val="center"/>
              <w:ind w:left="772"/>
              <w:spacing w:after="0" w:line="104" w:lineRule="exact"/>
              <w:rPr>
                <w:sz w:val="20"/>
                <w:szCs w:val="20"/>
                <w:color w:val="auto"/>
              </w:rPr>
            </w:pPr>
            <w:r>
              <w:rPr>
                <w:rFonts w:ascii="Times New Roman" w:cs="Times New Roman" w:eastAsia="Times New Roman" w:hAnsi="Times New Roman"/>
                <w:sz w:val="10"/>
                <w:szCs w:val="10"/>
                <w:b w:val="1"/>
                <w:bCs w:val="1"/>
                <w:color w:val="auto"/>
                <w:w w:val="96"/>
              </w:rPr>
              <w:t>(I.R.S. Employer</w:t>
            </w:r>
          </w:p>
        </w:tc>
      </w:tr>
      <w:tr>
        <w:trPr>
          <w:trHeight w:val="126"/>
        </w:trPr>
        <w:tc>
          <w:tcPr>
            <w:tcW w:w="1380" w:type="dxa"/>
            <w:vAlign w:val="bottom"/>
          </w:tcPr>
          <w:p>
            <w:pPr>
              <w:jc w:val="center"/>
              <w:ind w:right="69"/>
              <w:spacing w:after="0"/>
              <w:rPr>
                <w:sz w:val="20"/>
                <w:szCs w:val="20"/>
                <w:color w:val="auto"/>
              </w:rPr>
            </w:pPr>
            <w:r>
              <w:rPr>
                <w:rFonts w:ascii="Times New Roman" w:cs="Times New Roman" w:eastAsia="Times New Roman" w:hAnsi="Times New Roman"/>
                <w:sz w:val="10"/>
                <w:szCs w:val="10"/>
                <w:b w:val="1"/>
                <w:bCs w:val="1"/>
                <w:color w:val="auto"/>
                <w:w w:val="96"/>
              </w:rPr>
              <w:t>incorporation or organization)</w:t>
            </w:r>
          </w:p>
        </w:tc>
        <w:tc>
          <w:tcPr>
            <w:tcW w:w="4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760" w:type="dxa"/>
            <w:vAlign w:val="bottom"/>
          </w:tcPr>
          <w:p>
            <w:pPr>
              <w:jc w:val="center"/>
              <w:ind w:left="752"/>
              <w:spacing w:after="0"/>
              <w:rPr>
                <w:sz w:val="20"/>
                <w:szCs w:val="20"/>
                <w:color w:val="auto"/>
              </w:rPr>
            </w:pPr>
            <w:r>
              <w:rPr>
                <w:rFonts w:ascii="Times New Roman" w:cs="Times New Roman" w:eastAsia="Times New Roman" w:hAnsi="Times New Roman"/>
                <w:sz w:val="10"/>
                <w:szCs w:val="10"/>
                <w:b w:val="1"/>
                <w:bCs w:val="1"/>
                <w:color w:val="auto"/>
                <w:w w:val="96"/>
              </w:rPr>
              <w:t>Identification Number)</w:t>
            </w:r>
          </w:p>
        </w:tc>
      </w:tr>
    </w:tbl>
    <w:p>
      <w:pPr>
        <w:spacing w:after="0" w:line="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c/o Magnachip Semiconductor, Ltd.</w:t>
      </w:r>
    </w:p>
    <w:p>
      <w:pPr>
        <w:jc w:val="center"/>
        <w:ind w:right="-1120"/>
        <w:spacing w:after="0" w:line="219" w:lineRule="auto"/>
        <w:rPr>
          <w:sz w:val="20"/>
          <w:szCs w:val="20"/>
          <w:color w:val="auto"/>
        </w:rPr>
      </w:pPr>
      <w:r>
        <w:rPr>
          <w:rFonts w:ascii="Times New Roman" w:cs="Times New Roman" w:eastAsia="Times New Roman" w:hAnsi="Times New Roman"/>
          <w:sz w:val="11"/>
          <w:szCs w:val="11"/>
          <w:b w:val="1"/>
          <w:bCs w:val="1"/>
          <w:color w:val="auto"/>
        </w:rPr>
        <w:t>15F, 76 Jikji-daero 436beon-gil, Heungdeok-gu</w:t>
      </w:r>
    </w:p>
    <w:p>
      <w:pPr>
        <w:jc w:val="center"/>
        <w:ind w:right="-1120"/>
        <w:spacing w:after="0" w:line="217" w:lineRule="auto"/>
        <w:rPr>
          <w:sz w:val="20"/>
          <w:szCs w:val="20"/>
          <w:color w:val="auto"/>
        </w:rPr>
      </w:pPr>
      <w:r>
        <w:rPr>
          <w:rFonts w:ascii="Times New Roman" w:cs="Times New Roman" w:eastAsia="Times New Roman" w:hAnsi="Times New Roman"/>
          <w:sz w:val="11"/>
          <w:szCs w:val="11"/>
          <w:b w:val="1"/>
          <w:bCs w:val="1"/>
          <w:color w:val="auto"/>
        </w:rPr>
        <w:t>Cheongju-si, Chungcheongbuk-do, Republic of Korea 28581</w:t>
      </w:r>
    </w:p>
    <w:p>
      <w:pPr>
        <w:jc w:val="center"/>
        <w:ind w:right="-1120"/>
        <w:spacing w:after="0" w:line="220" w:lineRule="auto"/>
        <w:rPr>
          <w:sz w:val="20"/>
          <w:szCs w:val="20"/>
          <w:color w:val="auto"/>
        </w:rPr>
      </w:pPr>
      <w:r>
        <w:rPr>
          <w:rFonts w:ascii="Times New Roman" w:cs="Times New Roman" w:eastAsia="Times New Roman" w:hAnsi="Times New Roman"/>
          <w:sz w:val="11"/>
          <w:szCs w:val="11"/>
          <w:b w:val="1"/>
          <w:bCs w:val="1"/>
          <w:color w:val="auto"/>
        </w:rPr>
        <w:t>+82 (2) 6903-3000</w:t>
      </w:r>
    </w:p>
    <w:p>
      <w:pPr>
        <w:ind w:left="3280"/>
        <w:spacing w:after="0"/>
        <w:rPr>
          <w:sz w:val="20"/>
          <w:szCs w:val="20"/>
          <w:color w:val="auto"/>
        </w:rPr>
      </w:pPr>
      <w:r>
        <w:rPr>
          <w:rFonts w:ascii="Times New Roman" w:cs="Times New Roman" w:eastAsia="Times New Roman" w:hAnsi="Times New Roman"/>
          <w:sz w:val="10"/>
          <w:szCs w:val="10"/>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3020695</wp:posOffset>
            </wp:positionH>
            <wp:positionV relativeFrom="paragraph">
              <wp:posOffset>80645</wp:posOffset>
            </wp:positionV>
            <wp:extent cx="112712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7125" cy="6350"/>
                    </a:xfrm>
                    <a:prstGeom prst="rect">
                      <a:avLst/>
                    </a:prstGeom>
                    <a:noFill/>
                  </pic:spPr>
                </pic:pic>
              </a:graphicData>
            </a:graphic>
          </wp:anchor>
        </w:drawing>
      </w:r>
    </w:p>
    <w:p>
      <w:pPr>
        <w:spacing w:after="0" w:line="1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Camillo Martino</w:t>
      </w:r>
    </w:p>
    <w:p>
      <w:pPr>
        <w:jc w:val="center"/>
        <w:ind w:right="-1120"/>
        <w:spacing w:after="0" w:line="219" w:lineRule="auto"/>
        <w:rPr>
          <w:sz w:val="20"/>
          <w:szCs w:val="20"/>
          <w:color w:val="auto"/>
        </w:rPr>
      </w:pPr>
      <w:r>
        <w:rPr>
          <w:rFonts w:ascii="Times New Roman" w:cs="Times New Roman" w:eastAsia="Times New Roman" w:hAnsi="Times New Roman"/>
          <w:sz w:val="11"/>
          <w:szCs w:val="11"/>
          <w:b w:val="1"/>
          <w:bCs w:val="1"/>
          <w:color w:val="auto"/>
        </w:rPr>
        <w:t>Chairman and Interim Chief Executive Officer</w:t>
      </w:r>
    </w:p>
    <w:p>
      <w:pPr>
        <w:jc w:val="center"/>
        <w:ind w:right="-1120"/>
        <w:spacing w:after="0" w:line="217" w:lineRule="auto"/>
        <w:rPr>
          <w:sz w:val="20"/>
          <w:szCs w:val="20"/>
          <w:color w:val="auto"/>
        </w:rPr>
      </w:pPr>
      <w:r>
        <w:rPr>
          <w:rFonts w:ascii="Times New Roman" w:cs="Times New Roman" w:eastAsia="Times New Roman" w:hAnsi="Times New Roman"/>
          <w:sz w:val="11"/>
          <w:szCs w:val="11"/>
          <w:b w:val="1"/>
          <w:bCs w:val="1"/>
          <w:color w:val="auto"/>
        </w:rPr>
        <w:t>Magnachip Semiconductor Corporation</w:t>
      </w:r>
    </w:p>
    <w:p>
      <w:pPr>
        <w:jc w:val="center"/>
        <w:ind w:right="-1120"/>
        <w:spacing w:after="0" w:line="217" w:lineRule="auto"/>
        <w:rPr>
          <w:sz w:val="20"/>
          <w:szCs w:val="20"/>
          <w:color w:val="auto"/>
        </w:rPr>
      </w:pPr>
      <w:r>
        <w:rPr>
          <w:rFonts w:ascii="Times New Roman" w:cs="Times New Roman" w:eastAsia="Times New Roman" w:hAnsi="Times New Roman"/>
          <w:sz w:val="11"/>
          <w:szCs w:val="11"/>
          <w:b w:val="1"/>
          <w:bCs w:val="1"/>
          <w:color w:val="auto"/>
        </w:rPr>
        <w:t>15F, 76 Jikji-daero 436beon-gil, Heungdeok-gu</w:t>
      </w:r>
    </w:p>
    <w:p>
      <w:pPr>
        <w:jc w:val="center"/>
        <w:ind w:right="-1120"/>
        <w:spacing w:after="0" w:line="216" w:lineRule="auto"/>
        <w:rPr>
          <w:sz w:val="20"/>
          <w:szCs w:val="20"/>
          <w:color w:val="auto"/>
        </w:rPr>
      </w:pPr>
      <w:r>
        <w:rPr>
          <w:rFonts w:ascii="Times New Roman" w:cs="Times New Roman" w:eastAsia="Times New Roman" w:hAnsi="Times New Roman"/>
          <w:sz w:val="11"/>
          <w:szCs w:val="11"/>
          <w:b w:val="1"/>
          <w:bCs w:val="1"/>
          <w:color w:val="auto"/>
        </w:rPr>
        <w:t>Cheongju-si, Chungcheongbuk-do, Republic of Korea 28581</w:t>
      </w:r>
    </w:p>
    <w:p>
      <w:pPr>
        <w:jc w:val="center"/>
        <w:ind w:right="-1120"/>
        <w:spacing w:after="0" w:line="220" w:lineRule="auto"/>
        <w:rPr>
          <w:sz w:val="20"/>
          <w:szCs w:val="20"/>
          <w:color w:val="auto"/>
        </w:rPr>
      </w:pPr>
      <w:r>
        <w:rPr>
          <w:rFonts w:ascii="Times New Roman" w:cs="Times New Roman" w:eastAsia="Times New Roman" w:hAnsi="Times New Roman"/>
          <w:sz w:val="11"/>
          <w:szCs w:val="11"/>
          <w:b w:val="1"/>
          <w:bCs w:val="1"/>
          <w:color w:val="auto"/>
        </w:rPr>
        <w:t>+82 (2) 6903-3000</w:t>
      </w:r>
    </w:p>
    <w:p>
      <w:pPr>
        <w:ind w:left="3580"/>
        <w:spacing w:after="0"/>
        <w:rPr>
          <w:sz w:val="20"/>
          <w:szCs w:val="20"/>
          <w:color w:val="auto"/>
        </w:rPr>
      </w:pPr>
      <w:r>
        <w:rPr>
          <w:rFonts w:ascii="Times New Roman" w:cs="Times New Roman" w:eastAsia="Times New Roman" w:hAnsi="Times New Roman"/>
          <w:sz w:val="10"/>
          <w:szCs w:val="10"/>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3020695</wp:posOffset>
            </wp:positionH>
            <wp:positionV relativeFrom="paragraph">
              <wp:posOffset>80645</wp:posOffset>
            </wp:positionV>
            <wp:extent cx="112712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27125" cy="6350"/>
                    </a:xfrm>
                    <a:prstGeom prst="rect">
                      <a:avLst/>
                    </a:prstGeom>
                    <a:noFill/>
                  </pic:spPr>
                </pic:pic>
              </a:graphicData>
            </a:graphic>
          </wp:anchor>
        </w:drawing>
      </w:r>
    </w:p>
    <w:p>
      <w:pPr>
        <w:spacing w:after="0" w:line="1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i w:val="1"/>
          <w:iCs w:val="1"/>
          <w:color w:val="auto"/>
        </w:rPr>
        <w:t>Copy to:</w:t>
      </w:r>
    </w:p>
    <w:p>
      <w:pPr>
        <w:spacing w:after="0" w:line="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W. Stuart Ogg</w:t>
      </w:r>
    </w:p>
    <w:p>
      <w:pPr>
        <w:jc w:val="center"/>
        <w:ind w:right="-1120"/>
        <w:spacing w:after="0" w:line="219" w:lineRule="auto"/>
        <w:rPr>
          <w:sz w:val="20"/>
          <w:szCs w:val="20"/>
          <w:color w:val="auto"/>
        </w:rPr>
      </w:pPr>
      <w:r>
        <w:rPr>
          <w:rFonts w:ascii="Times New Roman" w:cs="Times New Roman" w:eastAsia="Times New Roman" w:hAnsi="Times New Roman"/>
          <w:sz w:val="11"/>
          <w:szCs w:val="11"/>
          <w:b w:val="1"/>
          <w:bCs w:val="1"/>
          <w:color w:val="auto"/>
        </w:rPr>
        <w:t>Goodwin Procter LLP</w:t>
      </w:r>
    </w:p>
    <w:p>
      <w:pPr>
        <w:jc w:val="center"/>
        <w:ind w:right="-1120"/>
        <w:spacing w:after="0" w:line="217" w:lineRule="auto"/>
        <w:rPr>
          <w:sz w:val="20"/>
          <w:szCs w:val="20"/>
          <w:color w:val="auto"/>
        </w:rPr>
      </w:pPr>
      <w:r>
        <w:rPr>
          <w:rFonts w:ascii="Times New Roman" w:cs="Times New Roman" w:eastAsia="Times New Roman" w:hAnsi="Times New Roman"/>
          <w:sz w:val="11"/>
          <w:szCs w:val="11"/>
          <w:b w:val="1"/>
          <w:bCs w:val="1"/>
          <w:color w:val="auto"/>
        </w:rPr>
        <w:t>601 Marshall Street</w:t>
      </w:r>
    </w:p>
    <w:p>
      <w:pPr>
        <w:jc w:val="center"/>
        <w:ind w:right="-1120"/>
        <w:spacing w:after="0" w:line="217" w:lineRule="auto"/>
        <w:rPr>
          <w:sz w:val="20"/>
          <w:szCs w:val="20"/>
          <w:color w:val="auto"/>
        </w:rPr>
      </w:pPr>
      <w:r>
        <w:rPr>
          <w:rFonts w:ascii="Times New Roman" w:cs="Times New Roman" w:eastAsia="Times New Roman" w:hAnsi="Times New Roman"/>
          <w:sz w:val="11"/>
          <w:szCs w:val="11"/>
          <w:b w:val="1"/>
          <w:bCs w:val="1"/>
          <w:color w:val="auto"/>
        </w:rPr>
        <w:t>Redwood City, CA 94063</w:t>
      </w: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(650) 752-3100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3020695</wp:posOffset>
            </wp:positionH>
            <wp:positionV relativeFrom="paragraph">
              <wp:posOffset>87630</wp:posOffset>
            </wp:positionV>
            <wp:extent cx="112712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27125" cy="6350"/>
                    </a:xfrm>
                    <a:prstGeom prst="rect">
                      <a:avLst/>
                    </a:prstGeom>
                    <a:noFill/>
                  </pic:spPr>
                </pic:pic>
              </a:graphicData>
            </a:graphic>
          </wp:anchor>
        </w:drawing>
      </w:r>
    </w:p>
    <w:p>
      <w:pPr>
        <w:spacing w:after="0" w:line="151" w:lineRule="exact"/>
        <w:rPr>
          <w:sz w:val="24"/>
          <w:szCs w:val="24"/>
          <w:color w:val="auto"/>
        </w:rPr>
      </w:pPr>
    </w:p>
    <w:p>
      <w:pPr>
        <w:ind w:left="1400" w:right="339"/>
        <w:spacing w:after="0" w:line="164" w:lineRule="exact"/>
        <w:rPr>
          <w:sz w:val="20"/>
          <w:szCs w:val="20"/>
          <w:color w:val="auto"/>
        </w:rPr>
      </w:pPr>
      <w:r>
        <w:rPr>
          <w:rFonts w:ascii="Times New Roman" w:cs="Times New Roman" w:eastAsia="Times New Roman" w:hAnsi="Times New Roman"/>
          <w:sz w:val="11"/>
          <w:szCs w:val="11"/>
          <w:b w:val="1"/>
          <w:bCs w:val="1"/>
          <w:color w:val="auto"/>
        </w:rPr>
        <w:t>Approximate date of commencement of proposed sale to the public</w:t>
      </w:r>
      <w:r>
        <w:rPr>
          <w:rFonts w:ascii="Times New Roman" w:cs="Times New Roman" w:eastAsia="Times New Roman" w:hAnsi="Times New Roman"/>
          <w:sz w:val="11"/>
          <w:szCs w:val="11"/>
          <w:color w:val="auto"/>
        </w:rPr>
        <w:t>: From time to time or at one time as determined by the Registrant after the effective date of this registration statement.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1"/>
          <w:szCs w:val="11"/>
          <w:color w:val="auto"/>
        </w:rPr>
        <w:t>☐</w:t>
      </w:r>
    </w:p>
    <w:p>
      <w:pPr>
        <w:spacing w:after="0" w:line="6" w:lineRule="exact"/>
        <w:rPr>
          <w:sz w:val="24"/>
          <w:szCs w:val="24"/>
          <w:color w:val="auto"/>
        </w:rPr>
      </w:pPr>
    </w:p>
    <w:p>
      <w:pPr>
        <w:ind w:left="1400" w:right="719"/>
        <w:spacing w:after="0" w:line="143"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r>
        <w:rPr>
          <w:rFonts w:ascii="MS PGothic" w:cs="MS PGothic" w:eastAsia="MS PGothic" w:hAnsi="MS PGothic"/>
          <w:sz w:val="11"/>
          <w:szCs w:val="11"/>
          <w:color w:val="auto"/>
        </w:rPr>
        <w:t>☒</w:t>
      </w:r>
    </w:p>
    <w:p>
      <w:pPr>
        <w:spacing w:after="0" w:line="6" w:lineRule="exact"/>
        <w:rPr>
          <w:sz w:val="24"/>
          <w:szCs w:val="24"/>
          <w:color w:val="auto"/>
        </w:rPr>
      </w:pPr>
    </w:p>
    <w:p>
      <w:pPr>
        <w:ind w:left="1400" w:right="539"/>
        <w:spacing w:after="0" w:line="143"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6" w:lineRule="exact"/>
        <w:rPr>
          <w:sz w:val="24"/>
          <w:szCs w:val="24"/>
          <w:color w:val="auto"/>
        </w:rPr>
      </w:pPr>
    </w:p>
    <w:p>
      <w:pPr>
        <w:ind w:left="1400" w:right="539"/>
        <w:spacing w:after="0" w:line="143"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6" w:lineRule="exact"/>
        <w:rPr>
          <w:sz w:val="24"/>
          <w:szCs w:val="24"/>
          <w:color w:val="auto"/>
        </w:rPr>
      </w:pPr>
    </w:p>
    <w:p>
      <w:pPr>
        <w:ind w:left="1400" w:right="279"/>
        <w:spacing w:after="0" w:line="143" w:lineRule="exact"/>
        <w:rPr>
          <w:sz w:val="20"/>
          <w:szCs w:val="20"/>
          <w:color w:val="auto"/>
        </w:rPr>
      </w:pPr>
      <w:r>
        <w:rPr>
          <w:rFonts w:ascii="Times New Roman" w:cs="Times New Roman" w:eastAsia="Times New Roman" w:hAnsi="Times New Roman"/>
          <w:sz w:val="11"/>
          <w:szCs w:val="11"/>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1"/>
          <w:szCs w:val="11"/>
          <w:color w:val="auto"/>
        </w:rPr>
        <w:t>☐</w:t>
      </w:r>
    </w:p>
    <w:p>
      <w:pPr>
        <w:spacing w:after="0" w:line="6" w:lineRule="exact"/>
        <w:rPr>
          <w:sz w:val="24"/>
          <w:szCs w:val="24"/>
          <w:color w:val="auto"/>
        </w:rPr>
      </w:pPr>
    </w:p>
    <w:p>
      <w:pPr>
        <w:ind w:left="1400" w:right="339"/>
        <w:spacing w:after="0" w:line="143"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1"/>
          <w:szCs w:val="11"/>
          <w:color w:val="auto"/>
        </w:rPr>
        <w:t>☐</w:t>
      </w:r>
    </w:p>
    <w:p>
      <w:pPr>
        <w:spacing w:after="0" w:line="6" w:lineRule="exact"/>
        <w:rPr>
          <w:sz w:val="24"/>
          <w:szCs w:val="24"/>
          <w:color w:val="auto"/>
        </w:rPr>
      </w:pPr>
    </w:p>
    <w:p>
      <w:pPr>
        <w:ind w:left="1400" w:right="519"/>
        <w:spacing w:after="0" w:line="247"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1400" w:type="dxa"/>
        <w:tblCellMar>
          <w:top w:w="0" w:type="dxa"/>
          <w:left w:w="0" w:type="dxa"/>
          <w:bottom w:w="0" w:type="dxa"/>
          <w:right w:w="0" w:type="dxa"/>
        </w:tblCellMar>
      </w:tblPr>
      <w:tr>
        <w:trPr>
          <w:trHeight w:val="176"/>
        </w:trPr>
        <w:tc>
          <w:tcPr>
            <w:tcW w:w="110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020" w:type="dxa"/>
            <w:vAlign w:val="bottom"/>
          </w:tcPr>
          <w:p>
            <w:pPr>
              <w:ind w:left="100"/>
              <w:spacing w:after="0" w:line="111" w:lineRule="exact"/>
              <w:rPr>
                <w:sz w:val="20"/>
                <w:szCs w:val="20"/>
                <w:color w:val="auto"/>
              </w:rPr>
            </w:pPr>
            <w:r>
              <w:rPr>
                <w:rFonts w:ascii="MS PGothic" w:cs="MS PGothic" w:eastAsia="MS PGothic" w:hAnsi="MS PGothic"/>
                <w:sz w:val="11"/>
                <w:szCs w:val="11"/>
                <w:color w:val="auto"/>
              </w:rPr>
              <w:t>☐</w:t>
            </w:r>
          </w:p>
        </w:tc>
        <w:tc>
          <w:tcPr>
            <w:tcW w:w="4140" w:type="dxa"/>
            <w:vAlign w:val="bottom"/>
          </w:tcPr>
          <w:p>
            <w:pPr>
              <w:ind w:left="2820"/>
              <w:spacing w:after="0"/>
              <w:rPr>
                <w:sz w:val="20"/>
                <w:szCs w:val="20"/>
                <w:color w:val="auto"/>
              </w:rPr>
            </w:pPr>
            <w:r>
              <w:rPr>
                <w:rFonts w:ascii="Times New Roman" w:cs="Times New Roman" w:eastAsia="Times New Roman" w:hAnsi="Times New Roman"/>
                <w:sz w:val="11"/>
                <w:szCs w:val="11"/>
                <w:color w:val="auto"/>
              </w:rPr>
              <w:t>Accelerated filer</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6"/>
        </w:trPr>
        <w:tc>
          <w:tcPr>
            <w:tcW w:w="110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020" w:type="dxa"/>
            <w:vAlign w:val="bottom"/>
          </w:tcPr>
          <w:p>
            <w:pPr>
              <w:ind w:left="100"/>
              <w:spacing w:after="0" w:line="111" w:lineRule="exact"/>
              <w:rPr>
                <w:sz w:val="20"/>
                <w:szCs w:val="20"/>
                <w:color w:val="auto"/>
              </w:rPr>
            </w:pPr>
            <w:r>
              <w:rPr>
                <w:rFonts w:ascii="MS PGothic" w:cs="MS PGothic" w:eastAsia="MS PGothic" w:hAnsi="MS PGothic"/>
                <w:sz w:val="11"/>
                <w:szCs w:val="11"/>
                <w:color w:val="auto"/>
              </w:rPr>
              <w:t>☐</w:t>
            </w:r>
          </w:p>
        </w:tc>
        <w:tc>
          <w:tcPr>
            <w:tcW w:w="4140" w:type="dxa"/>
            <w:vAlign w:val="bottom"/>
          </w:tcPr>
          <w:p>
            <w:pPr>
              <w:ind w:left="282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5"/>
        </w:trPr>
        <w:tc>
          <w:tcPr>
            <w:tcW w:w="11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140" w:type="dxa"/>
            <w:vAlign w:val="bottom"/>
          </w:tcPr>
          <w:p>
            <w:pPr>
              <w:ind w:left="2820"/>
              <w:spacing w:after="0"/>
              <w:rPr>
                <w:sz w:val="20"/>
                <w:szCs w:val="20"/>
                <w:color w:val="auto"/>
              </w:rPr>
            </w:pPr>
            <w:r>
              <w:rPr>
                <w:rFonts w:ascii="Times New Roman" w:cs="Times New Roman" w:eastAsia="Times New Roman" w:hAnsi="Times New Roman"/>
                <w:sz w:val="11"/>
                <w:szCs w:val="11"/>
                <w:color w:val="auto"/>
              </w:rPr>
              <w:t>Emerging growth company</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5" w:lineRule="exact"/>
        <w:rPr>
          <w:sz w:val="24"/>
          <w:szCs w:val="24"/>
          <w:color w:val="auto"/>
        </w:rPr>
      </w:pPr>
    </w:p>
    <w:p>
      <w:pPr>
        <w:ind w:left="1400" w:right="559"/>
        <w:spacing w:after="0" w:line="143"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3020695</wp:posOffset>
            </wp:positionH>
            <wp:positionV relativeFrom="paragraph">
              <wp:posOffset>74295</wp:posOffset>
            </wp:positionV>
            <wp:extent cx="112712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27125" cy="6350"/>
                    </a:xfrm>
                    <a:prstGeom prst="rect">
                      <a:avLst/>
                    </a:prstGeom>
                    <a:noFill/>
                  </pic:spPr>
                </pic:pic>
              </a:graphicData>
            </a:graphic>
          </wp:anchor>
        </w:drawing>
      </w:r>
    </w:p>
    <w:p>
      <w:pPr>
        <w:spacing w:after="0" w:line="129" w:lineRule="exact"/>
        <w:rPr>
          <w:sz w:val="24"/>
          <w:szCs w:val="24"/>
          <w:color w:val="auto"/>
        </w:rPr>
      </w:pPr>
    </w:p>
    <w:p>
      <w:pPr>
        <w:ind w:left="1400" w:right="499"/>
        <w:spacing w:after="0" w:line="235" w:lineRule="auto"/>
        <w:rPr>
          <w:sz w:val="20"/>
          <w:szCs w:val="20"/>
          <w:color w:val="auto"/>
        </w:rPr>
      </w:pPr>
      <w:r>
        <w:rPr>
          <w:rFonts w:ascii="Times New Roman" w:cs="Times New Roman" w:eastAsia="Times New Roman" w:hAnsi="Times New Roman"/>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898525</wp:posOffset>
            </wp:positionH>
            <wp:positionV relativeFrom="paragraph">
              <wp:posOffset>40005</wp:posOffset>
            </wp:positionV>
            <wp:extent cx="537781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77815" cy="6350"/>
                    </a:xfrm>
                    <a:prstGeom prst="rect">
                      <a:avLst/>
                    </a:prstGeom>
                    <a:noFill/>
                  </pic:spPr>
                </pic:pic>
              </a:graphicData>
            </a:graphic>
          </wp:anchor>
        </w:drawing>
        <w:drawing>
          <wp:anchor simplePos="0" relativeHeight="251657728" behindDoc="1" locked="0" layoutInCell="0" allowOverlap="1">
            <wp:simplePos x="0" y="0"/>
            <wp:positionH relativeFrom="column">
              <wp:posOffset>898525</wp:posOffset>
            </wp:positionH>
            <wp:positionV relativeFrom="paragraph">
              <wp:posOffset>73025</wp:posOffset>
            </wp:positionV>
            <wp:extent cx="537781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77815" cy="6350"/>
                    </a:xfrm>
                    <a:prstGeom prst="rect">
                      <a:avLst/>
                    </a:prstGeom>
                    <a:noFill/>
                  </pic:spPr>
                </pic:pic>
              </a:graphicData>
            </a:graphic>
          </wp:anchor>
        </w:drawing>
      </w:r>
    </w:p>
    <w:p>
      <w:pPr>
        <w:sectPr>
          <w:pgSz w:w="11900" w:h="16838" w:orient="portrait"/>
          <w:cols w:equalWidth="0" w:num="1">
            <w:col w:w="10159"/>
          </w:cols>
          <w:pgMar w:left="300" w:top="20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35" w:lineRule="exact"/>
        <w:rPr>
          <w:sz w:val="20"/>
          <w:szCs w:val="20"/>
          <w:color w:val="auto"/>
        </w:rPr>
      </w:pPr>
    </w:p>
    <w:tbl>
      <w:tblPr>
        <w:tblLayout w:type="fixed"/>
        <w:tblInd w:w="1420" w:type="dxa"/>
        <w:tblCellMar>
          <w:top w:w="0" w:type="dxa"/>
          <w:left w:w="0" w:type="dxa"/>
          <w:bottom w:w="0" w:type="dxa"/>
          <w:right w:w="0" w:type="dxa"/>
        </w:tblCellMar>
      </w:tblPr>
      <w:tr>
        <w:trPr>
          <w:trHeight w:val="1916"/>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9"/>
              </w:rPr>
              <w:t>until the registration statement</w:t>
            </w:r>
          </w:p>
        </w:tc>
        <w:tc>
          <w:tcPr>
            <w:tcW w:w="16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9"/>
              </w:rPr>
              <w:t>does it seek an offer to buy these</w:t>
            </w:r>
          </w:p>
        </w:tc>
        <w:tc>
          <w:tcPr>
            <w:tcW w:w="160" w:type="dxa"/>
            <w:vAlign w:val="bottom"/>
          </w:tcPr>
          <w:p>
            <w:pPr>
              <w:spacing w:after="0"/>
              <w:rPr>
                <w:sz w:val="24"/>
                <w:szCs w:val="24"/>
                <w:color w:val="auto"/>
              </w:rPr>
            </w:pPr>
          </w:p>
        </w:tc>
      </w:tr>
      <w:tr>
        <w:trPr>
          <w:trHeight w:val="649"/>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9"/>
              </w:rPr>
              <w:t>not be sold</w:t>
            </w:r>
          </w:p>
        </w:tc>
        <w:tc>
          <w:tcPr>
            <w:tcW w:w="16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8"/>
              </w:rPr>
              <w:t>to sell nor</w:t>
            </w:r>
          </w:p>
        </w:tc>
        <w:tc>
          <w:tcPr>
            <w:tcW w:w="160" w:type="dxa"/>
            <w:vAlign w:val="bottom"/>
          </w:tcPr>
          <w:p>
            <w:pPr>
              <w:spacing w:after="0"/>
              <w:rPr>
                <w:sz w:val="24"/>
                <w:szCs w:val="24"/>
                <w:color w:val="auto"/>
              </w:rPr>
            </w:pPr>
          </w:p>
        </w:tc>
      </w:tr>
      <w:tr>
        <w:trPr>
          <w:trHeight w:val="3101"/>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8"/>
              </w:rPr>
              <w:t>complete and may be changed. These securities may</w:t>
            </w:r>
          </w:p>
        </w:tc>
        <w:tc>
          <w:tcPr>
            <w:tcW w:w="16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9"/>
              </w:rPr>
              <w:t>effective. This preliminary prospectus is not an offer</w:t>
            </w:r>
          </w:p>
        </w:tc>
        <w:tc>
          <w:tcPr>
            <w:tcW w:w="16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8"/>
              </w:rPr>
              <w:t>not permitted.</w:t>
            </w:r>
          </w:p>
        </w:tc>
      </w:tr>
      <w:tr>
        <w:trPr>
          <w:trHeight w:val="3169"/>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8"/>
              </w:rPr>
              <w:t>The information in this preliminary prospectus is not</w:t>
            </w:r>
          </w:p>
        </w:tc>
        <w:tc>
          <w:tcPr>
            <w:tcW w:w="16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9"/>
              </w:rPr>
              <w:t>filed with the Securities and Exchange Commission is</w:t>
            </w:r>
          </w:p>
        </w:tc>
        <w:tc>
          <w:tcPr>
            <w:tcW w:w="16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8"/>
              </w:rPr>
              <w:t>securities in any jurisdiction where the offer or sale is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FF4338"/>
        </w:rPr>
        <w:t>SUBJECT TO COMPLETION, DATED JUNE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-1330960</wp:posOffset>
            </wp:positionH>
            <wp:positionV relativeFrom="paragraph">
              <wp:posOffset>-585470</wp:posOffset>
            </wp:positionV>
            <wp:extent cx="7202805" cy="32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2805" cy="3238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4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33"/>
          <w:szCs w:val="33"/>
          <w:b w:val="1"/>
          <w:bCs w:val="1"/>
          <w:color w:val="auto"/>
        </w:rPr>
        <w:t>Magnachip Semiconductor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146050</wp:posOffset>
            </wp:positionV>
            <wp:extent cx="2201545" cy="421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1545" cy="421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22"/>
          <w:szCs w:val="22"/>
          <w:b w:val="1"/>
          <w:bCs w:val="1"/>
          <w:color w:val="auto"/>
        </w:rPr>
        <w:t>$50,000,000</w:t>
      </w:r>
    </w:p>
    <w:p>
      <w:pPr>
        <w:spacing w:after="0" w:line="9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36"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10"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10"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9"/>
          <w:szCs w:val="19"/>
          <w:b w:val="1"/>
          <w:bCs w:val="1"/>
          <w:color w:val="auto"/>
        </w:rPr>
        <w:t>Rights</w:t>
      </w:r>
    </w:p>
    <w:p>
      <w:pPr>
        <w:spacing w:after="0" w:line="10"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9"/>
          <w:szCs w:val="19"/>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1785620</wp:posOffset>
            </wp:positionH>
            <wp:positionV relativeFrom="paragraph">
              <wp:posOffset>175260</wp:posOffset>
            </wp:positionV>
            <wp:extent cx="95567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55675" cy="635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1179"/>
        <w:spacing w:after="0" w:line="277" w:lineRule="auto"/>
        <w:rPr>
          <w:sz w:val="20"/>
          <w:szCs w:val="20"/>
          <w:color w:val="auto"/>
        </w:rPr>
      </w:pPr>
      <w:r>
        <w:rPr>
          <w:rFonts w:ascii="Times New Roman" w:cs="Times New Roman" w:eastAsia="Times New Roman" w:hAnsi="Times New Roman"/>
          <w:sz w:val="14"/>
          <w:szCs w:val="14"/>
          <w:color w:val="auto"/>
        </w:rPr>
        <w:t>From time to time, we may offer and sell up to $50,000,000 in the aggregate of the securities identified above in one or more offerings and at prices and on terms that we will determine at the time of the offering.</w:t>
      </w:r>
    </w:p>
    <w:p>
      <w:pPr>
        <w:spacing w:after="0" w:line="127" w:lineRule="exact"/>
        <w:rPr>
          <w:sz w:val="20"/>
          <w:szCs w:val="20"/>
          <w:color w:val="auto"/>
        </w:rPr>
      </w:pPr>
    </w:p>
    <w:p>
      <w:pPr>
        <w:ind w:right="959"/>
        <w:spacing w:after="0" w:line="252" w:lineRule="auto"/>
        <w:rPr>
          <w:sz w:val="20"/>
          <w:szCs w:val="20"/>
          <w:color w:val="auto"/>
        </w:rPr>
      </w:pPr>
      <w:r>
        <w:rPr>
          <w:rFonts w:ascii="Times New Roman" w:cs="Times New Roman" w:eastAsia="Times New Roman" w:hAnsi="Times New Roman"/>
          <w:sz w:val="14"/>
          <w:szCs w:val="14"/>
          <w:color w:val="auto"/>
        </w:rPr>
        <w:t>This prospectus describes the general manner in which these securities may be offered using this prospectus. Each time we offer securities using this prospectus, we will specify in one or more accompanying prospectus supplements the terms of the securities offered and other details regarding the offering thereof. We may also authorize one or more free writing prospectuses to be provided to you in connection with these offerings. The prospectus supplement and any related free writing prospectus may also add, update or change information contained in this prospectus with respect to that offering. You should carefully read this prospectus and the applicable prospectus supplement and any related free writing prospectus, as well as any documents incorporated by reference, before you invest in any of our securities.</w:t>
      </w:r>
    </w:p>
    <w:p>
      <w:pPr>
        <w:spacing w:after="0" w:line="145" w:lineRule="exact"/>
        <w:rPr>
          <w:sz w:val="20"/>
          <w:szCs w:val="20"/>
          <w:color w:val="auto"/>
        </w:rPr>
      </w:pPr>
    </w:p>
    <w:p>
      <w:pPr>
        <w:ind w:right="1059"/>
        <w:spacing w:after="0" w:line="255" w:lineRule="auto"/>
        <w:rPr>
          <w:sz w:val="20"/>
          <w:szCs w:val="20"/>
          <w:color w:val="auto"/>
        </w:rPr>
      </w:pPr>
      <w:r>
        <w:rPr>
          <w:rFonts w:ascii="Times New Roman" w:cs="Times New Roman" w:eastAsia="Times New Roman" w:hAnsi="Times New Roman"/>
          <w:sz w:val="14"/>
          <w:szCs w:val="14"/>
          <w:color w:val="auto"/>
        </w:rPr>
        <w:t>The securities covered by this prospectus may be sold directly by us to investors, through agents designated by us from time to time or through underwriters or dealers at prices and on terms to be determined at the time of offering. We will include in an applicable prospectus supplement the names of any underwriters or agents and any applicable commissions or discounts. Additional information on the methods of sale appears under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 in this prospectus. We will also describe in an applicable prospectus supplement the way(s) in which we expect to use the net proceeds we receive from any sale.</w:t>
      </w:r>
    </w:p>
    <w:p>
      <w:pPr>
        <w:spacing w:after="0" w:line="141" w:lineRule="exact"/>
        <w:rPr>
          <w:sz w:val="20"/>
          <w:szCs w:val="20"/>
          <w:color w:val="auto"/>
        </w:rPr>
      </w:pPr>
    </w:p>
    <w:p>
      <w:pPr>
        <w:ind w:right="1059"/>
        <w:spacing w:after="0" w:line="277" w:lineRule="auto"/>
        <w:rPr>
          <w:sz w:val="20"/>
          <w:szCs w:val="20"/>
          <w:color w:val="auto"/>
        </w:rPr>
      </w:pPr>
      <w:r>
        <w:rPr>
          <w:rFonts w:ascii="Times New Roman" w:cs="Times New Roman" w:eastAsia="Times New Roman" w:hAnsi="Times New Roman"/>
          <w:sz w:val="14"/>
          <w:szCs w:val="14"/>
          <w:color w:val="auto"/>
        </w:rPr>
        <w:t>Our common stock is listed on the New York Stock Exchange under the symbol “MX.” On June 11, 2026, the closing price for our common stock, as reported on the New York Stock Exchange, was $6.25 per share.</w:t>
      </w:r>
    </w:p>
    <w:p>
      <w:pPr>
        <w:spacing w:after="0" w:line="117" w:lineRule="exact"/>
        <w:rPr>
          <w:sz w:val="20"/>
          <w:szCs w:val="20"/>
          <w:color w:val="auto"/>
        </w:rPr>
      </w:pPr>
    </w:p>
    <w:p>
      <w:pPr>
        <w:ind w:right="1099"/>
        <w:spacing w:after="0" w:line="236" w:lineRule="auto"/>
        <w:rPr>
          <w:sz w:val="20"/>
          <w:szCs w:val="20"/>
          <w:color w:val="auto"/>
        </w:rPr>
      </w:pPr>
      <w:r>
        <w:rPr>
          <w:rFonts w:ascii="Times New Roman" w:cs="Times New Roman" w:eastAsia="Times New Roman" w:hAnsi="Times New Roman"/>
          <w:sz w:val="17"/>
          <w:szCs w:val="17"/>
          <w:b w:val="1"/>
          <w:bCs w:val="1"/>
          <w:color w:val="auto"/>
        </w:rPr>
        <w:t>Investing in our securities involves a high degree of risk. You should review carefully the risks and uncertainties described under the heading “</w:t>
      </w:r>
      <w:r>
        <w:rPr>
          <w:rFonts w:ascii="Times New Roman" w:cs="Times New Roman" w:eastAsia="Times New Roman" w:hAnsi="Times New Roman"/>
          <w:sz w:val="17"/>
          <w:szCs w:val="17"/>
          <w:b w:val="1"/>
          <w:bCs w:val="1"/>
          <w:i w:val="1"/>
          <w:iCs w:val="1"/>
          <w:u w:val="single" w:color="auto"/>
          <w:color w:val="0000EE"/>
        </w:rPr>
        <w:t>Risk Factors</w:t>
      </w:r>
      <w:r>
        <w:rPr>
          <w:rFonts w:ascii="Times New Roman" w:cs="Times New Roman" w:eastAsia="Times New Roman" w:hAnsi="Times New Roman"/>
          <w:sz w:val="17"/>
          <w:szCs w:val="17"/>
          <w:b w:val="1"/>
          <w:bCs w:val="1"/>
          <w:color w:val="auto"/>
        </w:rPr>
        <w:t>” on page 8 of this prospectus (and any applicable prospectus supplement or free writing prospectus) and under any similar heading in the documents that are incorporated by reference into this prospectus, as well as “</w:t>
      </w:r>
      <w:r>
        <w:rPr>
          <w:rFonts w:ascii="Times New Roman" w:cs="Times New Roman" w:eastAsia="Times New Roman" w:hAnsi="Times New Roman"/>
          <w:sz w:val="17"/>
          <w:szCs w:val="17"/>
          <w:b w:val="1"/>
          <w:bCs w:val="1"/>
          <w:i w:val="1"/>
          <w:iCs w:val="1"/>
          <w:u w:val="single" w:color="auto"/>
          <w:color w:val="0000EE"/>
        </w:rPr>
        <w:t>Special Note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u w:val="single" w:color="auto"/>
          <w:color w:val="0000EE"/>
        </w:rPr>
        <w:t>Regarding Forward-Looking Statements</w:t>
      </w:r>
      <w:r>
        <w:rPr>
          <w:rFonts w:ascii="Times New Roman" w:cs="Times New Roman" w:eastAsia="Times New Roman" w:hAnsi="Times New Roman"/>
          <w:sz w:val="17"/>
          <w:szCs w:val="17"/>
          <w:b w:val="1"/>
          <w:bCs w:val="1"/>
          <w:color w:val="000000"/>
        </w:rPr>
        <w:t>” on page 5 of this prospectus. You should read the entire</w:t>
      </w:r>
      <w:r>
        <w:rPr>
          <w:rFonts w:ascii="Times New Roman" w:cs="Times New Roman" w:eastAsia="Times New Roman" w:hAnsi="Times New Roman"/>
          <w:sz w:val="17"/>
          <w:szCs w:val="17"/>
          <w:b w:val="1"/>
          <w:bCs w:val="1"/>
          <w:i w:val="1"/>
          <w:iCs w:val="1"/>
          <w:color w:val="0000EE"/>
        </w:rPr>
        <w:t xml:space="preserve"> </w:t>
      </w:r>
      <w:r>
        <w:rPr>
          <w:rFonts w:ascii="Times New Roman" w:cs="Times New Roman" w:eastAsia="Times New Roman" w:hAnsi="Times New Roman"/>
          <w:sz w:val="17"/>
          <w:szCs w:val="17"/>
          <w:b w:val="1"/>
          <w:bCs w:val="1"/>
          <w:color w:val="000000"/>
        </w:rPr>
        <w:t>prospectus carefully before you make your investment decision.</w:t>
      </w:r>
    </w:p>
    <w:p>
      <w:pPr>
        <w:spacing w:after="0" w:line="142" w:lineRule="exact"/>
        <w:rPr>
          <w:sz w:val="20"/>
          <w:szCs w:val="20"/>
          <w:color w:val="auto"/>
        </w:rPr>
      </w:pPr>
    </w:p>
    <w:p>
      <w:pPr>
        <w:ind w:right="1279"/>
        <w:spacing w:after="0" w:line="280" w:lineRule="auto"/>
        <w:rPr>
          <w:sz w:val="20"/>
          <w:szCs w:val="20"/>
          <w:color w:val="auto"/>
        </w:rPr>
      </w:pPr>
      <w:r>
        <w:rPr>
          <w:rFonts w:ascii="Times New Roman" w:cs="Times New Roman" w:eastAsia="Times New Roman" w:hAnsi="Times New Roman"/>
          <w:sz w:val="14"/>
          <w:szCs w:val="14"/>
          <w:b w:val="1"/>
          <w:bCs w:val="1"/>
          <w:color w:val="auto"/>
        </w:rPr>
        <w:t>We are a smaller reporting company as defined under federal securities laws and, as such, may elect to comply with certain reduced public company reporting requirements for future filings.</w:t>
      </w:r>
    </w:p>
    <w:p>
      <w:pPr>
        <w:spacing w:after="0" w:line="123" w:lineRule="exact"/>
        <w:rPr>
          <w:sz w:val="20"/>
          <w:szCs w:val="20"/>
          <w:color w:val="auto"/>
        </w:rPr>
      </w:pPr>
    </w:p>
    <w:p>
      <w:pPr>
        <w:ind w:right="1019"/>
        <w:spacing w:after="0" w:line="264" w:lineRule="auto"/>
        <w:rPr>
          <w:sz w:val="20"/>
          <w:szCs w:val="20"/>
          <w:color w:val="auto"/>
        </w:rPr>
      </w:pPr>
      <w:r>
        <w:rPr>
          <w:rFonts w:ascii="Times New Roman" w:cs="Times New Roman" w:eastAsia="Times New Roman" w:hAnsi="Times New Roman"/>
          <w:sz w:val="14"/>
          <w:szCs w:val="14"/>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This prospectus may not be used to offer or sell any securities unless accompanied by a prospectus supplement.</w:t>
      </w:r>
    </w:p>
    <w:p>
      <w:pPr>
        <w:spacing w:after="0" w:line="33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4"/>
          <w:szCs w:val="14"/>
          <w:b w:val="1"/>
          <w:bCs w:val="1"/>
          <w:color w:val="auto"/>
        </w:rPr>
        <w:t>The date of this prospectus is            , 2026.</w:t>
      </w:r>
    </w:p>
    <w:p>
      <w:pPr>
        <w:sectPr>
          <w:pgSz w:w="11900" w:h="16838" w:orient="portrait"/>
          <w:cols w:equalWidth="0" w:num="2">
            <w:col w:w="1880" w:space="200"/>
            <w:col w:w="8079"/>
          </w:cols>
          <w:pgMar w:left="300" w:top="382"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187" w:lineRule="exact"/>
        <w:rPr>
          <w:sz w:val="20"/>
          <w:szCs w:val="20"/>
          <w:color w:val="auto"/>
        </w:rPr>
      </w:pPr>
    </w:p>
    <w:tbl>
      <w:tblPr>
        <w:tblLayout w:type="fixed"/>
        <w:tblInd w:w="1400" w:type="dxa"/>
        <w:tblCellMar>
          <w:top w:w="0" w:type="dxa"/>
          <w:left w:w="0" w:type="dxa"/>
          <w:bottom w:w="0" w:type="dxa"/>
          <w:right w:w="0" w:type="dxa"/>
        </w:tblCellMar>
      </w:tblPr>
      <w:tr>
        <w:trPr>
          <w:trHeight w:val="133"/>
        </w:trPr>
        <w:tc>
          <w:tcPr>
            <w:tcW w:w="4160" w:type="dxa"/>
            <w:vAlign w:val="bottom"/>
            <w:gridSpan w:val="16"/>
            <w:vMerge w:val="restart"/>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42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25"/>
        </w:trPr>
        <w:tc>
          <w:tcPr>
            <w:tcW w:w="4160" w:type="dxa"/>
            <w:vAlign w:val="bottom"/>
            <w:gridSpan w:val="16"/>
            <w:vMerge w:val="continue"/>
          </w:tcPr>
          <w:p>
            <w:pPr>
              <w:spacing w:after="0"/>
              <w:rPr>
                <w:sz w:val="10"/>
                <w:szCs w:val="10"/>
                <w:color w:val="auto"/>
              </w:rPr>
            </w:pPr>
          </w:p>
        </w:tc>
        <w:tc>
          <w:tcPr>
            <w:tcW w:w="4060" w:type="dxa"/>
            <w:vAlign w:val="bottom"/>
          </w:tcPr>
          <w:p>
            <w:pPr>
              <w:spacing w:after="0"/>
              <w:rPr>
                <w:sz w:val="10"/>
                <w:szCs w:val="10"/>
                <w:color w:val="auto"/>
              </w:rPr>
            </w:pPr>
          </w:p>
        </w:tc>
        <w:tc>
          <w:tcPr>
            <w:tcW w:w="22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160" w:type="dxa"/>
            <w:vAlign w:val="bottom"/>
            <w:gridSpan w:val="16"/>
          </w:tcPr>
          <w:p>
            <w:pPr>
              <w:spacing w:after="0" w:line="146" w:lineRule="exact"/>
              <w:rPr>
                <w:sz w:val="20"/>
                <w:szCs w:val="20"/>
                <w:color w:val="auto"/>
              </w:rPr>
            </w:pPr>
            <w:r>
              <w:rPr>
                <w:rFonts w:ascii="Times New Roman" w:cs="Times New Roman" w:eastAsia="Times New Roman" w:hAnsi="Times New Roman"/>
                <w:sz w:val="14"/>
                <w:szCs w:val="14"/>
                <w:color w:val="0000EE"/>
                <w:w w:val="98"/>
              </w:rPr>
              <w:t>SPECIAL NOTE REGARDING FORWARD-LOOKING STATEMENTS</w:t>
            </w:r>
          </w:p>
        </w:tc>
        <w:tc>
          <w:tcPr>
            <w:tcW w:w="428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6"/>
        </w:trPr>
        <w:tc>
          <w:tcPr>
            <w:tcW w:w="1620" w:type="dxa"/>
            <w:vAlign w:val="bottom"/>
            <w:tcBorders>
              <w:top w:val="single" w:sz="8" w:color="0000EE"/>
              <w:bottom w:val="single" w:sz="8" w:color="0000EE"/>
            </w:tcBorders>
            <w:gridSpan w:val="8"/>
          </w:tcPr>
          <w:p>
            <w:pPr>
              <w:spacing w:after="0" w:line="146" w:lineRule="exact"/>
              <w:rPr>
                <w:sz w:val="20"/>
                <w:szCs w:val="20"/>
                <w:color w:val="auto"/>
              </w:rPr>
            </w:pPr>
            <w:r>
              <w:rPr>
                <w:rFonts w:ascii="Times New Roman" w:cs="Times New Roman" w:eastAsia="Times New Roman" w:hAnsi="Times New Roman"/>
                <w:sz w:val="14"/>
                <w:szCs w:val="14"/>
                <w:color w:val="0000EE"/>
                <w:w w:val="98"/>
              </w:rPr>
              <w:t>PROSPECTUS SUMMARY</w:t>
            </w:r>
          </w:p>
        </w:tc>
        <w:tc>
          <w:tcPr>
            <w:tcW w:w="2480" w:type="dxa"/>
            <w:vAlign w:val="bottom"/>
            <w:tcBorders>
              <w:top w:val="single" w:sz="8" w:color="0000EE"/>
            </w:tcBorders>
            <w:gridSpan w:val="7"/>
          </w:tcPr>
          <w:p>
            <w:pPr>
              <w:spacing w:after="0"/>
              <w:rPr>
                <w:sz w:val="12"/>
                <w:szCs w:val="12"/>
                <w:color w:val="auto"/>
              </w:rPr>
            </w:pPr>
          </w:p>
        </w:tc>
        <w:tc>
          <w:tcPr>
            <w:tcW w:w="60" w:type="dxa"/>
            <w:vAlign w:val="bottom"/>
          </w:tcPr>
          <w:p>
            <w:pPr>
              <w:spacing w:after="0"/>
              <w:rPr>
                <w:sz w:val="12"/>
                <w:szCs w:val="12"/>
                <w:color w:val="auto"/>
              </w:rPr>
            </w:pPr>
          </w:p>
        </w:tc>
        <w:tc>
          <w:tcPr>
            <w:tcW w:w="428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6"/>
        </w:trPr>
        <w:tc>
          <w:tcPr>
            <w:tcW w:w="4160" w:type="dxa"/>
            <w:vAlign w:val="bottom"/>
            <w:gridSpan w:val="16"/>
          </w:tcPr>
          <w:p>
            <w:pPr>
              <w:spacing w:after="0" w:line="146" w:lineRule="exact"/>
              <w:rPr>
                <w:sz w:val="20"/>
                <w:szCs w:val="20"/>
                <w:color w:val="auto"/>
              </w:rPr>
            </w:pPr>
            <w:r>
              <w:rPr>
                <w:rFonts w:ascii="Times New Roman" w:cs="Times New Roman" w:eastAsia="Times New Roman" w:hAnsi="Times New Roman"/>
                <w:sz w:val="14"/>
                <w:szCs w:val="14"/>
                <w:color w:val="0000EE"/>
              </w:rPr>
              <w:t>RISK FACTORS</w:t>
            </w:r>
          </w:p>
        </w:tc>
        <w:tc>
          <w:tcPr>
            <w:tcW w:w="428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240" w:type="dxa"/>
            <w:vAlign w:val="bottom"/>
            <w:tcBorders>
              <w:bottom w:val="single" w:sz="8" w:color="0000EE"/>
            </w:tcBorders>
            <w:gridSpan w:val="5"/>
          </w:tcPr>
          <w:p>
            <w:pPr>
              <w:spacing w:after="0" w:line="146" w:lineRule="exact"/>
              <w:rPr>
                <w:sz w:val="20"/>
                <w:szCs w:val="20"/>
                <w:color w:val="auto"/>
              </w:rPr>
            </w:pPr>
            <w:r>
              <w:rPr>
                <w:rFonts w:ascii="Times New Roman" w:cs="Times New Roman" w:eastAsia="Times New Roman" w:hAnsi="Times New Roman"/>
                <w:sz w:val="14"/>
                <w:szCs w:val="14"/>
                <w:color w:val="0000EE"/>
                <w:w w:val="99"/>
              </w:rPr>
              <w:t>USE OF PROCEEDS</w:t>
            </w:r>
          </w:p>
        </w:tc>
        <w:tc>
          <w:tcPr>
            <w:tcW w:w="2920" w:type="dxa"/>
            <w:vAlign w:val="bottom"/>
            <w:gridSpan w:val="11"/>
          </w:tcPr>
          <w:p>
            <w:pPr>
              <w:spacing w:after="0"/>
              <w:rPr>
                <w:sz w:val="12"/>
                <w:szCs w:val="12"/>
                <w:color w:val="auto"/>
              </w:rPr>
            </w:pPr>
          </w:p>
        </w:tc>
        <w:tc>
          <w:tcPr>
            <w:tcW w:w="428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46"/>
        </w:trPr>
        <w:tc>
          <w:tcPr>
            <w:tcW w:w="1220" w:type="dxa"/>
            <w:vAlign w:val="bottom"/>
            <w:tcBorders>
              <w:bottom w:val="single" w:sz="8" w:color="0000EE"/>
            </w:tcBorders>
            <w:gridSpan w:val="4"/>
          </w:tcPr>
          <w:p>
            <w:pPr>
              <w:spacing w:after="0" w:line="146" w:lineRule="exact"/>
              <w:rPr>
                <w:sz w:val="20"/>
                <w:szCs w:val="20"/>
                <w:color w:val="auto"/>
              </w:rPr>
            </w:pPr>
            <w:r>
              <w:rPr>
                <w:rFonts w:ascii="Times New Roman" w:cs="Times New Roman" w:eastAsia="Times New Roman" w:hAnsi="Times New Roman"/>
                <w:sz w:val="14"/>
                <w:szCs w:val="14"/>
                <w:color w:val="0000EE"/>
                <w:w w:val="97"/>
              </w:rPr>
              <w:t>DIVIDEND POLICY</w:t>
            </w:r>
          </w:p>
        </w:tc>
        <w:tc>
          <w:tcPr>
            <w:tcW w:w="2940" w:type="dxa"/>
            <w:vAlign w:val="bottom"/>
            <w:gridSpan w:val="12"/>
          </w:tcPr>
          <w:p>
            <w:pPr>
              <w:spacing w:after="0"/>
              <w:rPr>
                <w:sz w:val="12"/>
                <w:szCs w:val="12"/>
                <w:color w:val="auto"/>
              </w:rPr>
            </w:pPr>
          </w:p>
        </w:tc>
        <w:tc>
          <w:tcPr>
            <w:tcW w:w="428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6"/>
        </w:trPr>
        <w:tc>
          <w:tcPr>
            <w:tcW w:w="2620" w:type="dxa"/>
            <w:vAlign w:val="bottom"/>
            <w:tcBorders>
              <w:bottom w:val="single" w:sz="8" w:color="0000EE"/>
            </w:tcBorders>
            <w:gridSpan w:val="12"/>
          </w:tcPr>
          <w:p>
            <w:pPr>
              <w:spacing w:after="0" w:line="146" w:lineRule="exact"/>
              <w:rPr>
                <w:sz w:val="20"/>
                <w:szCs w:val="20"/>
                <w:color w:val="auto"/>
              </w:rPr>
            </w:pPr>
            <w:r>
              <w:rPr>
                <w:rFonts w:ascii="Times New Roman" w:cs="Times New Roman" w:eastAsia="Times New Roman" w:hAnsi="Times New Roman"/>
                <w:sz w:val="14"/>
                <w:szCs w:val="14"/>
                <w:color w:val="0000EE"/>
                <w:w w:val="98"/>
              </w:rPr>
              <w:t>GENERAL DESCRIPTION OF SECURITIES</w:t>
            </w:r>
          </w:p>
        </w:tc>
        <w:tc>
          <w:tcPr>
            <w:tcW w:w="1540" w:type="dxa"/>
            <w:vAlign w:val="bottom"/>
            <w:gridSpan w:val="4"/>
          </w:tcPr>
          <w:p>
            <w:pPr>
              <w:spacing w:after="0"/>
              <w:rPr>
                <w:sz w:val="12"/>
                <w:szCs w:val="12"/>
                <w:color w:val="auto"/>
              </w:rPr>
            </w:pPr>
          </w:p>
        </w:tc>
        <w:tc>
          <w:tcPr>
            <w:tcW w:w="428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6"/>
        </w:trPr>
        <w:tc>
          <w:tcPr>
            <w:tcW w:w="2220" w:type="dxa"/>
            <w:vAlign w:val="bottom"/>
            <w:tcBorders>
              <w:bottom w:val="single" w:sz="8" w:color="0000EE"/>
            </w:tcBorders>
            <w:gridSpan w:val="11"/>
          </w:tcPr>
          <w:p>
            <w:pPr>
              <w:spacing w:after="0" w:line="146" w:lineRule="exact"/>
              <w:rPr>
                <w:sz w:val="20"/>
                <w:szCs w:val="20"/>
                <w:color w:val="auto"/>
              </w:rPr>
            </w:pPr>
            <w:r>
              <w:rPr>
                <w:rFonts w:ascii="Times New Roman" w:cs="Times New Roman" w:eastAsia="Times New Roman" w:hAnsi="Times New Roman"/>
                <w:sz w:val="14"/>
                <w:szCs w:val="14"/>
                <w:color w:val="0000EE"/>
                <w:w w:val="98"/>
              </w:rPr>
              <w:t>DESCRIPTION OF CAPITAL STOCK</w:t>
            </w:r>
          </w:p>
        </w:tc>
        <w:tc>
          <w:tcPr>
            <w:tcW w:w="1940" w:type="dxa"/>
            <w:vAlign w:val="bottom"/>
            <w:gridSpan w:val="5"/>
          </w:tcPr>
          <w:p>
            <w:pPr>
              <w:spacing w:after="0"/>
              <w:rPr>
                <w:sz w:val="12"/>
                <w:szCs w:val="12"/>
                <w:color w:val="auto"/>
              </w:rPr>
            </w:pPr>
          </w:p>
        </w:tc>
        <w:tc>
          <w:tcPr>
            <w:tcW w:w="428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6"/>
        </w:trPr>
        <w:tc>
          <w:tcPr>
            <w:tcW w:w="1920" w:type="dxa"/>
            <w:vAlign w:val="bottom"/>
            <w:tcBorders>
              <w:bottom w:val="single" w:sz="8" w:color="0000EE"/>
            </w:tcBorders>
            <w:gridSpan w:val="10"/>
          </w:tcPr>
          <w:p>
            <w:pPr>
              <w:spacing w:after="0" w:line="146" w:lineRule="exact"/>
              <w:rPr>
                <w:sz w:val="20"/>
                <w:szCs w:val="20"/>
                <w:color w:val="auto"/>
              </w:rPr>
            </w:pPr>
            <w:r>
              <w:rPr>
                <w:rFonts w:ascii="Times New Roman" w:cs="Times New Roman" w:eastAsia="Times New Roman" w:hAnsi="Times New Roman"/>
                <w:sz w:val="14"/>
                <w:szCs w:val="14"/>
                <w:color w:val="0000EE"/>
                <w:w w:val="97"/>
              </w:rPr>
              <w:t>DESCRIPTION OF WARRANTS</w:t>
            </w:r>
          </w:p>
        </w:tc>
        <w:tc>
          <w:tcPr>
            <w:tcW w:w="2240" w:type="dxa"/>
            <w:vAlign w:val="bottom"/>
            <w:gridSpan w:val="6"/>
          </w:tcPr>
          <w:p>
            <w:pPr>
              <w:spacing w:after="0"/>
              <w:rPr>
                <w:sz w:val="12"/>
                <w:szCs w:val="12"/>
                <w:color w:val="auto"/>
              </w:rPr>
            </w:pPr>
          </w:p>
        </w:tc>
        <w:tc>
          <w:tcPr>
            <w:tcW w:w="428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6"/>
        </w:trPr>
        <w:tc>
          <w:tcPr>
            <w:tcW w:w="1720" w:type="dxa"/>
            <w:vAlign w:val="bottom"/>
            <w:tcBorders>
              <w:bottom w:val="single" w:sz="8" w:color="0000EE"/>
            </w:tcBorders>
            <w:gridSpan w:val="9"/>
          </w:tcPr>
          <w:p>
            <w:pPr>
              <w:spacing w:after="0" w:line="146" w:lineRule="exact"/>
              <w:rPr>
                <w:sz w:val="20"/>
                <w:szCs w:val="20"/>
                <w:color w:val="auto"/>
              </w:rPr>
            </w:pPr>
            <w:r>
              <w:rPr>
                <w:rFonts w:ascii="Times New Roman" w:cs="Times New Roman" w:eastAsia="Times New Roman" w:hAnsi="Times New Roman"/>
                <w:sz w:val="14"/>
                <w:szCs w:val="14"/>
                <w:color w:val="0000EE"/>
              </w:rPr>
              <w:t>DESCRIPTION OF RIGHTS</w:t>
            </w:r>
          </w:p>
        </w:tc>
        <w:tc>
          <w:tcPr>
            <w:tcW w:w="2440" w:type="dxa"/>
            <w:vAlign w:val="bottom"/>
            <w:gridSpan w:val="7"/>
          </w:tcPr>
          <w:p>
            <w:pPr>
              <w:spacing w:after="0"/>
              <w:rPr>
                <w:sz w:val="12"/>
                <w:szCs w:val="12"/>
                <w:color w:val="auto"/>
              </w:rPr>
            </w:pPr>
          </w:p>
        </w:tc>
        <w:tc>
          <w:tcPr>
            <w:tcW w:w="428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6"/>
        </w:trPr>
        <w:tc>
          <w:tcPr>
            <w:tcW w:w="4160" w:type="dxa"/>
            <w:vAlign w:val="bottom"/>
            <w:gridSpan w:val="16"/>
          </w:tcPr>
          <w:p>
            <w:pPr>
              <w:spacing w:after="0" w:line="146" w:lineRule="exact"/>
              <w:rPr>
                <w:sz w:val="20"/>
                <w:szCs w:val="20"/>
                <w:color w:val="auto"/>
              </w:rPr>
            </w:pPr>
            <w:r>
              <w:rPr>
                <w:rFonts w:ascii="Times New Roman" w:cs="Times New Roman" w:eastAsia="Times New Roman" w:hAnsi="Times New Roman"/>
                <w:sz w:val="14"/>
                <w:szCs w:val="14"/>
                <w:color w:val="0000EE"/>
              </w:rPr>
              <w:t>DESCRIPTION OF UNITS</w:t>
            </w:r>
          </w:p>
        </w:tc>
        <w:tc>
          <w:tcPr>
            <w:tcW w:w="428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160" w:type="dxa"/>
            <w:vAlign w:val="bottom"/>
            <w:gridSpan w:val="16"/>
          </w:tcPr>
          <w:p>
            <w:pPr>
              <w:spacing w:after="0" w:line="146" w:lineRule="exact"/>
              <w:rPr>
                <w:sz w:val="20"/>
                <w:szCs w:val="20"/>
                <w:color w:val="auto"/>
              </w:rPr>
            </w:pPr>
            <w:r>
              <w:rPr>
                <w:rFonts w:ascii="Times New Roman" w:cs="Times New Roman" w:eastAsia="Times New Roman" w:hAnsi="Times New Roman"/>
                <w:sz w:val="14"/>
                <w:szCs w:val="14"/>
                <w:color w:val="0000EE"/>
              </w:rPr>
              <w:t>PLAN OF DISTRIBUTION</w:t>
            </w:r>
          </w:p>
        </w:tc>
        <w:tc>
          <w:tcPr>
            <w:tcW w:w="428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6"/>
        </w:trPr>
        <w:tc>
          <w:tcPr>
            <w:tcW w:w="1580" w:type="dxa"/>
            <w:vAlign w:val="bottom"/>
            <w:tcBorders>
              <w:top w:val="single" w:sz="8" w:color="0000EE"/>
            </w:tcBorders>
            <w:gridSpan w:val="7"/>
          </w:tcPr>
          <w:p>
            <w:pPr>
              <w:spacing w:after="0" w:line="146" w:lineRule="exact"/>
              <w:rPr>
                <w:sz w:val="20"/>
                <w:szCs w:val="20"/>
                <w:color w:val="auto"/>
              </w:rPr>
            </w:pPr>
            <w:r>
              <w:rPr>
                <w:rFonts w:ascii="Times New Roman" w:cs="Times New Roman" w:eastAsia="Times New Roman" w:hAnsi="Times New Roman"/>
                <w:sz w:val="14"/>
                <w:szCs w:val="14"/>
                <w:color w:val="0000EE"/>
              </w:rPr>
              <w:t>LEGAL MATTERS</w:t>
            </w:r>
          </w:p>
        </w:tc>
        <w:tc>
          <w:tcPr>
            <w:tcW w:w="2580" w:type="dxa"/>
            <w:vAlign w:val="bottom"/>
            <w:gridSpan w:val="9"/>
          </w:tcPr>
          <w:p>
            <w:pPr>
              <w:spacing w:after="0"/>
              <w:rPr>
                <w:sz w:val="12"/>
                <w:szCs w:val="12"/>
                <w:color w:val="auto"/>
              </w:rPr>
            </w:pPr>
          </w:p>
        </w:tc>
        <w:tc>
          <w:tcPr>
            <w:tcW w:w="428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6"/>
        </w:trPr>
        <w:tc>
          <w:tcPr>
            <w:tcW w:w="1120" w:type="dxa"/>
            <w:vAlign w:val="bottom"/>
            <w:tcBorders>
              <w:top w:val="single" w:sz="8" w:color="0000EE"/>
            </w:tcBorders>
            <w:gridSpan w:val="3"/>
          </w:tcPr>
          <w:p>
            <w:pPr>
              <w:spacing w:after="0" w:line="146" w:lineRule="exact"/>
              <w:rPr>
                <w:sz w:val="20"/>
                <w:szCs w:val="20"/>
                <w:color w:val="auto"/>
              </w:rPr>
            </w:pPr>
            <w:r>
              <w:rPr>
                <w:rFonts w:ascii="Times New Roman" w:cs="Times New Roman" w:eastAsia="Times New Roman" w:hAnsi="Times New Roman"/>
                <w:sz w:val="14"/>
                <w:szCs w:val="14"/>
                <w:color w:val="0000EE"/>
              </w:rPr>
              <w:t>EXPERTS</w:t>
            </w:r>
          </w:p>
        </w:tc>
        <w:tc>
          <w:tcPr>
            <w:tcW w:w="3040" w:type="dxa"/>
            <w:vAlign w:val="bottom"/>
            <w:gridSpan w:val="13"/>
          </w:tcPr>
          <w:p>
            <w:pPr>
              <w:spacing w:after="0"/>
              <w:rPr>
                <w:sz w:val="12"/>
                <w:szCs w:val="12"/>
                <w:color w:val="auto"/>
              </w:rPr>
            </w:pPr>
          </w:p>
        </w:tc>
        <w:tc>
          <w:tcPr>
            <w:tcW w:w="428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340" w:type="dxa"/>
            <w:vAlign w:val="bottom"/>
            <w:gridSpan w:val="1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160" w:type="dxa"/>
            <w:vAlign w:val="bottom"/>
            <w:gridSpan w:val="16"/>
          </w:tcPr>
          <w:p>
            <w:pPr>
              <w:spacing w:after="0" w:line="146"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428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
        </w:trPr>
        <w:tc>
          <w:tcPr>
            <w:tcW w:w="2940" w:type="dxa"/>
            <w:vAlign w:val="bottom"/>
            <w:gridSpan w:val="13"/>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160" w:type="dxa"/>
            <w:vAlign w:val="bottom"/>
            <w:gridSpan w:val="16"/>
          </w:tcPr>
          <w:p>
            <w:pPr>
              <w:spacing w:after="0" w:line="146" w:lineRule="exact"/>
              <w:rPr>
                <w:sz w:val="20"/>
                <w:szCs w:val="20"/>
                <w:color w:val="auto"/>
              </w:rPr>
            </w:pPr>
            <w:r>
              <w:rPr>
                <w:rFonts w:ascii="Times New Roman" w:cs="Times New Roman" w:eastAsia="Times New Roman" w:hAnsi="Times New Roman"/>
                <w:sz w:val="14"/>
                <w:szCs w:val="14"/>
                <w:color w:val="0000EE"/>
              </w:rPr>
              <w:t>INCORPORATION OF CERTAIN INFORMATION BY REFERENCE</w:t>
            </w:r>
          </w:p>
        </w:tc>
        <w:tc>
          <w:tcPr>
            <w:tcW w:w="428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92"/>
        </w:trPr>
        <w:tc>
          <w:tcPr>
            <w:tcW w:w="6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60" w:type="dxa"/>
            <w:vAlign w:val="bottom"/>
          </w:tcPr>
          <w:p>
            <w:pPr>
              <w:jc w:val="right"/>
              <w:ind w:right="3872"/>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2"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3" w:lineRule="exact"/>
        <w:rPr>
          <w:sz w:val="20"/>
          <w:szCs w:val="20"/>
          <w:color w:val="auto"/>
        </w:rPr>
      </w:pPr>
    </w:p>
    <w:p>
      <w:pPr>
        <w:ind w:left="1400" w:right="819"/>
        <w:spacing w:after="0" w:line="277" w:lineRule="auto"/>
        <w:rPr>
          <w:sz w:val="20"/>
          <w:szCs w:val="20"/>
          <w:color w:val="auto"/>
        </w:rPr>
      </w:pPr>
      <w:r>
        <w:rPr>
          <w:rFonts w:ascii="Times New Roman" w:cs="Times New Roman" w:eastAsia="Times New Roman" w:hAnsi="Times New Roman"/>
          <w:sz w:val="14"/>
          <w:szCs w:val="14"/>
          <w:color w:val="auto"/>
        </w:rPr>
        <w:t>This prospectus is part of a shelf registration statement that we have filed with the Securities and Exchange Commission, or the SEC, under the Securities Act of 1933, as amended, or the Securities Act.</w:t>
      </w:r>
    </w:p>
    <w:p>
      <w:pPr>
        <w:spacing w:after="0" w:line="127" w:lineRule="exact"/>
        <w:rPr>
          <w:sz w:val="20"/>
          <w:szCs w:val="20"/>
          <w:color w:val="auto"/>
        </w:rPr>
      </w:pPr>
    </w:p>
    <w:p>
      <w:pPr>
        <w:ind w:left="1400" w:right="299"/>
        <w:spacing w:after="0" w:line="251" w:lineRule="auto"/>
        <w:rPr>
          <w:sz w:val="20"/>
          <w:szCs w:val="20"/>
          <w:color w:val="auto"/>
        </w:rPr>
      </w:pPr>
      <w:r>
        <w:rPr>
          <w:rFonts w:ascii="Times New Roman" w:cs="Times New Roman" w:eastAsia="Times New Roman" w:hAnsi="Times New Roman"/>
          <w:sz w:val="14"/>
          <w:szCs w:val="14"/>
          <w:color w:val="auto"/>
        </w:rPr>
        <w:t>Under the shelf registration process, we may from time to time sell the securities described in this prospectus in one or more offerings with an aggregate offering price of up to $50,000,000 as described in this prospectus. This prospectus describes the general manner in which we may offer the securities described in this prospectus. Each time we sell securities pursuant to the registration statement we will provide a prospectus supplement that will contain specific information about the offering and the securities offered, and may also add, update or change information contained in this prospectus. We may also authorize one or more free writing prospectuses to be provided to you that may contain material information relating to these offerings. If there is any inconsistency between information in this prospectus and any accompanying prospectus supplement or free writing prospectus, you should rely on the information in the most recent applicable prospectus supplement or free writing prospectus and documents incorporated by reference herein and therein. This prospectus may not be used to offer to sell, solicit an offer to buy or consummate a sale of our securities unless it is accompanied by a prospectus supplement.</w:t>
      </w:r>
    </w:p>
    <w:p>
      <w:pPr>
        <w:spacing w:after="0" w:line="1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This prospectus, together with any accompanying prospectus supplement (and any applicable free writing prospectuses), contains important information</w:t>
      </w:r>
    </w:p>
    <w:p>
      <w:pPr>
        <w:spacing w:after="0" w:line="3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you should know before investing in our securities, including important information about us and the securities being offered. You should carefully read</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these documents, as well as the additional information contained in the documents described under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 xml:space="preserve"> and</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Incorporation of Certain Information by Reference</w:t>
      </w:r>
      <w:r>
        <w:rPr>
          <w:rFonts w:ascii="Times New Roman" w:cs="Times New Roman" w:eastAsia="Times New Roman" w:hAnsi="Times New Roman"/>
          <w:sz w:val="14"/>
          <w:szCs w:val="14"/>
          <w:color w:val="auto"/>
        </w:rPr>
        <w:t>” in both this prospectus and the applicable prospectus supplement (and any applicable free writing</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prospectuses), and in particular the annual, quarterly and current reports and other documents we file with the SEC. Neither this prospectus nor any</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accompanying prospectus supplement or free writing prospectus is an offer to sell these securities or is soliciting an offer to buy these securities in any</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jurisdiction where the offer or sale is not permitted.</w:t>
      </w:r>
    </w:p>
    <w:p>
      <w:pPr>
        <w:spacing w:after="0" w:line="156" w:lineRule="exact"/>
        <w:rPr>
          <w:sz w:val="20"/>
          <w:szCs w:val="20"/>
          <w:color w:val="auto"/>
        </w:rPr>
      </w:pPr>
    </w:p>
    <w:p>
      <w:pPr>
        <w:ind w:left="1400" w:right="319"/>
        <w:spacing w:after="0" w:line="251" w:lineRule="auto"/>
        <w:rPr>
          <w:sz w:val="20"/>
          <w:szCs w:val="20"/>
          <w:color w:val="auto"/>
        </w:rPr>
      </w:pPr>
      <w:r>
        <w:rPr>
          <w:rFonts w:ascii="Times New Roman" w:cs="Times New Roman" w:eastAsia="Times New Roman" w:hAnsi="Times New Roman"/>
          <w:sz w:val="14"/>
          <w:szCs w:val="14"/>
          <w:color w:val="auto"/>
        </w:rPr>
        <w:t>You should rely only on the information contained or incorporated by reference in this prospectus and in any applicable prospectus supplement to this prospectus or free writing prospectus. We have not authorized any other person to provide you with different or additional information. If anyone provides you with different, additional or inconsistent information, you should not rely on it. We do not take responsibility for, and can provide no assurance as to the reliability of, any other information that others may give you. You should assume that the information appearing in this prospectus, any applicable prospectus supplement or any free writing prospectus we authorize to be delivered to you is accurate only as of the date of that document or any other date set forth in that document. Additionally, any information we have incorporated by reference in this prospectus or in any applicable prospectus supplement is accurate only as of the date of the document incorporated by reference or other date set forth in that document, regardless of the time of delivery of this prospectus, any applicable prospectus supplement or any sale of securities. Our business, financial condition, results of operations, cash flow and prospects may have changed since that date.</w:t>
      </w:r>
    </w:p>
    <w:p>
      <w:pPr>
        <w:spacing w:after="0" w:line="145" w:lineRule="exact"/>
        <w:rPr>
          <w:sz w:val="20"/>
          <w:szCs w:val="20"/>
          <w:color w:val="auto"/>
        </w:rPr>
      </w:pPr>
    </w:p>
    <w:p>
      <w:pPr>
        <w:ind w:left="1400" w:right="279"/>
        <w:spacing w:after="0" w:line="238" w:lineRule="auto"/>
        <w:rPr>
          <w:sz w:val="20"/>
          <w:szCs w:val="20"/>
          <w:color w:val="auto"/>
        </w:rPr>
      </w:pPr>
      <w:r>
        <w:rPr>
          <w:rFonts w:ascii="Times New Roman" w:cs="Times New Roman" w:eastAsia="Times New Roman" w:hAnsi="Times New Roman"/>
          <w:sz w:val="14"/>
          <w:szCs w:val="14"/>
          <w:color w:val="auto"/>
        </w:rPr>
        <w:t xml:space="preserve">This prospectus, any applicable prospectus supplement, any applicable free writing prospectus and the information incorporated herein or therein by reference contains market data, industry statistics and other data that have been obtained or compiled from information made available by independent third parties. We have not independently verified the accuracy and completeness of such data. This prospectus, any applicable prospectus supplement, any applicable free writing prospectus and the information incorporated herein or therein by reference include trademarks, service marks and trade names owned by us or other companies. Solely for convenience, we may refer to our trademarks included or incorporated by reference in this prospectus, any applicable prospectus supplement or any free writing prospectus without the TM or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symbols, but any such references are not intended to indicate that we will not assert, to the fullest extent permitted under applicable law, our rights to our trademarks or other intellectual property. All trademarks, service marks and trade names included or incorporated by reference in this prospectus, any applicable prospectus supplement or any related free writing prospectus are the property of their respective owners.</w:t>
      </w:r>
    </w:p>
    <w:p>
      <w:pPr>
        <w:spacing w:after="0" w:line="10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2"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739"/>
        <w:spacing w:after="0" w:line="277" w:lineRule="auto"/>
        <w:rPr>
          <w:sz w:val="20"/>
          <w:szCs w:val="20"/>
          <w:color w:val="auto"/>
        </w:rPr>
      </w:pPr>
      <w:r>
        <w:rPr>
          <w:rFonts w:ascii="Times New Roman" w:cs="Times New Roman" w:eastAsia="Times New Roman" w:hAnsi="Times New Roman"/>
          <w:sz w:val="14"/>
          <w:szCs w:val="14"/>
          <w:color w:val="auto"/>
        </w:rPr>
        <w:t>When used in this prospectus, the terms “Company,” “Magnachip,” “we,” “us” and “our” refer to Magnachip Semiconductor Corporation and its consolidated subsidiaries unless otherwise specified or the context otherwise requires.</w:t>
      </w:r>
    </w:p>
    <w:p>
      <w:pPr>
        <w:spacing w:after="0" w:line="7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2"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73" w:lineRule="exact"/>
        <w:rPr>
          <w:sz w:val="20"/>
          <w:szCs w:val="20"/>
          <w:color w:val="auto"/>
        </w:rPr>
      </w:pPr>
    </w:p>
    <w:p>
      <w:pPr>
        <w:ind w:left="1400" w:right="299"/>
        <w:spacing w:after="0" w:line="253" w:lineRule="auto"/>
        <w:rPr>
          <w:sz w:val="20"/>
          <w:szCs w:val="20"/>
          <w:color w:val="auto"/>
        </w:rPr>
      </w:pPr>
      <w:r>
        <w:rPr>
          <w:rFonts w:ascii="Times New Roman" w:cs="Times New Roman" w:eastAsia="Times New Roman" w:hAnsi="Times New Roman"/>
          <w:sz w:val="14"/>
          <w:szCs w:val="14"/>
          <w:color w:val="auto"/>
        </w:rPr>
        <w:t>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prospectus and any accompanying prospectus supplement or free writing prospectus that address activities, events or developments that we expect, believe or anticipate will or may occur in the future are forward-looking statements.</w:t>
      </w:r>
    </w:p>
    <w:p>
      <w:pPr>
        <w:spacing w:after="0" w:line="144" w:lineRule="exact"/>
        <w:rPr>
          <w:sz w:val="20"/>
          <w:szCs w:val="20"/>
          <w:color w:val="auto"/>
        </w:rPr>
      </w:pPr>
    </w:p>
    <w:p>
      <w:pPr>
        <w:ind w:left="1400" w:right="299"/>
        <w:spacing w:after="0" w:line="250" w:lineRule="auto"/>
        <w:rPr>
          <w:sz w:val="20"/>
          <w:szCs w:val="20"/>
          <w:color w:val="auto"/>
        </w:rPr>
      </w:pPr>
      <w:r>
        <w:rPr>
          <w:rFonts w:ascii="Times New Roman" w:cs="Times New Roman" w:eastAsia="Times New Roman" w:hAnsi="Times New Roman"/>
          <w:sz w:val="14"/>
          <w:szCs w:val="14"/>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Actual results or events could differ materially from the plans, intentions and expectations disclosed in the forward-looking statements we make. Management cautions all readers that the forward-looking statements contained in this prospectus, or any accompanying prospectus supplement, are not guarantees of future performance, and we cannot assure any reader that those statements will be realized or the forward-looking events and circumstances will occur. Our future financial condition and results of operations, as well as any forward-looking statements, are subject to inherent risks and uncertainties, including, but not limited to, those described under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 this prospectus, any applicable prospectus supplement and any related free writing prospectus, and in any other documents incorporated herein or therein (including in our most recent annual report on Form 10-K, subsequent quarterly reports on Form 10-Q and other filings we make with the SEC pursuant to Section 13(a), 13(c), 14 or 15(d) of the Exchange Act).</w:t>
      </w:r>
    </w:p>
    <w:p>
      <w:pPr>
        <w:spacing w:after="0" w:line="147" w:lineRule="exact"/>
        <w:rPr>
          <w:sz w:val="20"/>
          <w:szCs w:val="20"/>
          <w:color w:val="auto"/>
        </w:rPr>
      </w:pPr>
    </w:p>
    <w:p>
      <w:pPr>
        <w:ind w:left="1400" w:right="499"/>
        <w:spacing w:after="0" w:line="277" w:lineRule="auto"/>
        <w:rPr>
          <w:sz w:val="20"/>
          <w:szCs w:val="20"/>
          <w:color w:val="auto"/>
        </w:rPr>
      </w:pPr>
      <w:r>
        <w:rPr>
          <w:rFonts w:ascii="Times New Roman" w:cs="Times New Roman" w:eastAsia="Times New Roman" w:hAnsi="Times New Roman"/>
          <w:sz w:val="14"/>
          <w:szCs w:val="14"/>
          <w:color w:val="auto"/>
        </w:rPr>
        <w:t>All forward-looking statements and reasons why results may differ included in this prospectus or incorporated by reference herein are made as of the date hereof and we do not intend to update any forward-looking statements except as required by law or applicable regulations.</w:t>
      </w:r>
    </w:p>
    <w:p>
      <w:pPr>
        <w:spacing w:after="0" w:line="7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2"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895350</wp:posOffset>
            </wp:positionH>
            <wp:positionV relativeFrom="paragraph">
              <wp:posOffset>162560</wp:posOffset>
            </wp:positionV>
            <wp:extent cx="5384165" cy="45072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84165" cy="4507230"/>
                    </a:xfrm>
                    <a:prstGeom prst="rect">
                      <a:avLst/>
                    </a:prstGeom>
                    <a:noFill/>
                  </pic:spPr>
                </pic:pic>
              </a:graphicData>
            </a:graphic>
          </wp:anchor>
        </w:drawing>
      </w:r>
    </w:p>
    <w:p>
      <w:pPr>
        <w:spacing w:after="0" w:line="35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71" w:lineRule="exact"/>
        <w:rPr>
          <w:sz w:val="20"/>
          <w:szCs w:val="20"/>
          <w:color w:val="auto"/>
        </w:rPr>
      </w:pPr>
    </w:p>
    <w:p>
      <w:pPr>
        <w:ind w:left="1540" w:right="599"/>
        <w:spacing w:after="0" w:line="264" w:lineRule="auto"/>
        <w:rPr>
          <w:sz w:val="20"/>
          <w:szCs w:val="20"/>
          <w:color w:val="auto"/>
        </w:rPr>
      </w:pPr>
      <w:r>
        <w:rPr>
          <w:rFonts w:ascii="Times New Roman" w:cs="Times New Roman" w:eastAsia="Times New Roman" w:hAnsi="Times New Roman"/>
          <w:sz w:val="14"/>
          <w:szCs w:val="14"/>
          <w:i w:val="1"/>
          <w:iCs w:val="1"/>
          <w:color w:val="auto"/>
        </w:rPr>
        <w:t>The following highlights information about us and our business contained elsewhere or incorporated by reference in this prospectus. It is not complete and does not contain all of the information that you should consider before investing in any of our securities. You should carefully read this prospectus together with the more detailed information incorporated by reference in this prospectus.</w:t>
      </w:r>
    </w:p>
    <w:p>
      <w:pPr>
        <w:spacing w:after="0" w:line="21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0" w:lineRule="exact"/>
        <w:rPr>
          <w:sz w:val="20"/>
          <w:szCs w:val="20"/>
          <w:color w:val="auto"/>
        </w:rPr>
      </w:pPr>
    </w:p>
    <w:p>
      <w:pPr>
        <w:ind w:left="1540" w:right="499"/>
        <w:spacing w:after="0" w:line="257" w:lineRule="auto"/>
        <w:rPr>
          <w:sz w:val="20"/>
          <w:szCs w:val="20"/>
          <w:color w:val="auto"/>
        </w:rPr>
      </w:pPr>
      <w:r>
        <w:rPr>
          <w:rFonts w:ascii="Times New Roman" w:cs="Times New Roman" w:eastAsia="Times New Roman" w:hAnsi="Times New Roman"/>
          <w:sz w:val="14"/>
          <w:szCs w:val="14"/>
          <w:color w:val="auto"/>
        </w:rPr>
        <w:t>We are a designer and manufacturer of analog and mixed-signal power semiconductor platform solutions for various applications, including industrial, automotive, communication, consumer and computing. We provide a broad range of standard products to customers worldwide. We, with about 45 years of operating history, own a substantial number of registered patents and pending applications, and have extensive engineering, design and manufacturing process expertise.</w:t>
      </w:r>
    </w:p>
    <w:p>
      <w:pPr>
        <w:spacing w:after="0" w:line="141" w:lineRule="exact"/>
        <w:rPr>
          <w:sz w:val="20"/>
          <w:szCs w:val="20"/>
          <w:color w:val="auto"/>
        </w:rPr>
      </w:pPr>
    </w:p>
    <w:p>
      <w:pPr>
        <w:ind w:left="1540" w:right="579"/>
        <w:spacing w:after="0" w:line="283" w:lineRule="auto"/>
        <w:rPr>
          <w:sz w:val="20"/>
          <w:szCs w:val="20"/>
          <w:color w:val="auto"/>
        </w:rPr>
      </w:pPr>
      <w:r>
        <w:rPr>
          <w:rFonts w:ascii="Times New Roman" w:cs="Times New Roman" w:eastAsia="Times New Roman" w:hAnsi="Times New Roman"/>
          <w:sz w:val="13"/>
          <w:szCs w:val="13"/>
          <w:color w:val="auto"/>
        </w:rPr>
        <w:t>We develop and manufacture Power discrete, or Power Analog Solutions, products and develop Power integrated circuit, or IC, products. Power Analog Solutions products include metal oxide semiconductor field effect transistors and insulated-gate bipolar transistors for a range of devices, including televisions, smartphones, mobile phones, wearable devices, desktop PCs, notebook PCs, tablet PCs, home appliance, other consumer electronics, automotive and industrial applications such as power suppliers, e-bikes, photovoltaic inverters, LED lighting and motor drives.</w:t>
      </w:r>
    </w:p>
    <w:p>
      <w:pPr>
        <w:spacing w:after="0" w:line="125" w:lineRule="exact"/>
        <w:rPr>
          <w:sz w:val="20"/>
          <w:szCs w:val="20"/>
          <w:color w:val="auto"/>
        </w:rPr>
      </w:pPr>
    </w:p>
    <w:p>
      <w:pPr>
        <w:ind w:left="1540" w:right="779"/>
        <w:spacing w:after="0" w:line="262" w:lineRule="auto"/>
        <w:rPr>
          <w:sz w:val="20"/>
          <w:szCs w:val="20"/>
          <w:color w:val="auto"/>
        </w:rPr>
      </w:pPr>
      <w:r>
        <w:rPr>
          <w:rFonts w:ascii="Times New Roman" w:cs="Times New Roman" w:eastAsia="Times New Roman" w:hAnsi="Times New Roman"/>
          <w:sz w:val="14"/>
          <w:szCs w:val="14"/>
          <w:color w:val="auto"/>
        </w:rPr>
        <w:t>Our Power IC products provide Power IC solutions to major television suppliers and large panel display suppliers. These products include AC-DC/DC-DC converters, LED drivers, regulators, power management integrated circuits and level shifter for a range of devices, including televisions, wearable devices, notebooks, tablet PCs and other consumer electronics, as well as automotive applications.</w:t>
      </w:r>
    </w:p>
    <w:p>
      <w:pPr>
        <w:spacing w:after="0" w:line="137" w:lineRule="exact"/>
        <w:rPr>
          <w:sz w:val="20"/>
          <w:szCs w:val="20"/>
          <w:color w:val="auto"/>
        </w:rPr>
      </w:pPr>
    </w:p>
    <w:p>
      <w:pPr>
        <w:ind w:left="1540" w:right="499"/>
        <w:spacing w:after="0" w:line="253" w:lineRule="auto"/>
        <w:rPr>
          <w:sz w:val="20"/>
          <w:szCs w:val="20"/>
          <w:color w:val="auto"/>
        </w:rPr>
      </w:pPr>
      <w:r>
        <w:rPr>
          <w:rFonts w:ascii="Times New Roman" w:cs="Times New Roman" w:eastAsia="Times New Roman" w:hAnsi="Times New Roman"/>
          <w:sz w:val="14"/>
          <w:szCs w:val="14"/>
          <w:color w:val="auto"/>
        </w:rPr>
        <w:t>Our wide variety of analog and mixed-signal power semiconductor products combined with our mature technology platform allow us to address multiple high-growth end markets and rapidly develop and introduce new products and services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 Substantially all of our Power IC products are produced using an external foundry. Through strategic cooperation with an external foundry, we seek to ensure we outsource wafers at competitive prices and produce quality products.</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Corporate History and Information</w:t>
      </w:r>
    </w:p>
    <w:p>
      <w:pPr>
        <w:spacing w:after="0" w:line="90" w:lineRule="exact"/>
        <w:rPr>
          <w:sz w:val="20"/>
          <w:szCs w:val="20"/>
          <w:color w:val="auto"/>
        </w:rPr>
      </w:pPr>
    </w:p>
    <w:p>
      <w:pPr>
        <w:jc w:val="both"/>
        <w:ind w:left="1540" w:right="539"/>
        <w:spacing w:after="0" w:line="262" w:lineRule="auto"/>
        <w:rPr>
          <w:sz w:val="20"/>
          <w:szCs w:val="20"/>
          <w:color w:val="auto"/>
        </w:rPr>
      </w:pPr>
      <w:r>
        <w:rPr>
          <w:rFonts w:ascii="Times New Roman" w:cs="Times New Roman" w:eastAsia="Times New Roman" w:hAnsi="Times New Roman"/>
          <w:sz w:val="14"/>
          <w:szCs w:val="14"/>
          <w:color w:val="auto"/>
        </w:rPr>
        <w:t>Our business was named “MagnaChip Semiconductor” when it was acquired from SK hynix Inc., formerly known as Hynix Semiconductor, Inc., in October 2004. On March 10, 2011, we completed our initial public offering. In connection with our initial public offering, we converted from a Delaware limited liability company to a Delaware corporation.</w:t>
      </w:r>
    </w:p>
    <w:p>
      <w:pPr>
        <w:spacing w:after="0" w:line="137" w:lineRule="exact"/>
        <w:rPr>
          <w:sz w:val="20"/>
          <w:szCs w:val="20"/>
          <w:color w:val="auto"/>
        </w:rPr>
      </w:pPr>
    </w:p>
    <w:p>
      <w:pPr>
        <w:ind w:left="1540" w:right="439"/>
        <w:spacing w:after="0" w:line="253" w:lineRule="auto"/>
        <w:rPr>
          <w:sz w:val="20"/>
          <w:szCs w:val="20"/>
          <w:color w:val="auto"/>
        </w:rPr>
      </w:pPr>
      <w:r>
        <w:rPr>
          <w:rFonts w:ascii="Times New Roman" w:cs="Times New Roman" w:eastAsia="Times New Roman" w:hAnsi="Times New Roman"/>
          <w:sz w:val="14"/>
          <w:szCs w:val="14"/>
          <w:color w:val="auto"/>
        </w:rPr>
        <w:t xml:space="preserve">Our principal executive office is located at: 15F, 76, Jikji-daero 436beon-gil, Heungdeok-gu, Cheongju-si, Chungcheongbuk-do, 28581, Republic of Korea, our email address is </w:t>
      </w:r>
      <w:r>
        <w:rPr>
          <w:rFonts w:ascii="Times New Roman" w:cs="Times New Roman" w:eastAsia="Times New Roman" w:hAnsi="Times New Roman"/>
          <w:sz w:val="14"/>
          <w:szCs w:val="14"/>
          <w:i w:val="1"/>
          <w:iCs w:val="1"/>
          <w:color w:val="auto"/>
        </w:rPr>
        <w:t>investors@magnachip.com</w:t>
      </w:r>
      <w:r>
        <w:rPr>
          <w:rFonts w:ascii="Times New Roman" w:cs="Times New Roman" w:eastAsia="Times New Roman" w:hAnsi="Times New Roman"/>
          <w:sz w:val="14"/>
          <w:szCs w:val="14"/>
          <w:color w:val="auto"/>
        </w:rPr>
        <w:t xml:space="preserve">, and our telephone number is +82 (2) 6903-3000. Our website address is </w:t>
      </w:r>
      <w:r>
        <w:rPr>
          <w:rFonts w:ascii="Times New Roman" w:cs="Times New Roman" w:eastAsia="Times New Roman" w:hAnsi="Times New Roman"/>
          <w:sz w:val="14"/>
          <w:szCs w:val="14"/>
          <w:i w:val="1"/>
          <w:iCs w:val="1"/>
          <w:color w:val="auto"/>
        </w:rPr>
        <w:t>www.magnachip.com</w:t>
      </w:r>
      <w:r>
        <w:rPr>
          <w:rFonts w:ascii="Times New Roman" w:cs="Times New Roman" w:eastAsia="Times New Roman" w:hAnsi="Times New Roman"/>
          <w:sz w:val="14"/>
          <w:szCs w:val="14"/>
          <w:color w:val="auto"/>
        </w:rPr>
        <w:t>. We do not incorporate the information on or accessible through our website into this prospectus, and you should not consider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any information on, or that can be accessed through, our website a part of this prospectus or incorporated by reference herein. For further information regarding us and our financial information, you should refer to our recent filings with the SEC. See “</w:t>
      </w:r>
      <w:r>
        <w:rPr>
          <w:rFonts w:ascii="Times New Roman" w:cs="Times New Roman" w:eastAsia="Times New Roman" w:hAnsi="Times New Roman"/>
          <w:sz w:val="14"/>
          <w:szCs w:val="14"/>
          <w:i w:val="1"/>
          <w:iCs w:val="1"/>
          <w:color w:val="auto"/>
        </w:rPr>
        <w:t>Where You Can Find More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Information</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Incorporation of Certain Information by Reference</w:t>
      </w:r>
      <w:r>
        <w:rPr>
          <w:rFonts w:ascii="Times New Roman" w:cs="Times New Roman" w:eastAsia="Times New Roman" w:hAnsi="Times New Roman"/>
          <w:sz w:val="14"/>
          <w:szCs w:val="14"/>
          <w:color w:val="auto"/>
        </w:rPr>
        <w:t>.”</w:t>
      </w:r>
    </w:p>
    <w:p>
      <w:pPr>
        <w:spacing w:after="0" w:line="23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2"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895350</wp:posOffset>
            </wp:positionH>
            <wp:positionV relativeFrom="paragraph">
              <wp:posOffset>162560</wp:posOffset>
            </wp:positionV>
            <wp:extent cx="5384165" cy="15024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84165" cy="1502410"/>
                    </a:xfrm>
                    <a:prstGeom prst="rect">
                      <a:avLst/>
                    </a:prstGeom>
                    <a:noFill/>
                  </pic:spPr>
                </pic:pic>
              </a:graphicData>
            </a:graphic>
          </wp:anchor>
        </w:drawing>
      </w:r>
    </w:p>
    <w:p>
      <w:pPr>
        <w:spacing w:after="0" w:line="35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New York Stock Exchange Listing</w:t>
      </w:r>
    </w:p>
    <w:p>
      <w:pPr>
        <w:spacing w:after="0" w:line="90" w:lineRule="exact"/>
        <w:rPr>
          <w:sz w:val="20"/>
          <w:szCs w:val="20"/>
          <w:color w:val="auto"/>
        </w:rPr>
      </w:pPr>
    </w:p>
    <w:p>
      <w:pPr>
        <w:ind w:left="1540" w:right="479"/>
        <w:spacing w:after="0" w:line="262" w:lineRule="auto"/>
        <w:rPr>
          <w:sz w:val="20"/>
          <w:szCs w:val="20"/>
          <w:color w:val="auto"/>
        </w:rPr>
      </w:pPr>
      <w:r>
        <w:rPr>
          <w:rFonts w:ascii="Times New Roman" w:cs="Times New Roman" w:eastAsia="Times New Roman" w:hAnsi="Times New Roman"/>
          <w:sz w:val="14"/>
          <w:szCs w:val="14"/>
          <w:color w:val="auto"/>
        </w:rPr>
        <w:t>Our common stock is listed on the New York Stock Exchange under the symbol “MX.” The applicable prospectus supplement will contain information, where applicable, as to other listings, if any, on the New York Stock Exchange or any other securities market or other exchange of the securities covered by the applicable prospectus supplement.</w:t>
      </w:r>
    </w:p>
    <w:p>
      <w:pPr>
        <w:spacing w:after="0" w:line="2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Implications of Being a Smaller Reporting Company</w:t>
      </w:r>
    </w:p>
    <w:p>
      <w:pPr>
        <w:spacing w:after="0" w:line="90" w:lineRule="exact"/>
        <w:rPr>
          <w:sz w:val="20"/>
          <w:szCs w:val="20"/>
          <w:color w:val="auto"/>
        </w:rPr>
      </w:pPr>
    </w:p>
    <w:p>
      <w:pPr>
        <w:ind w:left="1540" w:right="439"/>
        <w:spacing w:after="0" w:line="255" w:lineRule="auto"/>
        <w:rPr>
          <w:sz w:val="20"/>
          <w:szCs w:val="20"/>
          <w:color w:val="auto"/>
        </w:rPr>
      </w:pPr>
      <w:r>
        <w:rPr>
          <w:rFonts w:ascii="Times New Roman" w:cs="Times New Roman" w:eastAsia="Times New Roman" w:hAnsi="Times New Roman"/>
          <w:sz w:val="14"/>
          <w:szCs w:val="14"/>
          <w:color w:val="auto"/>
        </w:rPr>
        <w:t>We are a “smaller reporting company” as defined in the Exchange Act. We may take advantage of certain of the scaled disclosures available to smaller reporting companies until the fiscal year following the determination that our voting and non-voting common stock held by non-affiliates is more than $250 million measured on the last business day of our second fiscal quarter, or our annual revenues are less than $100 million during the most recently completed fiscal year and our voting and non-voting common stock held by non-affiliates is more than $700 million measured on the last business day of our second fiscal quarter.</w:t>
      </w:r>
    </w:p>
    <w:p>
      <w:pPr>
        <w:spacing w:after="0" w:line="23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2"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3" w:lineRule="exact"/>
        <w:rPr>
          <w:sz w:val="20"/>
          <w:szCs w:val="20"/>
          <w:color w:val="auto"/>
        </w:rPr>
      </w:pPr>
    </w:p>
    <w:p>
      <w:pPr>
        <w:ind w:left="1400" w:right="299"/>
        <w:spacing w:after="0" w:line="251" w:lineRule="auto"/>
        <w:rPr>
          <w:sz w:val="20"/>
          <w:szCs w:val="20"/>
          <w:color w:val="auto"/>
        </w:rPr>
      </w:pPr>
      <w:r>
        <w:rPr>
          <w:rFonts w:ascii="Times New Roman" w:cs="Times New Roman" w:eastAsia="Times New Roman" w:hAnsi="Times New Roman"/>
          <w:sz w:val="14"/>
          <w:szCs w:val="14"/>
          <w:color w:val="auto"/>
        </w:rPr>
        <w:t>Investing in our securities involves a high degree of risk. You should carefully consider the risks and uncertainties described under “Risk Factors” in our most recent annual report on Form 10-K as supplemented or updated in our most recent quarterly report on Form 10-Q, any current report on Form 8-K, as well as any accompanying prospectus supplement or related free writing prospectus, together with all of the other information included or incorporated by reference in this prospectus and in any accompanying prospectus supplement or related free writing prospectus, as updated by our annual or quarterly reports for subsequent fiscal years or fiscal quarters that we file with the SEC and that are so incorporated. See “</w:t>
      </w:r>
      <w:r>
        <w:rPr>
          <w:rFonts w:ascii="Times New Roman" w:cs="Times New Roman" w:eastAsia="Times New Roman" w:hAnsi="Times New Roman"/>
          <w:sz w:val="14"/>
          <w:szCs w:val="14"/>
          <w:i w:val="1"/>
          <w:iCs w:val="1"/>
          <w:color w:val="auto"/>
        </w:rPr>
        <w:t>Where You Can Find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More Information</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Incorporation of Certain Information by Reference</w:t>
      </w:r>
      <w:r>
        <w:rPr>
          <w:rFonts w:ascii="Times New Roman" w:cs="Times New Roman" w:eastAsia="Times New Roman" w:hAnsi="Times New Roman"/>
          <w:sz w:val="14"/>
          <w:szCs w:val="14"/>
          <w:color w:val="auto"/>
        </w:rPr>
        <w:t>” for information about how to obtain a copy of these documents. You</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should also carefully consider the risks and other information that may be contained in, or incorporated by reference into, any prospectus supplement or free writing prospectus relating to specific offerings of securities.</w:t>
      </w:r>
    </w:p>
    <w:p>
      <w:pPr>
        <w:spacing w:after="0" w:line="148" w:lineRule="exact"/>
        <w:rPr>
          <w:sz w:val="20"/>
          <w:szCs w:val="20"/>
          <w:color w:val="auto"/>
        </w:rPr>
      </w:pPr>
    </w:p>
    <w:p>
      <w:pPr>
        <w:ind w:left="1400" w:right="399"/>
        <w:spacing w:after="0" w:line="255" w:lineRule="auto"/>
        <w:rPr>
          <w:sz w:val="20"/>
          <w:szCs w:val="20"/>
          <w:color w:val="auto"/>
        </w:rPr>
      </w:pPr>
      <w:r>
        <w:rPr>
          <w:rFonts w:ascii="Times New Roman" w:cs="Times New Roman" w:eastAsia="Times New Roman" w:hAnsi="Times New Roman"/>
          <w:sz w:val="14"/>
          <w:szCs w:val="14"/>
          <w:color w:val="auto"/>
        </w:rPr>
        <w:t>If any of these risks actually occurs, our business, results of operations and financial condition could suffer. In that case, the trading price of our securities could decline, and you could lose all or part of your investment. Additional risks and uncertainties not currently known to us, or that we currently believe are immaterial, may also adversely affect our business, operating results and financial condition and the value of an investment in our securities. In addition, past financial performance may not be a reliable indicator of future performance, and historical trends should not be used to anticipate results or trends in future periods.</w:t>
      </w:r>
    </w:p>
    <w:p>
      <w:pPr>
        <w:spacing w:after="0" w:line="8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2"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3" w:lineRule="exact"/>
        <w:rPr>
          <w:sz w:val="20"/>
          <w:szCs w:val="20"/>
          <w:color w:val="auto"/>
        </w:rPr>
      </w:pPr>
    </w:p>
    <w:p>
      <w:pPr>
        <w:ind w:left="1400" w:right="319"/>
        <w:spacing w:after="0" w:line="255" w:lineRule="auto"/>
        <w:rPr>
          <w:sz w:val="20"/>
          <w:szCs w:val="20"/>
          <w:color w:val="auto"/>
        </w:rPr>
      </w:pPr>
      <w:r>
        <w:rPr>
          <w:rFonts w:ascii="Times New Roman" w:cs="Times New Roman" w:eastAsia="Times New Roman" w:hAnsi="Times New Roman"/>
          <w:sz w:val="14"/>
          <w:szCs w:val="14"/>
          <w:color w:val="auto"/>
        </w:rPr>
        <w:t>Unless otherwise described in the applicable prospectus supplement or in any free writing prospectus we have authorized for use in connection with a specific offering, we intend to use the net proceeds from the sale of any securities described in this prospectus for general corporate purposes, which may include working capital and capital expenditures, research and development expenses, general and administrative expenses and other general corporate purposes. We may also use net proceeds to fund potential acquisitions of, or investments in, complementary businesses, products, services and technologies. We have not entered into any agreements or commitments with respect to any material acquisitions or investments at this time.</w:t>
      </w:r>
    </w:p>
    <w:p>
      <w:pPr>
        <w:spacing w:after="0" w:line="141" w:lineRule="exact"/>
        <w:rPr>
          <w:sz w:val="20"/>
          <w:szCs w:val="20"/>
          <w:color w:val="auto"/>
        </w:rPr>
      </w:pPr>
    </w:p>
    <w:p>
      <w:pPr>
        <w:ind w:left="1400" w:right="459"/>
        <w:spacing w:after="0" w:line="279" w:lineRule="auto"/>
        <w:rPr>
          <w:sz w:val="20"/>
          <w:szCs w:val="20"/>
          <w:color w:val="auto"/>
        </w:rPr>
      </w:pPr>
      <w:r>
        <w:rPr>
          <w:rFonts w:ascii="Times New Roman" w:cs="Times New Roman" w:eastAsia="Times New Roman" w:hAnsi="Times New Roman"/>
          <w:sz w:val="13"/>
          <w:szCs w:val="13"/>
          <w:color w:val="auto"/>
        </w:rPr>
        <w:t>We may set forth additional information concerning our expected use of net proceeds from sales of securities in the applicable prospectus supplement relating to the specific offering. Pending use of net proceeds as described above, we may temporarily invest the net proceeds in a variety of capital preservation instruments, including high quality, investment grade instruments, certificates of deposit or direct or guaranteed obligations of the U.S. government, or may hold such proceeds as cash, until they are used for their stated purpose. We have not determined the amount of net proceeds to be used specifically for such purposes. As a result, management will retain broad discretion over the allocation of net proceeds.</w:t>
      </w:r>
    </w:p>
    <w:p>
      <w:pPr>
        <w:spacing w:after="0" w:line="7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2"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73" w:lineRule="exact"/>
        <w:rPr>
          <w:sz w:val="20"/>
          <w:szCs w:val="20"/>
          <w:color w:val="auto"/>
        </w:rPr>
      </w:pPr>
    </w:p>
    <w:p>
      <w:pPr>
        <w:ind w:left="1400" w:right="279"/>
        <w:spacing w:after="0" w:line="255" w:lineRule="auto"/>
        <w:rPr>
          <w:sz w:val="20"/>
          <w:szCs w:val="20"/>
          <w:color w:val="auto"/>
        </w:rPr>
      </w:pPr>
      <w:r>
        <w:rPr>
          <w:rFonts w:ascii="Times New Roman" w:cs="Times New Roman" w:eastAsia="Times New Roman" w:hAnsi="Times New Roman"/>
          <w:sz w:val="14"/>
          <w:szCs w:val="14"/>
          <w:color w:val="auto"/>
        </w:rPr>
        <w:t>We have never declared or paid any cash dividends on our capital stock. We do not anticipate paying any dividends on our capital stock in the foreseeable future. We currently intend to retain all available funds and any future earnings to fund the development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Investors should not purchase our common stock with the expectation of receiving cash dividends.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2"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GENERAL DESCRIPTION OF SECURITIES</w:t>
      </w:r>
    </w:p>
    <w:p>
      <w:pPr>
        <w:spacing w:after="0" w:line="173" w:lineRule="exact"/>
        <w:rPr>
          <w:sz w:val="20"/>
          <w:szCs w:val="20"/>
          <w:color w:val="auto"/>
        </w:rPr>
      </w:pPr>
    </w:p>
    <w:p>
      <w:pPr>
        <w:ind w:left="1400" w:right="359"/>
        <w:spacing w:after="0" w:line="253" w:lineRule="auto"/>
        <w:rPr>
          <w:sz w:val="20"/>
          <w:szCs w:val="20"/>
          <w:color w:val="auto"/>
        </w:rPr>
      </w:pPr>
      <w:r>
        <w:rPr>
          <w:rFonts w:ascii="Times New Roman" w:cs="Times New Roman" w:eastAsia="Times New Roman" w:hAnsi="Times New Roman"/>
          <w:sz w:val="14"/>
          <w:szCs w:val="14"/>
          <w:color w:val="auto"/>
        </w:rPr>
        <w:t>We may offer shares of our common stock or preferred stock, warrants or other rights to purchase common stock or preferred stock, or units consisting of combinations of the foregoing, either individually or in combination with other securities, in each case from time to time under this prospectus, together with the applicable prospectus supplement or any related free writing prospectus, at prices and on terms to be determined by market conditions at the time of offering. This prospectus provides you with a general description of the securities we may offer. At the time we offer a type or series of securities, we will provide a prospectus supplement describing the specific amounts, prices and other important terms of the securities, including, to the extent applicable:</w:t>
      </w:r>
    </w:p>
    <w:p>
      <w:pPr>
        <w:spacing w:after="0" w:line="72" w:lineRule="exact"/>
        <w:rPr>
          <w:sz w:val="20"/>
          <w:szCs w:val="20"/>
          <w:color w:val="auto"/>
        </w:rPr>
      </w:pPr>
    </w:p>
    <w:p>
      <w:pPr>
        <w:ind w:left="2160" w:hanging="335"/>
        <w:spacing w:after="0"/>
        <w:tabs>
          <w:tab w:leader="none" w:pos="21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designation or classification;</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offering price;</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or other rights;</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rates and times of payment of dividends or other payments;</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original issue discount;</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ranking;</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restrictive covenants;</w:t>
      </w:r>
    </w:p>
    <w:p>
      <w:pPr>
        <w:spacing w:after="0" w:line="98" w:lineRule="exact"/>
        <w:rPr>
          <w:rFonts w:ascii="Times New Roman" w:cs="Times New Roman" w:eastAsia="Times New Roman" w:hAnsi="Times New Roman"/>
          <w:sz w:val="14"/>
          <w:szCs w:val="14"/>
          <w:color w:val="auto"/>
        </w:rPr>
      </w:pPr>
    </w:p>
    <w:p>
      <w:pPr>
        <w:jc w:val="both"/>
        <w:ind w:left="2160" w:right="379" w:hanging="335"/>
        <w:spacing w:after="0" w:line="317" w:lineRule="auto"/>
        <w:tabs>
          <w:tab w:leader="none" w:pos="216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redemption, conversion, exercise, exchange, settlement or sinking fund terms, including prices or rates, and any provisions for changes to or adjustments in such prices or rates and in the securities or other property receivable upon conversion, exercise, exchange or settlement;</w:t>
      </w:r>
    </w:p>
    <w:p>
      <w:pPr>
        <w:spacing w:after="0" w:line="30" w:lineRule="exact"/>
        <w:rPr>
          <w:rFonts w:ascii="Times New Roman" w:cs="Times New Roman" w:eastAsia="Times New Roman" w:hAnsi="Times New Roman"/>
          <w:sz w:val="13"/>
          <w:szCs w:val="13"/>
          <w:color w:val="auto"/>
        </w:rPr>
      </w:pPr>
    </w:p>
    <w:p>
      <w:pPr>
        <w:ind w:left="2160" w:hanging="335"/>
        <w:spacing w:after="0"/>
        <w:tabs>
          <w:tab w:leader="none" w:pos="21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exchange or market listing arrangements; and</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important U.S. federal income tax considerations.</w:t>
      </w:r>
    </w:p>
    <w:p>
      <w:pPr>
        <w:spacing w:after="0" w:line="171" w:lineRule="exact"/>
        <w:rPr>
          <w:sz w:val="20"/>
          <w:szCs w:val="20"/>
          <w:color w:val="auto"/>
        </w:rPr>
      </w:pPr>
    </w:p>
    <w:p>
      <w:pPr>
        <w:jc w:val="both"/>
        <w:ind w:left="1400" w:right="319"/>
        <w:spacing w:after="0" w:line="262" w:lineRule="auto"/>
        <w:rPr>
          <w:sz w:val="20"/>
          <w:szCs w:val="20"/>
          <w:color w:val="auto"/>
        </w:rPr>
      </w:pPr>
      <w:r>
        <w:rPr>
          <w:rFonts w:ascii="Times New Roman" w:cs="Times New Roman" w:eastAsia="Times New Roman" w:hAnsi="Times New Roman"/>
          <w:sz w:val="14"/>
          <w:szCs w:val="14"/>
          <w:color w:val="auto"/>
        </w:rPr>
        <w:t>This prospectus may not be used to offer or sell securities unless accompanied by a prospectus supplement. The prospectus supplement may add, update or change any of the information contained in this prospectus or in the documents incorporated by reference in this prospectus. We urge you to read the prospectus supplement related to any securities being offered.</w:t>
      </w:r>
    </w:p>
    <w:p>
      <w:pPr>
        <w:spacing w:after="0" w:line="137" w:lineRule="exact"/>
        <w:rPr>
          <w:sz w:val="20"/>
          <w:szCs w:val="20"/>
          <w:color w:val="auto"/>
        </w:rPr>
      </w:pPr>
    </w:p>
    <w:p>
      <w:pPr>
        <w:ind w:left="1400" w:right="379"/>
        <w:spacing w:after="0" w:line="257" w:lineRule="auto"/>
        <w:rPr>
          <w:sz w:val="20"/>
          <w:szCs w:val="20"/>
          <w:color w:val="auto"/>
        </w:rPr>
      </w:pPr>
      <w:r>
        <w:rPr>
          <w:rFonts w:ascii="Times New Roman" w:cs="Times New Roman" w:eastAsia="Times New Roman" w:hAnsi="Times New Roman"/>
          <w:sz w:val="14"/>
          <w:szCs w:val="14"/>
          <w:color w:val="auto"/>
        </w:rPr>
        <w:t>We may sell the securities directly to investors or to or through underwriters, dealers or agents. We and our underwriters, dealers or agents reserve the right to accept or reject all or part of any proposed purchase of securities. If we do offer securities to or through underwriters or agents, we will include in the applicable prospectus supplement (a) the names of the underwriters or agents and applicable fees, discounts and commissions to be paid to them, (b) details regarding over-allotment options, if any, and (c) net proceeds to us, if any.</w:t>
      </w:r>
    </w:p>
    <w:p>
      <w:pPr>
        <w:spacing w:after="0" w:line="141" w:lineRule="exact"/>
        <w:rPr>
          <w:sz w:val="20"/>
          <w:szCs w:val="20"/>
          <w:color w:val="auto"/>
        </w:rPr>
      </w:pPr>
    </w:p>
    <w:p>
      <w:pPr>
        <w:ind w:left="1400" w:right="299"/>
        <w:spacing w:after="0" w:line="257" w:lineRule="auto"/>
        <w:rPr>
          <w:sz w:val="20"/>
          <w:szCs w:val="20"/>
          <w:color w:val="auto"/>
        </w:rPr>
      </w:pPr>
      <w:r>
        <w:rPr>
          <w:rFonts w:ascii="Times New Roman" w:cs="Times New Roman" w:eastAsia="Times New Roman" w:hAnsi="Times New Roman"/>
          <w:sz w:val="14"/>
          <w:szCs w:val="14"/>
          <w:color w:val="auto"/>
        </w:rPr>
        <w:t>The following descriptions are not complete and may not contain all the information you should consider before investing in any securities we may offer hereunder; they are summarized from, and qualified by reference to, our certificate of incorporation, as amended, or our Certificate of Incorporation, our amended and restated bylaws, or our Bylaws, and the other documents referred to in the descriptions, all of which are or will be publicly filed with the SEC, as applicable. See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2"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3" w:lineRule="exact"/>
        <w:rPr>
          <w:sz w:val="20"/>
          <w:szCs w:val="20"/>
          <w:color w:val="auto"/>
        </w:rPr>
      </w:pPr>
    </w:p>
    <w:p>
      <w:pPr>
        <w:ind w:left="1400" w:right="439"/>
        <w:spacing w:after="0" w:line="255" w:lineRule="auto"/>
        <w:rPr>
          <w:sz w:val="20"/>
          <w:szCs w:val="20"/>
          <w:color w:val="auto"/>
        </w:rPr>
      </w:pPr>
      <w:r>
        <w:rPr>
          <w:rFonts w:ascii="Times New Roman" w:cs="Times New Roman" w:eastAsia="Times New Roman" w:hAnsi="Times New Roman"/>
          <w:sz w:val="14"/>
          <w:szCs w:val="14"/>
          <w:color w:val="auto"/>
        </w:rPr>
        <w:t>The following summary description of our common stock and preferred stock, together with the additional information we include in any applicable prospectus supplements, summarizes the material terms and provisions of our common stock and preferred stock that we may offer under this prospectus. The following description of our common stock and preferred stock does not purport to be complete and is subject to, and qualified in its entirety by, our Certificate of Incorporation and our Bylaws, which are exhibits to the registration statement of which this prospectus forms a part, and by applicable law. The terms of our common stock and preferred stock may also be affected by Delaware law.</w:t>
      </w:r>
    </w:p>
    <w:p>
      <w:pPr>
        <w:spacing w:after="0" w:line="22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0" w:lineRule="exact"/>
        <w:rPr>
          <w:sz w:val="20"/>
          <w:szCs w:val="20"/>
          <w:color w:val="auto"/>
        </w:rPr>
      </w:pPr>
    </w:p>
    <w:p>
      <w:pPr>
        <w:ind w:left="1400" w:right="379"/>
        <w:spacing w:after="0" w:line="277" w:lineRule="auto"/>
        <w:rPr>
          <w:sz w:val="20"/>
          <w:szCs w:val="20"/>
          <w:color w:val="auto"/>
        </w:rPr>
      </w:pPr>
      <w:r>
        <w:rPr>
          <w:rFonts w:ascii="Times New Roman" w:cs="Times New Roman" w:eastAsia="Times New Roman" w:hAnsi="Times New Roman"/>
          <w:sz w:val="14"/>
          <w:szCs w:val="14"/>
          <w:color w:val="auto"/>
        </w:rPr>
        <w:t>Our Certificate of Incorporation provides that the Company may issue 155,000,000 shares of capital stock, of which 150,000,000 shares are designated as common stock, par value $0.01 per share, and 5,000,000 shares are designated as of preferred stock, par value $0.01 per share.</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8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Voting Rights</w:t>
      </w:r>
    </w:p>
    <w:p>
      <w:pPr>
        <w:spacing w:after="0" w:line="90" w:lineRule="exact"/>
        <w:rPr>
          <w:sz w:val="20"/>
          <w:szCs w:val="20"/>
          <w:color w:val="auto"/>
        </w:rPr>
      </w:pPr>
    </w:p>
    <w:p>
      <w:pPr>
        <w:ind w:left="1400" w:right="299"/>
        <w:spacing w:after="0" w:line="257" w:lineRule="auto"/>
        <w:rPr>
          <w:sz w:val="20"/>
          <w:szCs w:val="20"/>
          <w:color w:val="auto"/>
        </w:rPr>
      </w:pPr>
      <w:r>
        <w:rPr>
          <w:rFonts w:ascii="Times New Roman" w:cs="Times New Roman" w:eastAsia="Times New Roman" w:hAnsi="Times New Roman"/>
          <w:sz w:val="14"/>
          <w:szCs w:val="14"/>
          <w:color w:val="auto"/>
        </w:rPr>
        <w:t>Holders of our common stock are entitled to one vote for each share held of record on all matters submitted to a vote of the stockholders. Our stockholders do not have cumulative voting rights in the election of directors. Except as required by law or our Certificate of Incorporation and Bylaws, the vote of a majority of the shares represented in person or by proxy at any meeting at which a quorum is present will be sufficient for the transaction of any business at a meeting.</w:t>
      </w:r>
    </w:p>
    <w:p>
      <w:pPr>
        <w:spacing w:after="0" w:line="22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Dividends</w:t>
      </w:r>
    </w:p>
    <w:p>
      <w:pPr>
        <w:spacing w:after="0" w:line="90" w:lineRule="exact"/>
        <w:rPr>
          <w:sz w:val="20"/>
          <w:szCs w:val="20"/>
          <w:color w:val="auto"/>
        </w:rPr>
      </w:pPr>
    </w:p>
    <w:p>
      <w:pPr>
        <w:jc w:val="both"/>
        <w:ind w:left="1400" w:right="519"/>
        <w:spacing w:after="0" w:line="262" w:lineRule="auto"/>
        <w:rPr>
          <w:sz w:val="20"/>
          <w:szCs w:val="20"/>
          <w:color w:val="auto"/>
        </w:rPr>
      </w:pPr>
      <w:r>
        <w:rPr>
          <w:rFonts w:ascii="Times New Roman" w:cs="Times New Roman" w:eastAsia="Times New Roman" w:hAnsi="Times New Roman"/>
          <w:sz w:val="14"/>
          <w:szCs w:val="14"/>
          <w:color w:val="auto"/>
        </w:rPr>
        <w:t>Subject to preferences held by, or that may be granted to, any outstanding shares of preferred stock, holders of our common stock will be entitled to receive ratably those dividends as may be declared by our board of directors out of funds legally available for such distributions, as well as any other distributions made to our stockholders.</w:t>
      </w:r>
    </w:p>
    <w:p>
      <w:pPr>
        <w:spacing w:after="0" w:line="21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Other Rights</w:t>
      </w:r>
    </w:p>
    <w:p>
      <w:pPr>
        <w:spacing w:after="0" w:line="90" w:lineRule="exact"/>
        <w:rPr>
          <w:sz w:val="20"/>
          <w:szCs w:val="20"/>
          <w:color w:val="auto"/>
        </w:rPr>
      </w:pPr>
    </w:p>
    <w:p>
      <w:pPr>
        <w:ind w:left="1400" w:right="459"/>
        <w:spacing w:after="0" w:line="277" w:lineRule="auto"/>
        <w:rPr>
          <w:sz w:val="20"/>
          <w:szCs w:val="20"/>
          <w:color w:val="auto"/>
        </w:rPr>
      </w:pPr>
      <w:r>
        <w:rPr>
          <w:rFonts w:ascii="Times New Roman" w:cs="Times New Roman" w:eastAsia="Times New Roman" w:hAnsi="Times New Roman"/>
          <w:sz w:val="14"/>
          <w:szCs w:val="14"/>
          <w:color w:val="auto"/>
        </w:rPr>
        <w:t>In the event of our liquidation, dissolution or winding up, holders of our common stock are entitled to share ratably in all of our assets remaining after we pay our liabilities and any liquidation preferences granted to the holders of outstanding shares of preferred stock.</w:t>
      </w:r>
    </w:p>
    <w:p>
      <w:pPr>
        <w:spacing w:after="0" w:line="1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Holders of our common stock have no preemptive or other subscription or conversion rights.</w:t>
      </w:r>
    </w:p>
    <w:p>
      <w:pPr>
        <w:spacing w:after="0" w:line="17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There are no redemption or sinking fund provisions applicable to our common stock.</w:t>
      </w:r>
    </w:p>
    <w:p>
      <w:pPr>
        <w:spacing w:after="0" w:line="2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Exchange Listing</w:t>
      </w:r>
    </w:p>
    <w:p>
      <w:pPr>
        <w:spacing w:after="0" w:line="90" w:lineRule="exact"/>
        <w:rPr>
          <w:sz w:val="20"/>
          <w:szCs w:val="20"/>
          <w:color w:val="auto"/>
        </w:rPr>
      </w:pPr>
    </w:p>
    <w:p>
      <w:pPr>
        <w:ind w:left="1400" w:right="479"/>
        <w:spacing w:after="0" w:line="277" w:lineRule="auto"/>
        <w:rPr>
          <w:sz w:val="20"/>
          <w:szCs w:val="20"/>
          <w:color w:val="auto"/>
        </w:rPr>
      </w:pPr>
      <w:r>
        <w:rPr>
          <w:rFonts w:ascii="Times New Roman" w:cs="Times New Roman" w:eastAsia="Times New Roman" w:hAnsi="Times New Roman"/>
          <w:sz w:val="14"/>
          <w:szCs w:val="14"/>
          <w:color w:val="auto"/>
        </w:rPr>
        <w:t>Our common stock is listed on the New York Stock Exchange under the symbol “MX.” On June 11, 2026, the closing price for our common stock, as reported on the New York Stock Exchange, was $6.25 per share.</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Transfer Agent and Registrar</w:t>
      </w:r>
    </w:p>
    <w:p>
      <w:pPr>
        <w:spacing w:after="0" w:line="9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transfer agent and registrar for our common stock is Equiniti Trust Company, LLC.</w:t>
      </w:r>
    </w:p>
    <w:p>
      <w:pPr>
        <w:spacing w:after="0" w:line="2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90" w:lineRule="exact"/>
        <w:rPr>
          <w:sz w:val="20"/>
          <w:szCs w:val="20"/>
          <w:color w:val="auto"/>
        </w:rPr>
      </w:pPr>
    </w:p>
    <w:p>
      <w:pPr>
        <w:ind w:left="1400" w:right="299"/>
        <w:spacing w:after="0" w:line="277" w:lineRule="auto"/>
        <w:rPr>
          <w:sz w:val="20"/>
          <w:szCs w:val="20"/>
          <w:color w:val="auto"/>
        </w:rPr>
      </w:pPr>
      <w:r>
        <w:rPr>
          <w:rFonts w:ascii="Times New Roman" w:cs="Times New Roman" w:eastAsia="Times New Roman" w:hAnsi="Times New Roman"/>
          <w:sz w:val="14"/>
          <w:szCs w:val="14"/>
          <w:color w:val="auto"/>
        </w:rPr>
        <w:t>Our Certificate of Incorporation authorizes the issuance of 5,000,000 shares of blank check preferred stock with such designation, rights and preferences as may be determined from time to time by our board of directors.</w:t>
      </w:r>
    </w:p>
    <w:p>
      <w:pPr>
        <w:spacing w:after="0" w:line="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2"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jc w:val="both"/>
        <w:ind w:left="1400" w:right="379"/>
        <w:spacing w:after="0" w:line="262" w:lineRule="auto"/>
        <w:rPr>
          <w:sz w:val="20"/>
          <w:szCs w:val="20"/>
          <w:color w:val="auto"/>
        </w:rPr>
      </w:pPr>
      <w:r>
        <w:rPr>
          <w:rFonts w:ascii="Times New Roman" w:cs="Times New Roman" w:eastAsia="Times New Roman" w:hAnsi="Times New Roman"/>
          <w:sz w:val="14"/>
          <w:szCs w:val="14"/>
          <w:color w:val="auto"/>
        </w:rPr>
        <w:t>Accordingly, our board of directors is empowered, without stockholder approval, to issue preferred stock with dividend, liquidation, conversion, voting or other rights which could adversely affect the voting power or other rights of the holders of common stock. The preferred stock could be utilized as a method of discouraging, delaying or preventing a change in control of us.</w:t>
      </w:r>
    </w:p>
    <w:p>
      <w:pPr>
        <w:spacing w:after="0" w:line="137" w:lineRule="exact"/>
        <w:rPr>
          <w:sz w:val="20"/>
          <w:szCs w:val="20"/>
          <w:color w:val="auto"/>
        </w:rPr>
      </w:pPr>
    </w:p>
    <w:p>
      <w:pPr>
        <w:ind w:left="1400" w:right="479"/>
        <w:spacing w:after="0" w:line="255" w:lineRule="auto"/>
        <w:rPr>
          <w:sz w:val="20"/>
          <w:szCs w:val="20"/>
          <w:color w:val="auto"/>
        </w:rPr>
      </w:pPr>
      <w:r>
        <w:rPr>
          <w:rFonts w:ascii="Times New Roman" w:cs="Times New Roman" w:eastAsia="Times New Roman" w:hAnsi="Times New Roman"/>
          <w:sz w:val="14"/>
          <w:szCs w:val="14"/>
          <w:color w:val="auto"/>
        </w:rPr>
        <w:t>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our common stock and the voting and other rights of the holders of our common stock.</w:t>
      </w:r>
    </w:p>
    <w:p>
      <w:pPr>
        <w:spacing w:after="0" w:line="141" w:lineRule="exact"/>
        <w:rPr>
          <w:sz w:val="20"/>
          <w:szCs w:val="20"/>
          <w:color w:val="auto"/>
        </w:rPr>
      </w:pPr>
    </w:p>
    <w:p>
      <w:pPr>
        <w:ind w:left="1400" w:right="519"/>
        <w:spacing w:after="0" w:line="277" w:lineRule="auto"/>
        <w:rPr>
          <w:sz w:val="20"/>
          <w:szCs w:val="20"/>
          <w:color w:val="auto"/>
        </w:rPr>
      </w:pPr>
      <w:r>
        <w:rPr>
          <w:rFonts w:ascii="Times New Roman" w:cs="Times New Roman" w:eastAsia="Times New Roman" w:hAnsi="Times New Roman"/>
          <w:sz w:val="14"/>
          <w:szCs w:val="14"/>
          <w:color w:val="auto"/>
        </w:rPr>
        <w:t>A prospectus supplement relating to any series of preferred stock being offered will include specific terms relating to the offering. They will include, where applicable:</w:t>
      </w:r>
    </w:p>
    <w:p>
      <w:pPr>
        <w:spacing w:after="0" w:line="54" w:lineRule="exact"/>
        <w:rPr>
          <w:sz w:val="20"/>
          <w:szCs w:val="20"/>
          <w:color w:val="auto"/>
        </w:rPr>
      </w:pPr>
    </w:p>
    <w:p>
      <w:pPr>
        <w:ind w:left="2160" w:hanging="335"/>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stated value;</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we are offering;</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liquidation preference per share;</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 rate, period and payment date and method of calculation for dividends;</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dividends will be cumulative or non-cumulative and, if cumulative, the date from which dividends will accumulate;</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procedures for any auction and remarketing, if any;</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for a sinking fund, if any;</w:t>
      </w:r>
    </w:p>
    <w:p>
      <w:pPr>
        <w:spacing w:after="0" w:line="98" w:lineRule="exact"/>
        <w:rPr>
          <w:rFonts w:ascii="Times New Roman" w:cs="Times New Roman" w:eastAsia="Times New Roman" w:hAnsi="Times New Roman"/>
          <w:sz w:val="14"/>
          <w:szCs w:val="14"/>
          <w:color w:val="auto"/>
        </w:rPr>
      </w:pPr>
    </w:p>
    <w:p>
      <w:pPr>
        <w:ind w:left="2160" w:right="399" w:hanging="335"/>
        <w:spacing w:after="0" w:line="277" w:lineRule="auto"/>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for redemption or repurchase, if applicable, and any restrictions on our ability to exercise those redemption and repurchase rights;</w:t>
      </w:r>
    </w:p>
    <w:p>
      <w:pPr>
        <w:spacing w:after="0" w:line="53"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listing of the preferred stock on any securities exchange or market;</w:t>
      </w:r>
    </w:p>
    <w:p>
      <w:pPr>
        <w:spacing w:after="0" w:line="98" w:lineRule="exact"/>
        <w:rPr>
          <w:rFonts w:ascii="Times New Roman" w:cs="Times New Roman" w:eastAsia="Times New Roman" w:hAnsi="Times New Roman"/>
          <w:sz w:val="14"/>
          <w:szCs w:val="14"/>
          <w:color w:val="auto"/>
        </w:rPr>
      </w:pPr>
    </w:p>
    <w:p>
      <w:pPr>
        <w:ind w:left="2160" w:right="459" w:hanging="335"/>
        <w:spacing w:after="0" w:line="277" w:lineRule="auto"/>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preferred stock will be exchangeable into debt securities, and, if applicable, the exchange price, or how it will be calculated, and the exchange period;</w:t>
      </w:r>
    </w:p>
    <w:p>
      <w:pPr>
        <w:spacing w:after="0" w:line="53"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rights, if any, of the preferred stock;</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preemptive rights, if any;</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transfer, sale or other assignment, if any;</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interests in the preferred stock will be represented by depositary shares;</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any material United States federal income tax considerations applicable to the preferred stock;</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relative ranking and preferences of the preferred stock as to dividend rights and rights if we liquidate, dissolve or wind up our affairs;</w:t>
      </w:r>
    </w:p>
    <w:p>
      <w:pPr>
        <w:spacing w:after="0" w:line="109" w:lineRule="exact"/>
        <w:rPr>
          <w:rFonts w:ascii="Times New Roman" w:cs="Times New Roman" w:eastAsia="Times New Roman" w:hAnsi="Times New Roman"/>
          <w:sz w:val="13"/>
          <w:szCs w:val="13"/>
          <w:color w:val="auto"/>
        </w:rPr>
      </w:pPr>
    </w:p>
    <w:p>
      <w:pPr>
        <w:ind w:left="2160" w:right="339" w:hanging="335"/>
        <w:spacing w:after="0" w:line="277" w:lineRule="auto"/>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limitations on the issuance of any class or series of preferred stock ranking senior to or on a parity with the series of preferred stock as to dividend rights and rights if we liquidate, dissolve or wind up our affairs; and;</w:t>
      </w:r>
    </w:p>
    <w:p>
      <w:pPr>
        <w:spacing w:after="0" w:line="53"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preferred stock.</w:t>
      </w:r>
    </w:p>
    <w:p>
      <w:pPr>
        <w:spacing w:after="0" w:line="2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Certain Anti-Takeover Effects of Delaware Law</w:t>
      </w:r>
    </w:p>
    <w:p>
      <w:pPr>
        <w:spacing w:after="0" w:line="90" w:lineRule="exact"/>
        <w:rPr>
          <w:sz w:val="20"/>
          <w:szCs w:val="20"/>
          <w:color w:val="auto"/>
        </w:rPr>
      </w:pPr>
    </w:p>
    <w:p>
      <w:pPr>
        <w:ind w:left="1400" w:right="399"/>
        <w:spacing w:after="0" w:line="277" w:lineRule="auto"/>
        <w:rPr>
          <w:sz w:val="20"/>
          <w:szCs w:val="20"/>
          <w:color w:val="auto"/>
        </w:rPr>
      </w:pPr>
      <w:r>
        <w:rPr>
          <w:rFonts w:ascii="Times New Roman" w:cs="Times New Roman" w:eastAsia="Times New Roman" w:hAnsi="Times New Roman"/>
          <w:sz w:val="14"/>
          <w:szCs w:val="14"/>
          <w:color w:val="auto"/>
        </w:rPr>
        <w:t>We are subject to the provisions of Section 203 of the Delaware General Corporation Law, or the DGCL, regulating corporate takeovers and which has an anti-takeover effect with respect to transactions not approved in</w:t>
      </w:r>
    </w:p>
    <w:p>
      <w:pPr>
        <w:spacing w:after="0" w:line="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2"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319"/>
        <w:spacing w:after="0" w:line="262" w:lineRule="auto"/>
        <w:rPr>
          <w:sz w:val="20"/>
          <w:szCs w:val="20"/>
          <w:color w:val="auto"/>
        </w:rPr>
      </w:pPr>
      <w:r>
        <w:rPr>
          <w:rFonts w:ascii="Times New Roman" w:cs="Times New Roman" w:eastAsia="Times New Roman" w:hAnsi="Times New Roman"/>
          <w:sz w:val="14"/>
          <w:szCs w:val="14"/>
          <w:color w:val="auto"/>
        </w:rPr>
        <w:t>advance by our board of directors, including discouraging takeover attempts that might result in a premium over the market price for shares of our common stock. In general, those provisions prohibit a Delaware corporation from engaging in any business combination with any interested stockholder for a period of three years following the date that the stockholder became an interested stockholder, unless:</w:t>
      </w:r>
    </w:p>
    <w:p>
      <w:pPr>
        <w:spacing w:after="0" w:line="64" w:lineRule="exact"/>
        <w:rPr>
          <w:sz w:val="20"/>
          <w:szCs w:val="20"/>
          <w:color w:val="auto"/>
        </w:rPr>
      </w:pPr>
    </w:p>
    <w:p>
      <w:pPr>
        <w:ind w:left="2160" w:hanging="335"/>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transaction is approved by our board of directors before the date the interested stockholder attained that status;</w:t>
      </w:r>
    </w:p>
    <w:p>
      <w:pPr>
        <w:spacing w:after="0" w:line="98" w:lineRule="exact"/>
        <w:rPr>
          <w:rFonts w:ascii="Times New Roman" w:cs="Times New Roman" w:eastAsia="Times New Roman" w:hAnsi="Times New Roman"/>
          <w:sz w:val="14"/>
          <w:szCs w:val="14"/>
          <w:color w:val="auto"/>
        </w:rPr>
      </w:pPr>
    </w:p>
    <w:p>
      <w:pPr>
        <w:ind w:left="2160" w:right="519" w:hanging="335"/>
        <w:spacing w:after="0" w:line="277"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3" w:lineRule="exact"/>
        <w:rPr>
          <w:rFonts w:ascii="Times New Roman" w:cs="Times New Roman" w:eastAsia="Times New Roman" w:hAnsi="Times New Roman"/>
          <w:sz w:val="14"/>
          <w:szCs w:val="14"/>
          <w:color w:val="auto"/>
        </w:rPr>
      </w:pPr>
    </w:p>
    <w:p>
      <w:pPr>
        <w:ind w:left="2160" w:right="399" w:hanging="335"/>
        <w:spacing w:after="0" w:line="277"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after such date, the business combination is approved by our board of directors and authorized at a meeting of stockholders, and not by written consent, by at least two-thirds of the outstanding voting stock that is not owned by the interested stockholder.</w:t>
      </w:r>
    </w:p>
    <w:p>
      <w:pPr>
        <w:spacing w:after="0" w:line="1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In general, DGCL Section 203 defines a business combination to include the following:</w:t>
      </w:r>
    </w:p>
    <w:p>
      <w:pPr>
        <w:spacing w:after="0" w:line="98" w:lineRule="exact"/>
        <w:rPr>
          <w:sz w:val="20"/>
          <w:szCs w:val="20"/>
          <w:color w:val="auto"/>
        </w:rPr>
      </w:pPr>
    </w:p>
    <w:p>
      <w:pPr>
        <w:ind w:left="2160" w:hanging="335"/>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merger or consolidation involving the corporation and the interested stockholder;</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sale, transfer, pledge or other disposition of 10% or more of the assets of the corporation involving the interested stockholder;</w:t>
      </w:r>
    </w:p>
    <w:p>
      <w:pPr>
        <w:spacing w:after="0" w:line="98" w:lineRule="exact"/>
        <w:rPr>
          <w:rFonts w:ascii="Times New Roman" w:cs="Times New Roman" w:eastAsia="Times New Roman" w:hAnsi="Times New Roman"/>
          <w:sz w:val="14"/>
          <w:szCs w:val="14"/>
          <w:color w:val="auto"/>
        </w:rPr>
      </w:pPr>
    </w:p>
    <w:p>
      <w:pPr>
        <w:ind w:left="2160" w:right="299" w:hanging="335"/>
        <w:spacing w:after="0" w:line="277"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certain exceptions, any transaction that results in the issuance or transfer by the corporation of any stock of the corporation to the interested stockholder;</w:t>
      </w:r>
    </w:p>
    <w:p>
      <w:pPr>
        <w:spacing w:after="0" w:line="53" w:lineRule="exact"/>
        <w:rPr>
          <w:rFonts w:ascii="Times New Roman" w:cs="Times New Roman" w:eastAsia="Times New Roman" w:hAnsi="Times New Roman"/>
          <w:sz w:val="14"/>
          <w:szCs w:val="14"/>
          <w:color w:val="auto"/>
        </w:rPr>
      </w:pPr>
    </w:p>
    <w:p>
      <w:pPr>
        <w:ind w:left="2160" w:right="419" w:hanging="335"/>
        <w:spacing w:after="0" w:line="277"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involving the corporation that has the effect of increasing the proportionate share of the stock of any class or series of the corporation beneficially owned by the interested stockholder; or</w:t>
      </w:r>
    </w:p>
    <w:p>
      <w:pPr>
        <w:spacing w:after="0" w:line="53" w:lineRule="exact"/>
        <w:rPr>
          <w:rFonts w:ascii="Times New Roman" w:cs="Times New Roman" w:eastAsia="Times New Roman" w:hAnsi="Times New Roman"/>
          <w:sz w:val="14"/>
          <w:szCs w:val="14"/>
          <w:color w:val="auto"/>
        </w:rPr>
      </w:pPr>
    </w:p>
    <w:p>
      <w:pPr>
        <w:ind w:left="2160" w:right="419" w:hanging="335"/>
        <w:spacing w:after="0" w:line="277"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by the interested stockholder of the benefit of any loans, advances, guarantees, pledges or other financial benefits provided by or through the corporation.</w:t>
      </w:r>
    </w:p>
    <w:p>
      <w:pPr>
        <w:spacing w:after="0" w:line="127" w:lineRule="exact"/>
        <w:rPr>
          <w:sz w:val="20"/>
          <w:szCs w:val="20"/>
          <w:color w:val="auto"/>
        </w:rPr>
      </w:pPr>
    </w:p>
    <w:p>
      <w:pPr>
        <w:ind w:left="1400" w:right="599"/>
        <w:spacing w:after="0" w:line="277" w:lineRule="auto"/>
        <w:rPr>
          <w:sz w:val="20"/>
          <w:szCs w:val="20"/>
          <w:color w:val="auto"/>
        </w:rPr>
      </w:pPr>
      <w:r>
        <w:rPr>
          <w:rFonts w:ascii="Times New Roman" w:cs="Times New Roman" w:eastAsia="Times New Roman" w:hAnsi="Times New Roman"/>
          <w:sz w:val="14"/>
          <w:szCs w:val="14"/>
          <w:color w:val="auto"/>
        </w:rPr>
        <w:t>In general, DGCL Section 203 defines an interested stockholder as any entity or person beneficially owning 15% or more of the outstanding voting stock of the corporation and any entity or person affiliated with or controlling or controlled by any such entity or person.</w:t>
      </w:r>
    </w:p>
    <w:p>
      <w:pPr>
        <w:spacing w:after="0" w:line="127" w:lineRule="exact"/>
        <w:rPr>
          <w:sz w:val="20"/>
          <w:szCs w:val="20"/>
          <w:color w:val="auto"/>
        </w:rPr>
      </w:pPr>
    </w:p>
    <w:p>
      <w:pPr>
        <w:ind w:left="1400" w:right="419"/>
        <w:spacing w:after="0" w:line="277" w:lineRule="auto"/>
        <w:rPr>
          <w:sz w:val="20"/>
          <w:szCs w:val="20"/>
          <w:color w:val="auto"/>
        </w:rPr>
      </w:pPr>
      <w:r>
        <w:rPr>
          <w:rFonts w:ascii="Times New Roman" w:cs="Times New Roman" w:eastAsia="Times New Roman" w:hAnsi="Times New Roman"/>
          <w:sz w:val="14"/>
          <w:szCs w:val="14"/>
          <w:color w:val="auto"/>
        </w:rPr>
        <w:t>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Certain Provisions of Our Certificate of Incorporation and Bylaws</w:t>
      </w:r>
    </w:p>
    <w:p>
      <w:pPr>
        <w:spacing w:after="0" w:line="90" w:lineRule="exact"/>
        <w:rPr>
          <w:sz w:val="20"/>
          <w:szCs w:val="20"/>
          <w:color w:val="auto"/>
        </w:rPr>
      </w:pPr>
    </w:p>
    <w:p>
      <w:pPr>
        <w:ind w:left="1400" w:right="919"/>
        <w:spacing w:after="0" w:line="277" w:lineRule="auto"/>
        <w:rPr>
          <w:sz w:val="20"/>
          <w:szCs w:val="20"/>
          <w:color w:val="auto"/>
        </w:rPr>
      </w:pPr>
      <w:r>
        <w:rPr>
          <w:rFonts w:ascii="Times New Roman" w:cs="Times New Roman" w:eastAsia="Times New Roman" w:hAnsi="Times New Roman"/>
          <w:sz w:val="14"/>
          <w:szCs w:val="14"/>
          <w:color w:val="auto"/>
        </w:rPr>
        <w:t>Provisions in our Certificate of Incorporation and Bylaws may have the effect of delaying or preventing a change of control or changes in our management. Among other things, our Certificate of Incorporation and Bylaws:</w:t>
      </w:r>
    </w:p>
    <w:p>
      <w:pPr>
        <w:spacing w:after="0" w:line="54" w:lineRule="exact"/>
        <w:rPr>
          <w:sz w:val="20"/>
          <w:szCs w:val="20"/>
          <w:color w:val="auto"/>
        </w:rPr>
      </w:pPr>
    </w:p>
    <w:p>
      <w:pPr>
        <w:ind w:left="2160" w:right="639" w:hanging="335"/>
        <w:spacing w:after="0" w:line="277" w:lineRule="auto"/>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our board of directors to issue, without stockholder approval, preferred stock with such terms as our board of directors may determine;</w:t>
      </w:r>
    </w:p>
    <w:p>
      <w:pPr>
        <w:spacing w:after="0" w:line="53"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 action by written consent of our stockholders;</w:t>
      </w:r>
    </w:p>
    <w:p>
      <w:pPr>
        <w:spacing w:after="0" w:line="98" w:lineRule="exact"/>
        <w:rPr>
          <w:rFonts w:ascii="Times New Roman" w:cs="Times New Roman" w:eastAsia="Times New Roman" w:hAnsi="Times New Roman"/>
          <w:sz w:val="14"/>
          <w:szCs w:val="14"/>
          <w:color w:val="auto"/>
        </w:rPr>
      </w:pPr>
    </w:p>
    <w:p>
      <w:pPr>
        <w:jc w:val="both"/>
        <w:ind w:left="2160" w:right="399" w:hanging="335"/>
        <w:spacing w:after="0" w:line="262" w:lineRule="auto"/>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 any person other than our board of directors, the chairman of our board of directors, our Chief Executive Officer or holders of at least 25% of the voting power of all then outstanding shares of capital stock of the corporation entitled to vote generally in the election of directors to call a special meeting of our stockholders; and</w:t>
      </w:r>
    </w:p>
    <w:p>
      <w:pPr>
        <w:spacing w:after="0" w:line="64"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specify advance notice requirements for stockholder proposals and director nominations.</w:t>
      </w:r>
    </w:p>
    <w:p>
      <w:pPr>
        <w:spacing w:after="0" w:line="11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2"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73" w:lineRule="exact"/>
        <w:rPr>
          <w:sz w:val="20"/>
          <w:szCs w:val="20"/>
          <w:color w:val="auto"/>
        </w:rPr>
      </w:pPr>
    </w:p>
    <w:p>
      <w:pPr>
        <w:ind w:left="1400" w:right="359"/>
        <w:spacing w:after="0" w:line="253"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90" w:lineRule="exact"/>
        <w:rPr>
          <w:sz w:val="20"/>
          <w:szCs w:val="20"/>
          <w:color w:val="auto"/>
        </w:rPr>
      </w:pPr>
    </w:p>
    <w:p>
      <w:pPr>
        <w:ind w:left="1400" w:right="539"/>
        <w:spacing w:after="0" w:line="277" w:lineRule="auto"/>
        <w:rPr>
          <w:sz w:val="20"/>
          <w:szCs w:val="20"/>
          <w:color w:val="auto"/>
        </w:rPr>
      </w:pPr>
      <w:r>
        <w:rPr>
          <w:rFonts w:ascii="Times New Roman" w:cs="Times New Roman" w:eastAsia="Times New Roman" w:hAnsi="Times New Roman"/>
          <w:sz w:val="14"/>
          <w:szCs w:val="14"/>
          <w:color w:val="auto"/>
        </w:rPr>
        <w:t>We may issue warrants for the purchase of common stock or preferred stock in one or more series. We may issue warrants independently or together with common stock or preferred stock, and the warrants may be attached to or separate from these securities.</w:t>
      </w:r>
    </w:p>
    <w:p>
      <w:pPr>
        <w:spacing w:after="0" w:line="127" w:lineRule="exact"/>
        <w:rPr>
          <w:sz w:val="20"/>
          <w:szCs w:val="20"/>
          <w:color w:val="auto"/>
        </w:rPr>
      </w:pPr>
    </w:p>
    <w:p>
      <w:pPr>
        <w:ind w:left="1400" w:right="499"/>
        <w:spacing w:after="0" w:line="262" w:lineRule="auto"/>
        <w:rPr>
          <w:sz w:val="20"/>
          <w:szCs w:val="20"/>
          <w:color w:val="auto"/>
        </w:rPr>
      </w:pPr>
      <w:r>
        <w:rPr>
          <w:rFonts w:ascii="Times New Roman" w:cs="Times New Roman" w:eastAsia="Times New Roman" w:hAnsi="Times New Roman"/>
          <w:sz w:val="14"/>
          <w:szCs w:val="14"/>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3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We will describe in the applicable prospectus supplement the terms of the series of warrants, including:</w:t>
      </w:r>
    </w:p>
    <w:p>
      <w:pPr>
        <w:spacing w:after="0" w:line="98" w:lineRule="exact"/>
        <w:rPr>
          <w:sz w:val="20"/>
          <w:szCs w:val="20"/>
          <w:color w:val="auto"/>
        </w:rPr>
      </w:pPr>
    </w:p>
    <w:p>
      <w:pPr>
        <w:ind w:left="2160" w:hanging="335"/>
        <w:spacing w:after="0"/>
        <w:tabs>
          <w:tab w:leader="none" w:pos="21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 and aggregate number of warrants offered;</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for which the warrants may be purchased;</w:t>
      </w:r>
    </w:p>
    <w:p>
      <w:pPr>
        <w:spacing w:after="0" w:line="98" w:lineRule="exact"/>
        <w:rPr>
          <w:rFonts w:ascii="Times New Roman" w:cs="Times New Roman" w:eastAsia="Times New Roman" w:hAnsi="Times New Roman"/>
          <w:sz w:val="14"/>
          <w:szCs w:val="14"/>
          <w:color w:val="auto"/>
        </w:rPr>
      </w:pPr>
    </w:p>
    <w:p>
      <w:pPr>
        <w:ind w:left="2160" w:right="459" w:hanging="335"/>
        <w:spacing w:after="0" w:line="277" w:lineRule="auto"/>
        <w:tabs>
          <w:tab w:leader="none" w:pos="21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designation and terms of the securities with which the warrants are issued and the number of warrants issued with each such security or each stated amount of such security;</w:t>
      </w:r>
    </w:p>
    <w:p>
      <w:pPr>
        <w:spacing w:after="0" w:line="53"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on and after which the warrants and the related securities will be separately transferable;</w:t>
      </w:r>
    </w:p>
    <w:p>
      <w:pPr>
        <w:spacing w:after="0" w:line="98" w:lineRule="exact"/>
        <w:rPr>
          <w:rFonts w:ascii="Times New Roman" w:cs="Times New Roman" w:eastAsia="Times New Roman" w:hAnsi="Times New Roman"/>
          <w:sz w:val="14"/>
          <w:szCs w:val="14"/>
          <w:color w:val="auto"/>
        </w:rPr>
      </w:pPr>
    </w:p>
    <w:p>
      <w:pPr>
        <w:ind w:left="2160" w:right="319" w:hanging="335"/>
        <w:spacing w:after="0" w:line="277" w:lineRule="auto"/>
        <w:tabs>
          <w:tab w:leader="none" w:pos="21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53"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any merger, consolidation, sale or other disposition of our business on the warrant agreement and the warrants;</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rights to redeem or call the warrants;</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changes to or adjustments in the exercise price or number of securities issuable upon exercise of the warrants;</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periods during which, and places at which, the warrants are exercisable;</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of exercise;</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the right to exercise the warrants will commence and expire;</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the warrant agreement and warrants may be modified;</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income tax consequences of holding or exercising the warrants;</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securities issuable upon exercise of the warrants; and</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warrants.</w:t>
      </w:r>
    </w:p>
    <w:p>
      <w:pPr>
        <w:spacing w:after="0" w:line="11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2"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DESCRIPTION OF RIGHTS</w:t>
      </w:r>
    </w:p>
    <w:p>
      <w:pPr>
        <w:spacing w:after="0" w:line="173" w:lineRule="exact"/>
        <w:rPr>
          <w:sz w:val="20"/>
          <w:szCs w:val="20"/>
          <w:color w:val="auto"/>
        </w:rPr>
      </w:pPr>
    </w:p>
    <w:p>
      <w:pPr>
        <w:ind w:left="1400" w:right="359"/>
        <w:spacing w:after="0" w:line="255" w:lineRule="auto"/>
        <w:rPr>
          <w:sz w:val="20"/>
          <w:szCs w:val="20"/>
          <w:color w:val="auto"/>
        </w:rPr>
      </w:pPr>
      <w:r>
        <w:rPr>
          <w:rFonts w:ascii="Times New Roman" w:cs="Times New Roman" w:eastAsia="Times New Roman" w:hAnsi="Times New Roman"/>
          <w:sz w:val="14"/>
          <w:szCs w:val="14"/>
          <w:color w:val="auto"/>
        </w:rPr>
        <w:t>We may issue subscription rights, or Rights, to purchase our common stock, preferred stock, warrants, or units consisting of some or all of these securities. These Rights may be offered independently or together with any other securities offered hereby and may or may not be transferable by the stockholder receiving the Rights in such offering. In connection with any offering of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41" w:lineRule="exact"/>
        <w:rPr>
          <w:sz w:val="20"/>
          <w:szCs w:val="20"/>
          <w:color w:val="auto"/>
        </w:rPr>
      </w:pPr>
    </w:p>
    <w:p>
      <w:pPr>
        <w:ind w:left="1400" w:right="339"/>
        <w:spacing w:after="0" w:line="277" w:lineRule="auto"/>
        <w:rPr>
          <w:sz w:val="20"/>
          <w:szCs w:val="20"/>
          <w:color w:val="auto"/>
        </w:rPr>
      </w:pPr>
      <w:r>
        <w:rPr>
          <w:rFonts w:ascii="Times New Roman" w:cs="Times New Roman" w:eastAsia="Times New Roman" w:hAnsi="Times New Roman"/>
          <w:sz w:val="14"/>
          <w:szCs w:val="14"/>
          <w:color w:val="auto"/>
        </w:rPr>
        <w:t>The prospectus supplement relating to any Rights we offer, if any, will, to the extent applicable, include specific terms relating to the offering, including some or all of the following:</w:t>
      </w:r>
    </w:p>
    <w:p>
      <w:pPr>
        <w:spacing w:after="0" w:line="54" w:lineRule="exact"/>
        <w:rPr>
          <w:sz w:val="20"/>
          <w:szCs w:val="20"/>
          <w:color w:val="auto"/>
        </w:rPr>
      </w:pPr>
    </w:p>
    <w:p>
      <w:pPr>
        <w:ind w:left="2160" w:hanging="335"/>
        <w:spacing w:after="0"/>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if any, for the Rights;</w:t>
      </w:r>
    </w:p>
    <w:p>
      <w:pPr>
        <w:spacing w:after="0" w:line="98" w:lineRule="exact"/>
        <w:rPr>
          <w:rFonts w:ascii="Times New Roman" w:cs="Times New Roman" w:eastAsia="Times New Roman" w:hAnsi="Times New Roman"/>
          <w:sz w:val="14"/>
          <w:szCs w:val="14"/>
          <w:color w:val="auto"/>
        </w:rPr>
      </w:pPr>
    </w:p>
    <w:p>
      <w:pPr>
        <w:ind w:left="2160" w:right="439" w:hanging="335"/>
        <w:spacing w:after="0" w:line="277" w:lineRule="auto"/>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payable for our common stock, preferred stock, warrants or units consisting of some or all of these securities, upon the exercise of the Rights;</w:t>
      </w:r>
    </w:p>
    <w:p>
      <w:pPr>
        <w:spacing w:after="0" w:line="53"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Rights to be issued to each stockholder;</w:t>
      </w:r>
    </w:p>
    <w:p>
      <w:pPr>
        <w:spacing w:after="0" w:line="98" w:lineRule="exact"/>
        <w:rPr>
          <w:rFonts w:ascii="Times New Roman" w:cs="Times New Roman" w:eastAsia="Times New Roman" w:hAnsi="Times New Roman"/>
          <w:sz w:val="14"/>
          <w:szCs w:val="14"/>
          <w:color w:val="auto"/>
        </w:rPr>
      </w:pPr>
    </w:p>
    <w:p>
      <w:pPr>
        <w:ind w:left="2160" w:right="419" w:hanging="335"/>
        <w:spacing w:after="0" w:line="277" w:lineRule="auto"/>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terms of our common stock, preferred stock, warrants or units consisting of some or all of these securities, which may be purchased per each Right;</w:t>
      </w:r>
    </w:p>
    <w:p>
      <w:pPr>
        <w:spacing w:after="0" w:line="53"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Rights are transferable;</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Rights, including the terms, procedures and limitations relating to the exchange and exercise of the Rights;</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Rights shall commence, and the date on which the Rights shall expire;</w:t>
      </w:r>
    </w:p>
    <w:p>
      <w:pPr>
        <w:spacing w:after="0" w:line="98" w:lineRule="exact"/>
        <w:rPr>
          <w:rFonts w:ascii="Times New Roman" w:cs="Times New Roman" w:eastAsia="Times New Roman" w:hAnsi="Times New Roman"/>
          <w:sz w:val="14"/>
          <w:szCs w:val="14"/>
          <w:color w:val="auto"/>
        </w:rPr>
      </w:pPr>
    </w:p>
    <w:p>
      <w:pPr>
        <w:ind w:left="2160" w:right="599" w:hanging="335"/>
        <w:spacing w:after="0" w:line="277" w:lineRule="auto"/>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Rights may include an over-subscription privilege with respect to unsubscribed securities or an over-allotment privilege to the extent the securities are fully subscribed; and</w:t>
      </w:r>
    </w:p>
    <w:p>
      <w:pPr>
        <w:spacing w:after="0" w:line="53" w:lineRule="exact"/>
        <w:rPr>
          <w:rFonts w:ascii="Times New Roman" w:cs="Times New Roman" w:eastAsia="Times New Roman" w:hAnsi="Times New Roman"/>
          <w:sz w:val="14"/>
          <w:szCs w:val="14"/>
          <w:color w:val="auto"/>
        </w:rPr>
      </w:pPr>
    </w:p>
    <w:p>
      <w:pPr>
        <w:ind w:left="2160" w:right="359" w:hanging="335"/>
        <w:spacing w:after="0" w:line="277" w:lineRule="auto"/>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material terms of any standby underwriting or purchase arrangement which may be entered into by us in connection with the offering of Rights.</w:t>
      </w:r>
    </w:p>
    <w:p>
      <w:pPr>
        <w:spacing w:after="0" w:line="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2"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73" w:lineRule="exact"/>
        <w:rPr>
          <w:sz w:val="20"/>
          <w:szCs w:val="20"/>
          <w:color w:val="auto"/>
        </w:rPr>
      </w:pPr>
    </w:p>
    <w:p>
      <w:pPr>
        <w:ind w:left="1400" w:right="279"/>
        <w:spacing w:after="0" w:line="251" w:lineRule="auto"/>
        <w:rPr>
          <w:sz w:val="20"/>
          <w:szCs w:val="20"/>
          <w:color w:val="auto"/>
        </w:rPr>
      </w:pPr>
      <w:r>
        <w:rPr>
          <w:rFonts w:ascii="Times New Roman" w:cs="Times New Roman" w:eastAsia="Times New Roman" w:hAnsi="Times New Roman"/>
          <w:sz w:val="14"/>
          <w:szCs w:val="14"/>
          <w:color w:val="auto"/>
        </w:rPr>
        <w:t>We may issue units comprised of shares of common stock, shares of preferred stock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prospectus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45" w:lineRule="exact"/>
        <w:rPr>
          <w:sz w:val="20"/>
          <w:szCs w:val="20"/>
          <w:color w:val="auto"/>
        </w:rPr>
      </w:pPr>
    </w:p>
    <w:p>
      <w:pPr>
        <w:ind w:left="1400" w:right="299"/>
        <w:spacing w:after="0" w:line="257" w:lineRule="auto"/>
        <w:rPr>
          <w:sz w:val="20"/>
          <w:szCs w:val="20"/>
          <w:color w:val="auto"/>
        </w:rPr>
      </w:pPr>
      <w:r>
        <w:rPr>
          <w:rFonts w:ascii="Times New Roman" w:cs="Times New Roman" w:eastAsia="Times New Roman" w:hAnsi="Times New Roman"/>
          <w:sz w:val="14"/>
          <w:szCs w:val="14"/>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68" w:lineRule="exact"/>
        <w:rPr>
          <w:sz w:val="20"/>
          <w:szCs w:val="20"/>
          <w:color w:val="auto"/>
        </w:rPr>
      </w:pPr>
    </w:p>
    <w:p>
      <w:pPr>
        <w:ind w:left="2160" w:right="519" w:hanging="335"/>
        <w:spacing w:after="0" w:line="277" w:lineRule="auto"/>
        <w:tabs>
          <w:tab w:leader="none" w:pos="21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units and of the securities comprising the units, including whether and under what circumstances those securities may be held or transferred separately;</w:t>
      </w:r>
    </w:p>
    <w:p>
      <w:pPr>
        <w:spacing w:after="0" w:line="53"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of the governing unit agreement;</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such units will be issued;</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United States federal income tax considerations relating to the units;</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the issuance, payment, settlement, transfer or exchange of the units or of the securities comprising the units; and</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units and of the securities comprising the units.</w:t>
      </w:r>
    </w:p>
    <w:p>
      <w:pPr>
        <w:spacing w:after="0" w:line="169" w:lineRule="exact"/>
        <w:rPr>
          <w:sz w:val="20"/>
          <w:szCs w:val="20"/>
          <w:color w:val="auto"/>
        </w:rPr>
      </w:pPr>
    </w:p>
    <w:p>
      <w:pPr>
        <w:ind w:left="1400" w:right="359"/>
        <w:spacing w:after="0" w:line="258" w:lineRule="auto"/>
        <w:rPr>
          <w:sz w:val="20"/>
          <w:szCs w:val="20"/>
          <w:color w:val="auto"/>
        </w:rPr>
      </w:pPr>
      <w:r>
        <w:rPr>
          <w:rFonts w:ascii="Times New Roman" w:cs="Times New Roman" w:eastAsia="Times New Roman" w:hAnsi="Times New Roman"/>
          <w:sz w:val="14"/>
          <w:szCs w:val="14"/>
          <w:color w:val="auto"/>
        </w:rPr>
        <w:t>The provisions described in this section, as well as those described under the “</w:t>
      </w:r>
      <w:r>
        <w:rPr>
          <w:rFonts w:ascii="Times New Roman" w:cs="Times New Roman" w:eastAsia="Times New Roman" w:hAnsi="Times New Roman"/>
          <w:sz w:val="14"/>
          <w:szCs w:val="14"/>
          <w:i w:val="1"/>
          <w:iCs w:val="1"/>
          <w:color w:val="auto"/>
        </w:rPr>
        <w:t>Description of Capital Stock</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Description of Warrants</w:t>
      </w:r>
      <w:r>
        <w:rPr>
          <w:rFonts w:ascii="Times New Roman" w:cs="Times New Roman" w:eastAsia="Times New Roman" w:hAnsi="Times New Roman"/>
          <w:sz w:val="14"/>
          <w:szCs w:val="14"/>
          <w:color w:val="auto"/>
        </w:rPr>
        <w:t>” will apply to the securities included in each unit, to the extent relevant and as may be updated in any prospectus supplements. We may issue units in such amounts and in as many distinct series as we wish. Most of the financial and other specific terms of a particular series will be described in the applicable prospectus supplement.</w:t>
      </w:r>
    </w:p>
    <w:p>
      <w:pPr>
        <w:spacing w:after="0" w:line="140" w:lineRule="exact"/>
        <w:rPr>
          <w:sz w:val="20"/>
          <w:szCs w:val="20"/>
          <w:color w:val="auto"/>
        </w:rPr>
      </w:pPr>
    </w:p>
    <w:p>
      <w:pPr>
        <w:ind w:left="1400" w:right="399"/>
        <w:spacing w:after="0" w:line="262" w:lineRule="auto"/>
        <w:rPr>
          <w:sz w:val="20"/>
          <w:szCs w:val="20"/>
          <w:color w:val="auto"/>
        </w:rPr>
      </w:pPr>
      <w:r>
        <w:rPr>
          <w:rFonts w:ascii="Times New Roman" w:cs="Times New Roman" w:eastAsia="Times New Roman" w:hAnsi="Times New Roman"/>
          <w:sz w:val="14"/>
          <w:szCs w:val="14"/>
          <w:color w:val="auto"/>
        </w:rPr>
        <w:t>We will issue the units under one or more unit agreements to be entered into between us and a unit agent. We may add, replace or terminate unit agents from time to time. We will identify the unit agreement under which each series of units will be issued and the unit agent under that agreement in the applicable prospectus supplement.</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2"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3" w:lineRule="exact"/>
        <w:rPr>
          <w:sz w:val="20"/>
          <w:szCs w:val="20"/>
          <w:color w:val="auto"/>
        </w:rPr>
      </w:pPr>
    </w:p>
    <w:p>
      <w:pPr>
        <w:ind w:left="1400" w:right="359"/>
        <w:spacing w:after="0" w:line="262" w:lineRule="auto"/>
        <w:rPr>
          <w:sz w:val="20"/>
          <w:szCs w:val="20"/>
          <w:color w:val="auto"/>
        </w:rPr>
      </w:pPr>
      <w:r>
        <w:rPr>
          <w:rFonts w:ascii="Times New Roman" w:cs="Times New Roman" w:eastAsia="Times New Roman" w:hAnsi="Times New Roman"/>
          <w:sz w:val="14"/>
          <w:szCs w:val="14"/>
          <w:color w:val="auto"/>
        </w:rPr>
        <w:t>We may sell the offered securities in and outside the United States (1) through underwriters or dealers, (2) directly to one or more purchasers, including to a limited number of institutional purchasers, to a single purchaser or to our affiliates and stockholders, (3) through agents or (4) through a combination of any of these methods.</w:t>
      </w:r>
    </w:p>
    <w:p>
      <w:pPr>
        <w:spacing w:after="0" w:line="137" w:lineRule="exact"/>
        <w:rPr>
          <w:sz w:val="20"/>
          <w:szCs w:val="20"/>
          <w:color w:val="auto"/>
        </w:rPr>
      </w:pPr>
    </w:p>
    <w:p>
      <w:pPr>
        <w:ind w:left="1400" w:right="279"/>
        <w:spacing w:after="0" w:line="277" w:lineRule="auto"/>
        <w:rPr>
          <w:sz w:val="20"/>
          <w:szCs w:val="20"/>
          <w:color w:val="auto"/>
        </w:rPr>
      </w:pPr>
      <w:r>
        <w:rPr>
          <w:rFonts w:ascii="Times New Roman" w:cs="Times New Roman" w:eastAsia="Times New Roman" w:hAnsi="Times New Roman"/>
          <w:sz w:val="14"/>
          <w:szCs w:val="14"/>
          <w:color w:val="auto"/>
        </w:rPr>
        <w:t>If underwriters or dealers are used in the sale, the securities will be acquired by the underwriters or dealers for their own account and may be resold from time to time in one or more transactions, including:</w:t>
      </w:r>
    </w:p>
    <w:p>
      <w:pPr>
        <w:spacing w:after="0" w:line="54" w:lineRule="exact"/>
        <w:rPr>
          <w:sz w:val="20"/>
          <w:szCs w:val="20"/>
          <w:color w:val="auto"/>
        </w:rPr>
      </w:pPr>
    </w:p>
    <w:p>
      <w:pPr>
        <w:ind w:left="2160" w:hanging="335"/>
        <w:spacing w:after="0"/>
        <w:tabs>
          <w:tab w:leader="none" w:pos="2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one or more transactions at a fixed price or prices, which may be changed from time to time;</w:t>
      </w:r>
    </w:p>
    <w:p>
      <w:pPr>
        <w:spacing w:after="0" w:line="98" w:lineRule="exact"/>
        <w:rPr>
          <w:rFonts w:ascii="Times New Roman" w:cs="Times New Roman" w:eastAsia="Times New Roman" w:hAnsi="Times New Roman"/>
          <w:sz w:val="14"/>
          <w:szCs w:val="14"/>
          <w:color w:val="auto"/>
        </w:rPr>
      </w:pPr>
    </w:p>
    <w:p>
      <w:pPr>
        <w:ind w:left="2160" w:right="299" w:hanging="335"/>
        <w:spacing w:after="0" w:line="277" w:lineRule="auto"/>
        <w:tabs>
          <w:tab w:leader="none" w:pos="2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“at-the-market offerings,” within the meaning of Rule 415(a)(4) of the Securities Act, into an existing trading market, on an exchange or otherwise;</w:t>
      </w:r>
    </w:p>
    <w:p>
      <w:pPr>
        <w:spacing w:after="0" w:line="53"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market maker or into an existing trading market on an exchange or otherwise;</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those prevailing market prices; or</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7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applicable prospectus supplement will set forth the following information to the extent applicable:</w:t>
      </w:r>
    </w:p>
    <w:p>
      <w:pPr>
        <w:spacing w:after="0" w:line="98" w:lineRule="exact"/>
        <w:rPr>
          <w:sz w:val="20"/>
          <w:szCs w:val="20"/>
          <w:color w:val="auto"/>
        </w:rPr>
      </w:pPr>
    </w:p>
    <w:p>
      <w:pPr>
        <w:ind w:left="2160" w:hanging="335"/>
        <w:spacing w:after="0"/>
        <w:tabs>
          <w:tab w:leader="none" w:pos="21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offering;</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of any underwriters, dealers or agents;</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any managing underwriter or underwriters;</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the securities;</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proceeds from the sale of the securities;</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delayed delivery arrangements;</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underwriting discounts, commissions and other items constituting underwriters’ compensation;</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initial public offering price;</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or concessions allowed or reallowed or paid to dealers; and</w:t>
      </w:r>
    </w:p>
    <w:p>
      <w:pPr>
        <w:spacing w:after="0" w:line="98"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commissions paid to agents.</w:t>
      </w:r>
    </w:p>
    <w:p>
      <w:pPr>
        <w:spacing w:after="0" w:line="2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Sale through Underwriters or Dealers</w:t>
      </w:r>
    </w:p>
    <w:p>
      <w:pPr>
        <w:spacing w:after="0" w:line="90" w:lineRule="exact"/>
        <w:rPr>
          <w:sz w:val="20"/>
          <w:szCs w:val="20"/>
          <w:color w:val="auto"/>
        </w:rPr>
      </w:pPr>
    </w:p>
    <w:p>
      <w:pPr>
        <w:ind w:left="1400" w:right="339"/>
        <w:spacing w:after="0" w:line="251" w:lineRule="auto"/>
        <w:rPr>
          <w:sz w:val="20"/>
          <w:szCs w:val="20"/>
          <w:color w:val="auto"/>
        </w:rPr>
      </w:pPr>
      <w:r>
        <w:rPr>
          <w:rFonts w:ascii="Times New Roman" w:cs="Times New Roman" w:eastAsia="Times New Roman" w:hAnsi="Times New Roman"/>
          <w:sz w:val="14"/>
          <w:szCs w:val="14"/>
          <w:color w:val="auto"/>
        </w:rPr>
        <w:t>If any securities are offered through underwriters, the underwriters will acquire the securities for their own account and may resell them from time to time in one or more transactions, including negotiated transactions, at a fixed public offering price or at varying prices determined at the time of sale. Underwriters may offer and sell securities to the public either through underwriting syndicates represented by one or more managing underwriters or directly by one or more firms acting as underwriters. Unless otherwise provided in the applicable prospectus supplement, the obligations of the underwriters to purchase the securities will be subject to certain conditions, and the underwriters will be obligated to purchase all of the offered securities if they purchase any of them. In connection with the sale of securities, underwriters may be deemed to have received compensation from us in the form of underwriting discounts or commissions and dealers may receive compensation from the underwriters in the form of discounts or concessions. The underwriters may change from time to time any initial public offering price and any discounts or concessions allowed or reallowed or paid to dealers.</w:t>
      </w:r>
    </w:p>
    <w:p>
      <w:pPr>
        <w:spacing w:after="0" w:line="145" w:lineRule="exact"/>
        <w:rPr>
          <w:sz w:val="20"/>
          <w:szCs w:val="20"/>
          <w:color w:val="auto"/>
        </w:rPr>
      </w:pPr>
    </w:p>
    <w:p>
      <w:pPr>
        <w:ind w:left="1400" w:right="519"/>
        <w:spacing w:after="0" w:line="277" w:lineRule="auto"/>
        <w:rPr>
          <w:sz w:val="20"/>
          <w:szCs w:val="20"/>
          <w:color w:val="auto"/>
        </w:rPr>
      </w:pPr>
      <w:r>
        <w:rPr>
          <w:rFonts w:ascii="Times New Roman" w:cs="Times New Roman" w:eastAsia="Times New Roman" w:hAnsi="Times New Roman"/>
          <w:sz w:val="14"/>
          <w:szCs w:val="14"/>
          <w:color w:val="auto"/>
        </w:rPr>
        <w:t>In order to facilitate the offering of securities, the underwriters may engage in transactions that stabilize, maintain or otherwise affect the price of the securities. Specifically, the underwriters may over allot in</w:t>
      </w:r>
    </w:p>
    <w:p>
      <w:pPr>
        <w:spacing w:after="0" w:line="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2"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339"/>
        <w:spacing w:after="0" w:line="253" w:lineRule="auto"/>
        <w:rPr>
          <w:sz w:val="20"/>
          <w:szCs w:val="20"/>
          <w:color w:val="auto"/>
        </w:rPr>
      </w:pPr>
      <w:r>
        <w:rPr>
          <w:rFonts w:ascii="Times New Roman" w:cs="Times New Roman" w:eastAsia="Times New Roman" w:hAnsi="Times New Roman"/>
          <w:sz w:val="14"/>
          <w:szCs w:val="14"/>
          <w:color w:val="auto"/>
        </w:rPr>
        <w:t>connection with the offering, creating a short position in the securities for their account. In addition, to cover overallotments or to stabilize the price of the shares, the underwriters may bid for, and purchase, shares in the open market. Finally, an underwriting syndicate may reclaim selling concessions allowed to an underwriter or a dealer for distributing the securities in the offering if the syndicate repurchases previously distributed shares in transactions to cover syndicate short positions, in stabilization transactions, or otherwise. Any of these activities may stabilize or maintain the market price of the offered securities above independent market levels. The underwriters are not required to engage in these activities, and may discontinue any of these activities at any time.</w:t>
      </w:r>
    </w:p>
    <w:p>
      <w:pPr>
        <w:spacing w:after="0" w:line="144" w:lineRule="exact"/>
        <w:rPr>
          <w:sz w:val="20"/>
          <w:szCs w:val="20"/>
          <w:color w:val="auto"/>
        </w:rPr>
      </w:pPr>
    </w:p>
    <w:p>
      <w:pPr>
        <w:ind w:left="1400" w:right="379"/>
        <w:spacing w:after="0" w:line="257" w:lineRule="auto"/>
        <w:rPr>
          <w:sz w:val="20"/>
          <w:szCs w:val="20"/>
          <w:color w:val="auto"/>
        </w:rPr>
      </w:pPr>
      <w:r>
        <w:rPr>
          <w:rFonts w:ascii="Times New Roman" w:cs="Times New Roman" w:eastAsia="Times New Roman" w:hAnsi="Times New Roman"/>
          <w:sz w:val="14"/>
          <w:szCs w:val="14"/>
          <w:color w:val="auto"/>
        </w:rPr>
        <w:t>Some or all of the securities that we offer through this prospectus may be new issues of securities with no established trading market. Any underwriters to whom we sell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offered pursuant to this prospectus.</w:t>
      </w:r>
    </w:p>
    <w:p>
      <w:pPr>
        <w:spacing w:after="0" w:line="141" w:lineRule="exact"/>
        <w:rPr>
          <w:sz w:val="20"/>
          <w:szCs w:val="20"/>
          <w:color w:val="auto"/>
        </w:rPr>
      </w:pPr>
    </w:p>
    <w:p>
      <w:pPr>
        <w:ind w:left="1400" w:right="719"/>
        <w:spacing w:after="0" w:line="277" w:lineRule="auto"/>
        <w:rPr>
          <w:sz w:val="20"/>
          <w:szCs w:val="20"/>
          <w:color w:val="auto"/>
        </w:rPr>
      </w:pPr>
      <w:r>
        <w:rPr>
          <w:rFonts w:ascii="Times New Roman" w:cs="Times New Roman" w:eastAsia="Times New Roman" w:hAnsi="Times New Roman"/>
          <w:sz w:val="14"/>
          <w:szCs w:val="14"/>
          <w:color w:val="auto"/>
        </w:rPr>
        <w:t>If any securities are offered through dealers, we will sell the securities to them as principals. They may then resell those securities to the public at varying prices determined by the dealers at the time of resale.</w:t>
      </w:r>
    </w:p>
    <w:p>
      <w:pPr>
        <w:spacing w:after="0" w:line="127" w:lineRule="exact"/>
        <w:rPr>
          <w:sz w:val="20"/>
          <w:szCs w:val="20"/>
          <w:color w:val="auto"/>
        </w:rPr>
      </w:pPr>
    </w:p>
    <w:p>
      <w:pPr>
        <w:ind w:left="1400" w:right="399"/>
        <w:spacing w:after="0" w:line="253" w:lineRule="auto"/>
        <w:rPr>
          <w:sz w:val="20"/>
          <w:szCs w:val="20"/>
          <w:color w:val="auto"/>
        </w:rPr>
      </w:pPr>
      <w:r>
        <w:rPr>
          <w:rFonts w:ascii="Times New Roman" w:cs="Times New Roman" w:eastAsia="Times New Roman" w:hAnsi="Times New Roman"/>
          <w:sz w:val="14"/>
          <w:szCs w:val="14"/>
          <w:color w:val="auto"/>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w:t>
      </w: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Direct Sales and Sales through Agents</w:t>
      </w:r>
    </w:p>
    <w:p>
      <w:pPr>
        <w:spacing w:after="0" w:line="90" w:lineRule="exact"/>
        <w:rPr>
          <w:sz w:val="20"/>
          <w:szCs w:val="20"/>
          <w:color w:val="auto"/>
        </w:rPr>
      </w:pPr>
    </w:p>
    <w:p>
      <w:pPr>
        <w:ind w:left="1400" w:right="279"/>
        <w:spacing w:after="0" w:line="252" w:lineRule="auto"/>
        <w:rPr>
          <w:sz w:val="20"/>
          <w:szCs w:val="20"/>
          <w:color w:val="auto"/>
        </w:rPr>
      </w:pPr>
      <w:r>
        <w:rPr>
          <w:rFonts w:ascii="Times New Roman" w:cs="Times New Roman" w:eastAsia="Times New Roman" w:hAnsi="Times New Roman"/>
          <w:sz w:val="14"/>
          <w:szCs w:val="14"/>
          <w:color w:val="auto"/>
        </w:rPr>
        <w:t>We may sell the securities directly to purchasers. If the securities are sold directly to institutional investors or others who may be deemed to be underwriters within the meaning of the Securities Act with respect to any sale of those securities, we will describe the terms of any such sales in the applicable prospectus supplement. We may also sell the securities through agents designated from time to time. Sales may be made by means of ordinary brokers’ transactions on the New York Stock Exchange at market prices, in block transactions and such other transactions as agreed by us and any agent. In the applicable prospectus supplement, we will name any agent involved in the offer or sale of the offered securities, and we will describe any commissions payable to the agent. Unless otherwise provided in the applicable prospectus supplement, any agent will agree to use its reasonable best efforts to solicit purchases for the period of its appointment.</w:t>
      </w:r>
    </w:p>
    <w:p>
      <w:pPr>
        <w:spacing w:after="0" w:line="2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At-the-Market Offerings</w:t>
      </w:r>
    </w:p>
    <w:p>
      <w:pPr>
        <w:spacing w:after="0" w:line="90" w:lineRule="exact"/>
        <w:rPr>
          <w:sz w:val="20"/>
          <w:szCs w:val="20"/>
          <w:color w:val="auto"/>
        </w:rPr>
      </w:pPr>
    </w:p>
    <w:p>
      <w:pPr>
        <w:ind w:left="1400" w:right="299"/>
        <w:spacing w:after="0" w:line="273" w:lineRule="auto"/>
        <w:rPr>
          <w:sz w:val="20"/>
          <w:szCs w:val="20"/>
          <w:color w:val="auto"/>
        </w:rPr>
      </w:pPr>
      <w:r>
        <w:rPr>
          <w:rFonts w:ascii="Times New Roman" w:cs="Times New Roman" w:eastAsia="Times New Roman" w:hAnsi="Times New Roman"/>
          <w:sz w:val="13"/>
          <w:szCs w:val="13"/>
          <w:color w:val="auto"/>
        </w:rPr>
        <w:t>To the extent that we make sales through one or more underwriters or agents in at-the-market offerings, we will do so pursuant to the terms of a sales agency financing agreement or other at-the-market offering arrangement between us and the underwriters or agents. If we engage in at-the-market sales pursuant to any such agreement, we will issue and sell our securities through one or more underwriters or agents, which may act on an agency basis or a principal basis. During the term of any such agreement, we may sell securities on a daily basis in exchange transactions or otherwise as we agree with the underwriters or agents. Any such agreement will provide that any securities sold will be sold at prices related to the then-prevailing market prices for our securities. Therefore, exact figures regarding proceeds that will be raised or commissions to be paid cannot be determined at this time. Pursuant to the terms of the agreement, we may agree to sell, and the relevant underwriters or agents may agree to solicit offers to purchase, blocks of our common stock or other securities. The terms of any such agreement will be set forth in more detail in the applicable prospectus supplement.</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2"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Remarketing Arrangements</w:t>
      </w:r>
    </w:p>
    <w:p>
      <w:pPr>
        <w:spacing w:after="0" w:line="90" w:lineRule="exact"/>
        <w:rPr>
          <w:sz w:val="20"/>
          <w:szCs w:val="20"/>
          <w:color w:val="auto"/>
        </w:rPr>
      </w:pPr>
    </w:p>
    <w:p>
      <w:pPr>
        <w:ind w:left="1400" w:right="299"/>
        <w:spacing w:after="0" w:line="255" w:lineRule="auto"/>
        <w:rPr>
          <w:sz w:val="20"/>
          <w:szCs w:val="20"/>
          <w:color w:val="auto"/>
        </w:rPr>
      </w:pPr>
      <w:r>
        <w:rPr>
          <w:rFonts w:ascii="Times New Roman" w:cs="Times New Roman" w:eastAsia="Times New Roman" w:hAnsi="Times New Roman"/>
          <w:sz w:val="14"/>
          <w:szCs w:val="14"/>
          <w:color w:val="auto"/>
        </w:rPr>
        <w:t>Offered securities may also be offered and sold, if we so indicate in the applicable prospectus supplement, in connection with a remarketing upon their purchase, in accordance with a redemption or repayment pursuant to their terms, or otherwise, by one or more remarketing firms, acting as principals for their own accounts or as our agents. Any remarketing firm will be identified and the terms of its agreements, if any, with us and its compensation will be described in the applicable prospectus supplement. Remarketing firms may be deemed to be underwriters of the offered securities under the Securities Act.</w:t>
      </w:r>
    </w:p>
    <w:p>
      <w:pPr>
        <w:spacing w:after="0" w:line="22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Delayed Delivery Contracts</w:t>
      </w:r>
    </w:p>
    <w:p>
      <w:pPr>
        <w:spacing w:after="0" w:line="90" w:lineRule="exact"/>
        <w:rPr>
          <w:sz w:val="20"/>
          <w:szCs w:val="20"/>
          <w:color w:val="auto"/>
        </w:rPr>
      </w:pPr>
    </w:p>
    <w:p>
      <w:pPr>
        <w:ind w:left="1400" w:right="439"/>
        <w:spacing w:after="0" w:line="262" w:lineRule="auto"/>
        <w:rPr>
          <w:sz w:val="20"/>
          <w:szCs w:val="20"/>
          <w:color w:val="auto"/>
        </w:rPr>
      </w:pPr>
      <w:r>
        <w:rPr>
          <w:rFonts w:ascii="Times New Roman" w:cs="Times New Roman" w:eastAsia="Times New Roman" w:hAnsi="Times New Roman"/>
          <w:sz w:val="14"/>
          <w:szCs w:val="14"/>
          <w:color w:val="auto"/>
        </w:rPr>
        <w:t>If we so indicate in the applicable prospectus supplement, we may authorize agents, underwriters or dealers to solicit offers by certain institutions to purchase securities from us pursuant to contracts providing for payment and delivery on a specified future date. The applicable prospectus supplement will describe the conditions to those contracts and the commission payable for solicitation of those contracts.</w:t>
      </w:r>
    </w:p>
    <w:p>
      <w:pPr>
        <w:spacing w:after="0" w:line="21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General Information</w:t>
      </w:r>
    </w:p>
    <w:p>
      <w:pPr>
        <w:spacing w:after="0" w:line="90" w:lineRule="exact"/>
        <w:rPr>
          <w:sz w:val="20"/>
          <w:szCs w:val="20"/>
          <w:color w:val="auto"/>
        </w:rPr>
      </w:pPr>
    </w:p>
    <w:p>
      <w:pPr>
        <w:ind w:left="1400" w:right="419"/>
        <w:spacing w:after="0" w:line="257" w:lineRule="auto"/>
        <w:rPr>
          <w:sz w:val="20"/>
          <w:szCs w:val="20"/>
          <w:color w:val="auto"/>
        </w:rPr>
      </w:pPr>
      <w:r>
        <w:rPr>
          <w:rFonts w:ascii="Times New Roman" w:cs="Times New Roman" w:eastAsia="Times New Roman" w:hAnsi="Times New Roman"/>
          <w:sz w:val="14"/>
          <w:szCs w:val="14"/>
          <w:color w:val="auto"/>
        </w:rPr>
        <w:t>We may have agreements with the agents, dealers, underwriters and remarketing firms to indemnify them against certain civil liabilities, including liabilities under the Securities Act, or to contribute with respect to payments that the agents, dealers or underwriters may be required to make. Agents, dealers, underwriters and remarketing firms may be customers of, engage in transactions with or perform services for us in the ordinary course of their businesses.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2"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3" w:lineRule="exact"/>
        <w:rPr>
          <w:sz w:val="20"/>
          <w:szCs w:val="20"/>
          <w:color w:val="auto"/>
        </w:rPr>
      </w:pPr>
    </w:p>
    <w:p>
      <w:pPr>
        <w:ind w:left="1400" w:right="619"/>
        <w:spacing w:after="0" w:line="262" w:lineRule="auto"/>
        <w:rPr>
          <w:sz w:val="20"/>
          <w:szCs w:val="20"/>
          <w:color w:val="auto"/>
        </w:rPr>
      </w:pPr>
      <w:r>
        <w:rPr>
          <w:rFonts w:ascii="Times New Roman" w:cs="Times New Roman" w:eastAsia="Times New Roman" w:hAnsi="Times New Roman"/>
          <w:sz w:val="14"/>
          <w:szCs w:val="14"/>
          <w:color w:val="auto"/>
        </w:rPr>
        <w:t>The validity of the securities offered by this prospectus will be passed upon for us by Goodwin Procter LLP, Redwood City, California. Any underwriters, dealers and agents will also be advised about the validity of the securities and other legal matters by their own counsel, which will be named in the prospectus supplement.</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82"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3" w:lineRule="exact"/>
        <w:rPr>
          <w:sz w:val="20"/>
          <w:szCs w:val="20"/>
          <w:color w:val="auto"/>
        </w:rPr>
      </w:pPr>
    </w:p>
    <w:p>
      <w:pPr>
        <w:ind w:left="1400" w:right="299"/>
        <w:spacing w:after="0" w:line="255" w:lineRule="auto"/>
        <w:rPr>
          <w:sz w:val="20"/>
          <w:szCs w:val="20"/>
          <w:color w:val="auto"/>
        </w:rPr>
      </w:pPr>
      <w:r>
        <w:rPr>
          <w:rFonts w:ascii="Times New Roman" w:cs="Times New Roman" w:eastAsia="Times New Roman" w:hAnsi="Times New Roman"/>
          <w:sz w:val="14"/>
          <w:szCs w:val="14"/>
          <w:color w:val="auto"/>
        </w:rPr>
        <w:t>EY Han Young (formerly, Ernst &amp; Young Han Young), independent registered public accounting firm, has audited our consolidated financial statements included in our Annual Report on Form 10-K for the year ended December 31, 2025 and the effectiveness of our internal control over financial reporting as of December 31, 2025, as set forth in their reports, which are incorporated by reference in this prospectus and elsewhere in the registration statement. Our financial statements are incorporated by reference in reliance on EY Han Young’s reports, given on their authority as experts in accounting and auditing.</w:t>
      </w:r>
    </w:p>
    <w:p>
      <w:pPr>
        <w:spacing w:after="0" w:line="141" w:lineRule="exact"/>
        <w:rPr>
          <w:sz w:val="20"/>
          <w:szCs w:val="20"/>
          <w:color w:val="auto"/>
        </w:rPr>
      </w:pPr>
    </w:p>
    <w:p>
      <w:pPr>
        <w:ind w:left="1400" w:right="339"/>
        <w:spacing w:after="0" w:line="262" w:lineRule="auto"/>
        <w:rPr>
          <w:sz w:val="20"/>
          <w:szCs w:val="20"/>
          <w:color w:val="auto"/>
        </w:rPr>
      </w:pPr>
      <w:r>
        <w:rPr>
          <w:rFonts w:ascii="Times New Roman" w:cs="Times New Roman" w:eastAsia="Times New Roman" w:hAnsi="Times New Roman"/>
          <w:sz w:val="14"/>
          <w:szCs w:val="14"/>
          <w:color w:val="auto"/>
        </w:rPr>
        <w:t>The financial statements as of December 31, 2024 and for the year ended December 31, 2024 incorporated in this Prospectus by reference to the Annual Report on Form 10-K for the year ended December 31, 2025 have been so incorporated in reliance on the report of Samil PricewaterhouseCoopers, an independent registered public accounting firm, given on the authority of said firm as experts in auditing and accounting.</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82"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3" w:lineRule="exact"/>
        <w:rPr>
          <w:sz w:val="20"/>
          <w:szCs w:val="20"/>
          <w:color w:val="auto"/>
        </w:rPr>
      </w:pPr>
    </w:p>
    <w:p>
      <w:pPr>
        <w:ind w:left="1400" w:right="339"/>
        <w:spacing w:after="0" w:line="251" w:lineRule="auto"/>
        <w:rPr>
          <w:sz w:val="20"/>
          <w:szCs w:val="20"/>
          <w:color w:val="auto"/>
        </w:rPr>
      </w:pPr>
      <w:r>
        <w:rPr>
          <w:rFonts w:ascii="Times New Roman" w:cs="Times New Roman" w:eastAsia="Times New Roman" w:hAnsi="Times New Roman"/>
          <w:sz w:val="14"/>
          <w:szCs w:val="14"/>
          <w:color w:val="auto"/>
        </w:rPr>
        <w:t>This prospectus is part of a shelf registration statement that we have filed with the SEC. This prospectus and any applicable prospectus supplement do not contain all of the information set forth in the registration statement and its exhibits and schedules in accordance with SEC rules and regulations. For further information with respect to us and the securities being offered by this prospectus and the applicable prospectus supplement, you should read the registration statement, including its exhibits and schedules. Statements contained in this prospectus and the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EDGAR database or our website.</w:t>
      </w:r>
    </w:p>
    <w:p>
      <w:pPr>
        <w:spacing w:after="0" w:line="148" w:lineRule="exact"/>
        <w:rPr>
          <w:sz w:val="20"/>
          <w:szCs w:val="20"/>
          <w:color w:val="auto"/>
        </w:rPr>
      </w:pPr>
    </w:p>
    <w:p>
      <w:pPr>
        <w:jc w:val="both"/>
        <w:ind w:left="1400" w:right="459"/>
        <w:spacing w:after="0" w:line="262" w:lineRule="auto"/>
        <w:rPr>
          <w:sz w:val="20"/>
          <w:szCs w:val="20"/>
          <w:color w:val="auto"/>
        </w:rPr>
      </w:pPr>
      <w:r>
        <w:rPr>
          <w:rFonts w:ascii="Times New Roman" w:cs="Times New Roman" w:eastAsia="Times New Roman" w:hAnsi="Times New Roman"/>
          <w:sz w:val="14"/>
          <w:szCs w:val="14"/>
          <w:color w:val="auto"/>
        </w:rPr>
        <w:t xml:space="preserve">We file annual, quarterly and current reports, proxy statements and other documents with the SEC under the U.S. Securities Exchange Act of 1934, as amended, or the Exchange Act. The SEC maintains a website that contains reports, proxy and information statements and other information regarding issuers, including us, that file electronically with the SEC. You may obtain documents that we file with the SEC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jc w:val="both"/>
        <w:ind w:left="1400" w:right="439"/>
        <w:spacing w:after="0" w:line="264" w:lineRule="auto"/>
        <w:rPr>
          <w:sz w:val="20"/>
          <w:szCs w:val="20"/>
          <w:color w:val="auto"/>
        </w:rPr>
      </w:pPr>
      <w:r>
        <w:rPr>
          <w:rFonts w:ascii="Times New Roman" w:cs="Times New Roman" w:eastAsia="Times New Roman" w:hAnsi="Times New Roman"/>
          <w:sz w:val="14"/>
          <w:szCs w:val="14"/>
          <w:color w:val="auto"/>
        </w:rPr>
        <w:t xml:space="preserve">We also make these documents available on our website at </w:t>
      </w:r>
      <w:r>
        <w:rPr>
          <w:rFonts w:ascii="Times New Roman" w:cs="Times New Roman" w:eastAsia="Times New Roman" w:hAnsi="Times New Roman"/>
          <w:sz w:val="14"/>
          <w:szCs w:val="14"/>
          <w:i w:val="1"/>
          <w:iCs w:val="1"/>
          <w:color w:val="auto"/>
        </w:rPr>
        <w:t>www.investors.magnachip.com</w:t>
      </w:r>
      <w:r>
        <w:rPr>
          <w:rFonts w:ascii="Times New Roman" w:cs="Times New Roman" w:eastAsia="Times New Roman" w:hAnsi="Times New Roman"/>
          <w:sz w:val="14"/>
          <w:szCs w:val="14"/>
          <w:color w:val="auto"/>
        </w:rPr>
        <w:t>. Our website and the information contained or connected to our website is not incorporated by reference in this prospectus or any prospectus supplement, and you should not consider it part of this prospectus or any prospectus supplement.</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82"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73" w:lineRule="exact"/>
        <w:rPr>
          <w:sz w:val="20"/>
          <w:szCs w:val="20"/>
          <w:color w:val="auto"/>
        </w:rPr>
      </w:pPr>
    </w:p>
    <w:p>
      <w:pPr>
        <w:ind w:left="1400" w:right="339"/>
        <w:spacing w:after="0" w:line="252" w:lineRule="auto"/>
        <w:rPr>
          <w:sz w:val="20"/>
          <w:szCs w:val="20"/>
          <w:color w:val="auto"/>
        </w:rPr>
      </w:pPr>
      <w:r>
        <w:rPr>
          <w:rFonts w:ascii="Times New Roman" w:cs="Times New Roman" w:eastAsia="Times New Roman" w:hAnsi="Times New Roman"/>
          <w:sz w:val="14"/>
          <w:szCs w:val="14"/>
          <w:color w:val="auto"/>
        </w:rPr>
        <w:t>SEC rules permit us to incorporate information by reference in this prospectus and the applicable prospectus supplement. This means that we can disclose important information to you by referring you to another document filed separately with the SEC. The information incorporated by reference is considered to be part of this prospectus and the applicable prospectus supplement, except for information superseded by information contained in this prospectus or the applicable prospectus supplement itself or in any subsequently filed incorporated document. This prospectus and the applicable prospectus supplement incorporate by reference the documents set forth below that we have previously filed with the SEC, other than information in such documents that is deemed to be furnished and not filed. These documents contain important information about us and our business and financial condition.</w:t>
      </w:r>
    </w:p>
    <w:p>
      <w:pPr>
        <w:spacing w:after="0" w:line="73" w:lineRule="exact"/>
        <w:rPr>
          <w:sz w:val="20"/>
          <w:szCs w:val="20"/>
          <w:color w:val="auto"/>
        </w:rPr>
      </w:pPr>
    </w:p>
    <w:p>
      <w:pPr>
        <w:ind w:left="2160" w:hanging="335"/>
        <w:spacing w:after="0"/>
        <w:tabs>
          <w:tab w:leader="none" w:pos="2160" w:val="left"/>
        </w:tabs>
        <w:numPr>
          <w:ilvl w:val="0"/>
          <w:numId w:val="11"/>
        </w:numPr>
        <w:rPr>
          <w:rFonts w:ascii="Times New Roman" w:cs="Times New Roman" w:eastAsia="Times New Roman" w:hAnsi="Times New Roman"/>
          <w:sz w:val="14"/>
          <w:szCs w:val="14"/>
          <w:color w:val="0000EE"/>
        </w:rPr>
      </w:pPr>
      <w:hyperlink r:id="rId46">
        <w:r>
          <w:rPr>
            <w:rFonts w:ascii="Times New Roman" w:cs="Times New Roman" w:eastAsia="Times New Roman" w:hAnsi="Times New Roman"/>
            <w:sz w:val="14"/>
            <w:szCs w:val="14"/>
            <w:u w:val="single" w:color="auto"/>
            <w:color w:val="0000EE"/>
          </w:rPr>
          <w:t>Annual Report on Form 10-K</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for</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the year ended December 31, 2025, filed with the SEC on March 16, 2026;</w:t>
      </w:r>
    </w:p>
    <w:p>
      <w:pPr>
        <w:spacing w:after="0" w:line="98" w:lineRule="exact"/>
        <w:rPr>
          <w:rFonts w:ascii="Times New Roman" w:cs="Times New Roman" w:eastAsia="Times New Roman" w:hAnsi="Times New Roman"/>
          <w:sz w:val="14"/>
          <w:szCs w:val="14"/>
          <w:color w:val="0000EE"/>
        </w:rPr>
      </w:pPr>
    </w:p>
    <w:p>
      <w:pPr>
        <w:ind w:left="2160" w:hanging="335"/>
        <w:spacing w:after="0"/>
        <w:tabs>
          <w:tab w:leader="none" w:pos="2160" w:val="left"/>
        </w:tabs>
        <w:numPr>
          <w:ilvl w:val="0"/>
          <w:numId w:val="11"/>
        </w:numPr>
        <w:rPr>
          <w:rFonts w:ascii="Times New Roman" w:cs="Times New Roman" w:eastAsia="Times New Roman" w:hAnsi="Times New Roman"/>
          <w:sz w:val="14"/>
          <w:szCs w:val="14"/>
          <w:color w:val="0000EE"/>
        </w:rPr>
      </w:pPr>
      <w:hyperlink r:id="rId47">
        <w:r>
          <w:rPr>
            <w:rFonts w:ascii="Times New Roman" w:cs="Times New Roman" w:eastAsia="Times New Roman" w:hAnsi="Times New Roman"/>
            <w:sz w:val="14"/>
            <w:szCs w:val="14"/>
            <w:u w:val="single" w:color="auto"/>
            <w:color w:val="0000EE"/>
          </w:rPr>
          <w:t>Quarterly Report on Form 10-Q</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for</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the quarter ended March 31, 2026, filed with the SEC on May 8, 2026;</w:t>
      </w:r>
    </w:p>
    <w:p>
      <w:pPr>
        <w:spacing w:after="0" w:line="98" w:lineRule="exact"/>
        <w:rPr>
          <w:rFonts w:ascii="Times New Roman" w:cs="Times New Roman" w:eastAsia="Times New Roman" w:hAnsi="Times New Roman"/>
          <w:sz w:val="14"/>
          <w:szCs w:val="14"/>
          <w:color w:val="0000EE"/>
        </w:rPr>
      </w:pPr>
    </w:p>
    <w:p>
      <w:pPr>
        <w:ind w:left="2160" w:right="299" w:hanging="335"/>
        <w:spacing w:after="0" w:line="262" w:lineRule="auto"/>
        <w:tabs>
          <w:tab w:leader="none" w:pos="21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specifically incorporated by reference into our </w:t>
      </w:r>
      <w:hyperlink r:id="rId46">
        <w:r>
          <w:rPr>
            <w:rFonts w:ascii="Times New Roman" w:cs="Times New Roman" w:eastAsia="Times New Roman" w:hAnsi="Times New Roman"/>
            <w:sz w:val="14"/>
            <w:szCs w:val="14"/>
            <w:u w:val="single" w:color="auto"/>
            <w:color w:val="0000EE"/>
          </w:rPr>
          <w:t>Annual Report on 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fiscal year ended December 31, 2025 from our </w:t>
      </w:r>
      <w:hyperlink r:id="rId48">
        <w:r>
          <w:rPr>
            <w:rFonts w:ascii="Times New Roman" w:cs="Times New Roman" w:eastAsia="Times New Roman" w:hAnsi="Times New Roman"/>
            <w:sz w:val="14"/>
            <w:szCs w:val="14"/>
            <w:u w:val="single" w:color="auto"/>
            <w:color w:val="0000EE"/>
          </w:rPr>
          <w:t>definitive proxy statement on 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(other than information furnished rather than filed) filed with the SEC on April 30, 2026;</w:t>
      </w:r>
    </w:p>
    <w:p>
      <w:pPr>
        <w:spacing w:after="0" w:line="64"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Current Reports on Form 8-K, filed with the SEC on </w:t>
      </w:r>
      <w:hyperlink r:id="rId49">
        <w:r>
          <w:rPr>
            <w:rFonts w:ascii="Times New Roman" w:cs="Times New Roman" w:eastAsia="Times New Roman" w:hAnsi="Times New Roman"/>
            <w:sz w:val="14"/>
            <w:szCs w:val="14"/>
            <w:u w:val="single" w:color="auto"/>
            <w:color w:val="0000EE"/>
          </w:rPr>
          <w:t>January 14,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50">
        <w:r>
          <w:rPr>
            <w:rFonts w:ascii="Times New Roman" w:cs="Times New Roman" w:eastAsia="Times New Roman" w:hAnsi="Times New Roman"/>
            <w:sz w:val="14"/>
            <w:szCs w:val="14"/>
            <w:u w:val="single" w:color="auto"/>
            <w:color w:val="0000EE"/>
          </w:rPr>
          <w:t>January 20, 2026</w:t>
        </w:r>
      </w:hyperlink>
      <w:r>
        <w:rPr>
          <w:rFonts w:ascii="Times New Roman" w:cs="Times New Roman" w:eastAsia="Times New Roman" w:hAnsi="Times New Roman"/>
          <w:sz w:val="14"/>
          <w:szCs w:val="14"/>
          <w:color w:val="auto"/>
        </w:rPr>
        <w:t>; and</w:t>
      </w:r>
    </w:p>
    <w:p>
      <w:pPr>
        <w:spacing w:after="0" w:line="98" w:lineRule="exact"/>
        <w:rPr>
          <w:rFonts w:ascii="Times New Roman" w:cs="Times New Roman" w:eastAsia="Times New Roman" w:hAnsi="Times New Roman"/>
          <w:sz w:val="14"/>
          <w:szCs w:val="14"/>
          <w:color w:val="auto"/>
        </w:rPr>
      </w:pPr>
    </w:p>
    <w:p>
      <w:pPr>
        <w:jc w:val="both"/>
        <w:ind w:left="2160" w:right="419" w:hanging="335"/>
        <w:spacing w:after="0" w:line="262" w:lineRule="auto"/>
        <w:tabs>
          <w:tab w:leader="none" w:pos="2160" w:val="left"/>
        </w:tabs>
        <w:numPr>
          <w:ilvl w:val="0"/>
          <w:numId w:val="11"/>
        </w:numPr>
        <w:rPr>
          <w:rFonts w:ascii="Times New Roman" w:cs="Times New Roman" w:eastAsia="Times New Roman" w:hAnsi="Times New Roman"/>
          <w:sz w:val="14"/>
          <w:szCs w:val="14"/>
          <w:color w:val="0000EE"/>
        </w:rPr>
      </w:pPr>
      <w:hyperlink r:id="rId51">
        <w:r>
          <w:rPr>
            <w:rFonts w:ascii="Times New Roman" w:cs="Times New Roman" w:eastAsia="Times New Roman" w:hAnsi="Times New Roman"/>
            <w:sz w:val="14"/>
            <w:szCs w:val="14"/>
            <w:color w:val="auto"/>
          </w:rPr>
          <w:t xml:space="preserve">the description of our Common Stock, which is registered under Section 12 of the Exchange Act, contained in </w:t>
        </w:r>
        <w:r>
          <w:rPr>
            <w:rFonts w:ascii="Times New Roman" w:cs="Times New Roman" w:eastAsia="Times New Roman" w:hAnsi="Times New Roman"/>
            <w:sz w:val="14"/>
            <w:szCs w:val="14"/>
            <w:u w:val="single" w:color="auto"/>
            <w:color w:val="0000EE"/>
          </w:rPr>
          <w:t>Exhibit 4.1 to our Annual</w:t>
        </w:r>
      </w:hyperlink>
      <w:r>
        <w:rPr>
          <w:rFonts w:ascii="Times New Roman" w:cs="Times New Roman" w:eastAsia="Times New Roman" w:hAnsi="Times New Roman"/>
          <w:sz w:val="14"/>
          <w:szCs w:val="14"/>
          <w:color w:val="auto"/>
        </w:rPr>
        <w:t xml:space="preserve"> </w:t>
      </w:r>
      <w:hyperlink r:id="rId51">
        <w:r>
          <w:rPr>
            <w:rFonts w:ascii="Times New Roman" w:cs="Times New Roman" w:eastAsia="Times New Roman" w:hAnsi="Times New Roman"/>
            <w:sz w:val="14"/>
            <w:szCs w:val="14"/>
            <w:u w:val="single" w:color="auto"/>
            <w:color w:val="0000EE"/>
          </w:rPr>
          <w:t>Report on Form 10-K</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for the fiscal year ended December 31, 2025, filed with the SEC on March 16, 2026, including any amendments or</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reports filed for the purpose of updating such description.</w:t>
      </w:r>
    </w:p>
    <w:p>
      <w:pPr>
        <w:spacing w:after="0" w:line="137" w:lineRule="exact"/>
        <w:rPr>
          <w:rFonts w:ascii="Times New Roman" w:cs="Times New Roman" w:eastAsia="Times New Roman" w:hAnsi="Times New Roman"/>
          <w:sz w:val="14"/>
          <w:szCs w:val="14"/>
          <w:color w:val="auto"/>
        </w:rPr>
      </w:pPr>
    </w:p>
    <w:p>
      <w:pPr>
        <w:ind w:left="1400" w:right="339"/>
        <w:spacing w:after="0" w:line="292" w:lineRule="auto"/>
        <w:rPr>
          <w:sz w:val="20"/>
          <w:szCs w:val="20"/>
          <w:color w:val="auto"/>
        </w:rPr>
      </w:pPr>
      <w:r>
        <w:rPr>
          <w:rFonts w:ascii="Times New Roman" w:cs="Times New Roman" w:eastAsia="Times New Roman" w:hAnsi="Times New Roman"/>
          <w:sz w:val="13"/>
          <w:szCs w:val="13"/>
          <w:color w:val="auto"/>
        </w:rPr>
        <w:t>All documents that we file (but not those that we furnish) pursuant to Section 13(a), 13(c), 14 or 15(d) of the Exchange Act, after the date of the initial registration statement of which this prospectus is a part and prior to the effectiveness of the registration statement shall be deemed to be incorporated by reference into this prospectus and will automatically update and supersede the information in this prospectus, and any previously filed documents.</w:t>
      </w:r>
    </w:p>
    <w:p>
      <w:pPr>
        <w:spacing w:after="0" w:line="119" w:lineRule="exact"/>
        <w:rPr>
          <w:rFonts w:ascii="Times New Roman" w:cs="Times New Roman" w:eastAsia="Times New Roman" w:hAnsi="Times New Roman"/>
          <w:sz w:val="14"/>
          <w:szCs w:val="14"/>
          <w:color w:val="auto"/>
        </w:rPr>
      </w:pPr>
    </w:p>
    <w:p>
      <w:pPr>
        <w:ind w:left="1400" w:right="279"/>
        <w:spacing w:after="0" w:line="252" w:lineRule="auto"/>
        <w:rPr>
          <w:sz w:val="20"/>
          <w:szCs w:val="20"/>
          <w:color w:val="auto"/>
        </w:rPr>
      </w:pPr>
      <w:r>
        <w:rPr>
          <w:rFonts w:ascii="Times New Roman" w:cs="Times New Roman" w:eastAsia="Times New Roman" w:hAnsi="Times New Roman"/>
          <w:sz w:val="14"/>
          <w:szCs w:val="14"/>
          <w:color w:val="auto"/>
        </w:rPr>
        <w:t>Any statement contained herein or in a document incorporated or deemed to be incorporated by reference in this prospectus or the applicable prospectus supplement shall be deemed to be modified or superseded for purposes of this prospectus and such applicable prospectus supplement to the extent that a statement contained in this prospectus or such applicable prospectus supplement, or in any other subsequently filed document which also is or is deemed to be incorporated by reference in this prospectus and such applicable prospectus supplement, modifies or supersedes such earlier statement. Any statement so modified or superseded shall not be deemed, except as so modified or superseded, to constitute a part of this prospectus or such applicable prospectus supplement. Nothing in this prospectus shall be deemed to incorporate information furnished but not filed with the SEC pursuant to Item 2.02 or Item 7.01 of Form 8-K.</w:t>
      </w:r>
    </w:p>
    <w:p>
      <w:pPr>
        <w:spacing w:after="0" w:line="145" w:lineRule="exact"/>
        <w:rPr>
          <w:rFonts w:ascii="Times New Roman" w:cs="Times New Roman" w:eastAsia="Times New Roman" w:hAnsi="Times New Roman"/>
          <w:sz w:val="14"/>
          <w:szCs w:val="14"/>
          <w:color w:val="auto"/>
        </w:rPr>
      </w:pPr>
    </w:p>
    <w:p>
      <w:pPr>
        <w:ind w:left="1400" w:right="639"/>
        <w:spacing w:after="0" w:line="253" w:lineRule="auto"/>
        <w:rPr>
          <w:sz w:val="20"/>
          <w:szCs w:val="20"/>
          <w:color w:val="auto"/>
        </w:rPr>
      </w:pPr>
      <w:r>
        <w:rPr>
          <w:rFonts w:ascii="Times New Roman" w:cs="Times New Roman" w:eastAsia="Times New Roman" w:hAnsi="Times New Roman"/>
          <w:sz w:val="14"/>
          <w:szCs w:val="14"/>
          <w:color w:val="auto"/>
        </w:rPr>
        <w:t xml:space="preserve">Upon request, we will provide, without charge, to each person, including any beneficial owner, to whom a copy of this prospectus or an applicable prospectus supplement is delivered, a copy of the documents incorporated by reference into this prospectus or such prospectus supplement but not delivered with this prospectus or such prospectus supplement. You may request a copy of these filings, and any exhibits we have specifically incorporated by reference as an exhibit in this prospectus or such prospectus supplement, at no cost by writing us at the following address: c/o Magnachip Semiconductor, Ltd., 15F, 76 Jikji-daero 436beon-gil, Heungdeok-gu, Cheongju-si, Chungcheongbuk-do, 28581, Republic of Korea; Attention: Investor Relations; email address: </w:t>
      </w:r>
      <w:r>
        <w:rPr>
          <w:rFonts w:ascii="Times New Roman" w:cs="Times New Roman" w:eastAsia="Times New Roman" w:hAnsi="Times New Roman"/>
          <w:sz w:val="14"/>
          <w:szCs w:val="14"/>
          <w:i w:val="1"/>
          <w:iCs w:val="1"/>
          <w:color w:val="auto"/>
        </w:rPr>
        <w:t>investors@magnachip.com</w:t>
      </w:r>
      <w:r>
        <w:rPr>
          <w:rFonts w:ascii="Times New Roman" w:cs="Times New Roman" w:eastAsia="Times New Roman" w:hAnsi="Times New Roman"/>
          <w:sz w:val="14"/>
          <w:szCs w:val="14"/>
          <w:color w:val="auto"/>
        </w:rPr>
        <w:t xml:space="preserve"> or by telephone at: +82 (2) 6903-3000.</w:t>
      </w:r>
    </w:p>
    <w:p>
      <w:pPr>
        <w:spacing w:after="0" w:line="92"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82"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898525</wp:posOffset>
            </wp:positionH>
            <wp:positionV relativeFrom="paragraph">
              <wp:posOffset>192405</wp:posOffset>
            </wp:positionV>
            <wp:extent cx="5377815" cy="13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5377815" cy="13335"/>
                    </a:xfrm>
                    <a:prstGeom prst="rect">
                      <a:avLst/>
                    </a:prstGeom>
                    <a:noFill/>
                  </pic:spPr>
                </pic:pic>
              </a:graphicData>
            </a:graphic>
          </wp:anchor>
        </w:drawing>
        <w:drawing>
          <wp:anchor simplePos="0" relativeHeight="251657728" behindDoc="1" locked="0" layoutInCell="0" allowOverlap="1">
            <wp:simplePos x="0" y="0"/>
            <wp:positionH relativeFrom="column">
              <wp:posOffset>898525</wp:posOffset>
            </wp:positionH>
            <wp:positionV relativeFrom="paragraph">
              <wp:posOffset>231775</wp:posOffset>
            </wp:positionV>
            <wp:extent cx="5377815"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5377815" cy="6350"/>
                    </a:xfrm>
                    <a:prstGeom prst="rect">
                      <a:avLst/>
                    </a:prstGeom>
                    <a:noFill/>
                  </pic:spPr>
                </pic:pic>
              </a:graphicData>
            </a:graphic>
          </wp:anchor>
        </w:drawing>
        <w:drawing>
          <wp:anchor simplePos="0" relativeHeight="251657728" behindDoc="1" locked="0" layoutInCell="0" allowOverlap="1">
            <wp:simplePos x="0" y="0"/>
            <wp:positionH relativeFrom="column">
              <wp:posOffset>2486660</wp:posOffset>
            </wp:positionH>
            <wp:positionV relativeFrom="paragraph">
              <wp:posOffset>502285</wp:posOffset>
            </wp:positionV>
            <wp:extent cx="2201545" cy="421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2201545" cy="421640"/>
                    </a:xfrm>
                    <a:prstGeom prst="rect">
                      <a:avLst/>
                    </a:prstGeom>
                    <a:noFill/>
                  </pic:spPr>
                </pic:pic>
              </a:graphicData>
            </a:graphic>
          </wp:anchor>
        </w:drawing>
      </w:r>
    </w:p>
    <w:p>
      <w:pPr>
        <w:sectPr>
          <w:pgSz w:w="11900" w:h="16838" w:orient="portrait"/>
          <w:cols w:equalWidth="0" w:num="1">
            <w:col w:w="10159"/>
          </w:cols>
          <w:pgMar w:left="300" w:top="38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$50,000,000</w:t>
      </w:r>
    </w:p>
    <w:p>
      <w:pPr>
        <w:spacing w:after="0" w:line="17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3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Rights</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2613660</wp:posOffset>
            </wp:positionV>
            <wp:extent cx="1127125"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112712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187960</wp:posOffset>
            </wp:positionV>
            <wp:extent cx="1127125"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112712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898525</wp:posOffset>
            </wp:positionH>
            <wp:positionV relativeFrom="paragraph">
              <wp:posOffset>349885</wp:posOffset>
            </wp:positionV>
            <wp:extent cx="537781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5377815" cy="6350"/>
                    </a:xfrm>
                    <a:prstGeom prst="rect">
                      <a:avLst/>
                    </a:prstGeom>
                    <a:noFill/>
                  </pic:spPr>
                </pic:pic>
              </a:graphicData>
            </a:graphic>
          </wp:anchor>
        </w:drawing>
        <w:drawing>
          <wp:anchor simplePos="0" relativeHeight="251657728" behindDoc="1" locked="0" layoutInCell="0" allowOverlap="1">
            <wp:simplePos x="0" y="0"/>
            <wp:positionH relativeFrom="column">
              <wp:posOffset>898525</wp:posOffset>
            </wp:positionH>
            <wp:positionV relativeFrom="paragraph">
              <wp:posOffset>402590</wp:posOffset>
            </wp:positionV>
            <wp:extent cx="5377815" cy="133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5377815" cy="13335"/>
                    </a:xfrm>
                    <a:prstGeom prst="rect">
                      <a:avLst/>
                    </a:prstGeom>
                    <a:noFill/>
                  </pic:spPr>
                </pic:pic>
              </a:graphicData>
            </a:graphic>
          </wp:anchor>
        </w:drawing>
      </w:r>
    </w:p>
    <w:p>
      <w:pPr>
        <w:sectPr>
          <w:pgSz w:w="11900" w:h="16838" w:orient="portrait"/>
          <w:cols w:equalWidth="0" w:num="1">
            <w:col w:w="10159"/>
          </w:cols>
          <w:pgMar w:left="300" w:top="382" w:right="1440"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7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 xml:space="preserve">Item 14. </w:t>
      </w:r>
      <w:r>
        <w:rPr>
          <w:rFonts w:ascii="Times New Roman" w:cs="Times New Roman" w:eastAsia="Times New Roman" w:hAnsi="Times New Roman"/>
          <w:sz w:val="14"/>
          <w:szCs w:val="14"/>
          <w:b w:val="1"/>
          <w:bCs w:val="1"/>
          <w:i w:val="1"/>
          <w:iCs w:val="1"/>
          <w:color w:val="auto"/>
        </w:rPr>
        <w:t>Other Expenses of Issuance and Distribution</w:t>
      </w:r>
    </w:p>
    <w:p>
      <w:pPr>
        <w:spacing w:after="0" w:line="90" w:lineRule="exact"/>
        <w:rPr>
          <w:sz w:val="20"/>
          <w:szCs w:val="20"/>
          <w:color w:val="auto"/>
        </w:rPr>
      </w:pPr>
    </w:p>
    <w:p>
      <w:pPr>
        <w:ind w:left="1400" w:right="279"/>
        <w:spacing w:after="0" w:line="277" w:lineRule="auto"/>
        <w:rPr>
          <w:sz w:val="20"/>
          <w:szCs w:val="20"/>
          <w:color w:val="auto"/>
        </w:rPr>
      </w:pPr>
      <w:r>
        <w:rPr>
          <w:rFonts w:ascii="Times New Roman" w:cs="Times New Roman" w:eastAsia="Times New Roman" w:hAnsi="Times New Roman"/>
          <w:sz w:val="14"/>
          <w:szCs w:val="14"/>
          <w:color w:val="auto"/>
        </w:rPr>
        <w:t>Set forth below is an estimate (except in the case of the SEC registration fee and the FINRA filing fee) of the amount of fees and expenses to be incurred in connection with the issuance and distribution of the offered securities, other than underwriting discounts and commissions.</w:t>
      </w:r>
    </w:p>
    <w:p>
      <w:pPr>
        <w:spacing w:after="0" w:line="131" w:lineRule="exact"/>
        <w:rPr>
          <w:sz w:val="20"/>
          <w:szCs w:val="20"/>
          <w:color w:val="auto"/>
        </w:rPr>
      </w:pPr>
    </w:p>
    <w:tbl>
      <w:tblPr>
        <w:tblLayout w:type="fixed"/>
        <w:tblInd w:w="27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52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33"/>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2280" w:type="dxa"/>
            <w:vAlign w:val="bottom"/>
            <w:gridSpan w:val="4"/>
          </w:tcPr>
          <w:p>
            <w:pPr>
              <w:ind w:left="1760"/>
              <w:spacing w:after="0"/>
              <w:rPr>
                <w:sz w:val="20"/>
                <w:szCs w:val="20"/>
                <w:color w:val="auto"/>
              </w:rPr>
            </w:pPr>
            <w:r>
              <w:rPr>
                <w:rFonts w:ascii="Times New Roman" w:cs="Times New Roman" w:eastAsia="Times New Roman" w:hAnsi="Times New Roman"/>
                <w:sz w:val="11"/>
                <w:szCs w:val="11"/>
                <w:b w:val="1"/>
                <w:bCs w:val="1"/>
                <w:color w:val="auto"/>
              </w:rPr>
              <w:t>to be Paid</w:t>
            </w:r>
          </w:p>
        </w:tc>
      </w:tr>
      <w:tr>
        <w:trPr>
          <w:trHeight w:val="156"/>
        </w:trPr>
        <w:tc>
          <w:tcPr>
            <w:tcW w:w="20" w:type="dxa"/>
            <w:vAlign w:val="bottom"/>
          </w:tcPr>
          <w:p>
            <w:pPr>
              <w:spacing w:after="0"/>
              <w:rPr>
                <w:sz w:val="13"/>
                <w:szCs w:val="13"/>
                <w:color w:val="auto"/>
              </w:rPr>
            </w:pPr>
          </w:p>
        </w:tc>
        <w:tc>
          <w:tcPr>
            <w:tcW w:w="346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SEC registration fee</w:t>
            </w:r>
          </w:p>
        </w:tc>
        <w:tc>
          <w:tcPr>
            <w:tcW w:w="17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6,905</w:t>
            </w:r>
          </w:p>
        </w:tc>
        <w:tc>
          <w:tcPr>
            <w:tcW w:w="40" w:type="dxa"/>
            <w:vAlign w:val="bottom"/>
            <w:tcBorders>
              <w:top w:val="single" w:sz="8" w:color="CCEEFF"/>
            </w:tcBorders>
            <w:shd w:val="clear" w:color="auto" w:fill="CCEEFF"/>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1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Printing expenses</w:t>
            </w: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Transfer agent and trustee fees</w:t>
            </w:r>
          </w:p>
        </w:tc>
        <w:tc>
          <w:tcPr>
            <w:tcW w:w="1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Miscellaneous</w:t>
            </w:r>
          </w:p>
        </w:tc>
        <w:tc>
          <w:tcPr>
            <w:tcW w:w="1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7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r>
    </w:tbl>
    <w:p>
      <w:pPr>
        <w:spacing w:after="0" w:line="182" w:lineRule="exact"/>
        <w:rPr>
          <w:sz w:val="20"/>
          <w:szCs w:val="20"/>
          <w:color w:val="auto"/>
        </w:rPr>
      </w:pPr>
    </w:p>
    <w:p>
      <w:pPr>
        <w:ind w:left="1580" w:right="299" w:hanging="171"/>
        <w:spacing w:after="0" w:line="277" w:lineRule="auto"/>
        <w:tabs>
          <w:tab w:leader="none" w:pos="15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and expenses are calculated based on the number of issuances and amount of securities offered and accordingly cannot be estimated at this time.</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 xml:space="preserve">Item 15. </w:t>
      </w:r>
      <w:r>
        <w:rPr>
          <w:rFonts w:ascii="Times New Roman" w:cs="Times New Roman" w:eastAsia="Times New Roman" w:hAnsi="Times New Roman"/>
          <w:sz w:val="14"/>
          <w:szCs w:val="14"/>
          <w:b w:val="1"/>
          <w:bCs w:val="1"/>
          <w:i w:val="1"/>
          <w:iCs w:val="1"/>
          <w:color w:val="auto"/>
        </w:rPr>
        <w:t>Indemnification of Directors and Officers</w:t>
      </w:r>
    </w:p>
    <w:p>
      <w:pPr>
        <w:spacing w:after="0" w:line="90" w:lineRule="exact"/>
        <w:rPr>
          <w:sz w:val="20"/>
          <w:szCs w:val="20"/>
          <w:color w:val="auto"/>
        </w:rPr>
      </w:pPr>
    </w:p>
    <w:p>
      <w:pPr>
        <w:ind w:left="1400" w:right="319"/>
        <w:spacing w:after="0" w:line="255" w:lineRule="auto"/>
        <w:rPr>
          <w:sz w:val="20"/>
          <w:szCs w:val="20"/>
          <w:color w:val="auto"/>
        </w:rPr>
      </w:pPr>
      <w:r>
        <w:rPr>
          <w:rFonts w:ascii="Times New Roman" w:cs="Times New Roman" w:eastAsia="Times New Roman" w:hAnsi="Times New Roman"/>
          <w:sz w:val="14"/>
          <w:szCs w:val="14"/>
          <w:color w:val="auto"/>
        </w:rPr>
        <w:t>We are incorporated under the laws of the State of Delaware. Section 102 of the Delaware General Corporation Law, or the DGCL, permits a corporation to eliminate the personal liability of directors of a corporation to the corporation or its stockholders for monetary damages for a breach of fiduciary duty as a director, except where the director breached such director’s duty of loyalty, failed to act in good faith, engaged in intentional misconduct or knowingly violated a law, authorized the payment of a dividend or approved a stock repurchase in violation of Delaware corporate law or obtained an improper personal benefit.</w:t>
      </w:r>
    </w:p>
    <w:p>
      <w:pPr>
        <w:spacing w:after="0" w:line="141" w:lineRule="exact"/>
        <w:rPr>
          <w:sz w:val="20"/>
          <w:szCs w:val="20"/>
          <w:color w:val="auto"/>
        </w:rPr>
      </w:pPr>
    </w:p>
    <w:p>
      <w:pPr>
        <w:ind w:left="1400" w:right="319"/>
        <w:spacing w:after="0" w:line="251" w:lineRule="auto"/>
        <w:rPr>
          <w:sz w:val="20"/>
          <w:szCs w:val="20"/>
          <w:color w:val="auto"/>
        </w:rPr>
      </w:pPr>
      <w:r>
        <w:rPr>
          <w:rFonts w:ascii="Times New Roman" w:cs="Times New Roman" w:eastAsia="Times New Roman" w:hAnsi="Times New Roman"/>
          <w:sz w:val="14"/>
          <w:szCs w:val="14"/>
          <w:color w:val="auto"/>
        </w:rPr>
        <w:t>Section 145 of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48" w:lineRule="exact"/>
        <w:rPr>
          <w:sz w:val="20"/>
          <w:szCs w:val="20"/>
          <w:color w:val="auto"/>
        </w:rPr>
      </w:pPr>
    </w:p>
    <w:p>
      <w:pPr>
        <w:jc w:val="both"/>
        <w:ind w:left="1400" w:right="439"/>
        <w:spacing w:after="0" w:line="262" w:lineRule="auto"/>
        <w:rPr>
          <w:sz w:val="20"/>
          <w:szCs w:val="20"/>
          <w:color w:val="auto"/>
        </w:rPr>
      </w:pPr>
      <w:r>
        <w:rPr>
          <w:rFonts w:ascii="Times New Roman" w:cs="Times New Roman" w:eastAsia="Times New Roman" w:hAnsi="Times New Roman"/>
          <w:sz w:val="14"/>
          <w:szCs w:val="14"/>
          <w:color w:val="auto"/>
        </w:rPr>
        <w:t>Our certificate of incorporation and amended and restated bylaws contain provisions that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w:t>
      </w:r>
    </w:p>
    <w:p>
      <w:pPr>
        <w:spacing w:after="0" w:line="64" w:lineRule="exact"/>
        <w:rPr>
          <w:sz w:val="20"/>
          <w:szCs w:val="20"/>
          <w:color w:val="auto"/>
        </w:rPr>
      </w:pPr>
    </w:p>
    <w:p>
      <w:pPr>
        <w:ind w:left="2160" w:hanging="335"/>
        <w:spacing w:after="0"/>
        <w:tabs>
          <w:tab w:leader="none" w:pos="21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breach of the director’s duty of loyalty to us or our stockholders;</w:t>
      </w:r>
    </w:p>
    <w:p>
      <w:pPr>
        <w:spacing w:after="0" w:line="98" w:lineRule="exact"/>
        <w:rPr>
          <w:rFonts w:ascii="Times New Roman" w:cs="Times New Roman" w:eastAsia="Times New Roman" w:hAnsi="Times New Roman"/>
          <w:sz w:val="14"/>
          <w:szCs w:val="14"/>
          <w:color w:val="auto"/>
        </w:rPr>
      </w:pPr>
    </w:p>
    <w:p>
      <w:pPr>
        <w:ind w:left="5540" w:right="2059" w:hanging="3715"/>
        <w:spacing w:after="0" w:line="448" w:lineRule="auto"/>
        <w:tabs>
          <w:tab w:leader="none" w:pos="21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 or omission not in good faith or that involves intentional misconduct or a knowing violation of law; II-1</w:t>
      </w:r>
    </w:p>
    <w:p>
      <w:pPr>
        <w:sectPr>
          <w:pgSz w:w="11900" w:h="16838" w:orient="portrait"/>
          <w:cols w:equalWidth="0" w:num="1">
            <w:col w:w="10159"/>
          </w:cols>
          <w:pgMar w:left="300" w:top="382"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right="419" w:hanging="335"/>
        <w:spacing w:after="0" w:line="277" w:lineRule="auto"/>
        <w:tabs>
          <w:tab w:leader="none" w:pos="21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unlawful payments related to dividends or unlawful stock purchases, redemptions or other distributions as provided in Section 174 of the DGCL; or</w:t>
      </w:r>
    </w:p>
    <w:p>
      <w:pPr>
        <w:spacing w:after="0" w:line="53" w:lineRule="exact"/>
        <w:rPr>
          <w:rFonts w:ascii="Times New Roman" w:cs="Times New Roman" w:eastAsia="Times New Roman" w:hAnsi="Times New Roman"/>
          <w:sz w:val="14"/>
          <w:szCs w:val="14"/>
          <w:color w:val="auto"/>
        </w:rPr>
      </w:pPr>
    </w:p>
    <w:p>
      <w:pPr>
        <w:ind w:left="2160" w:hanging="335"/>
        <w:spacing w:after="0"/>
        <w:tabs>
          <w:tab w:leader="none" w:pos="21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from which the director derived an improper personal benefit.</w:t>
      </w:r>
    </w:p>
    <w:p>
      <w:pPr>
        <w:spacing w:after="0" w:line="171" w:lineRule="exact"/>
        <w:rPr>
          <w:sz w:val="20"/>
          <w:szCs w:val="20"/>
          <w:color w:val="auto"/>
        </w:rPr>
      </w:pPr>
    </w:p>
    <w:p>
      <w:pPr>
        <w:ind w:left="1400" w:right="419"/>
        <w:spacing w:after="0" w:line="277" w:lineRule="auto"/>
        <w:rPr>
          <w:sz w:val="20"/>
          <w:szCs w:val="20"/>
          <w:color w:val="auto"/>
        </w:rPr>
      </w:pPr>
      <w:r>
        <w:rPr>
          <w:rFonts w:ascii="Times New Roman" w:cs="Times New Roman" w:eastAsia="Times New Roman" w:hAnsi="Times New Roman"/>
          <w:sz w:val="14"/>
          <w:szCs w:val="14"/>
          <w:color w:val="auto"/>
        </w:rPr>
        <w:t>These limitations of liability do not alter director liability under the federal securities laws and do not affect the availability of equitable remedies such as an injunction or rescission.</w:t>
      </w:r>
    </w:p>
    <w:p>
      <w:pPr>
        <w:spacing w:after="0" w:line="1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In addition, our amended and restated bylaws provide that:</w:t>
      </w:r>
    </w:p>
    <w:p>
      <w:pPr>
        <w:spacing w:after="0" w:line="98" w:lineRule="exact"/>
        <w:rPr>
          <w:sz w:val="20"/>
          <w:szCs w:val="20"/>
          <w:color w:val="auto"/>
        </w:rPr>
      </w:pPr>
    </w:p>
    <w:p>
      <w:pPr>
        <w:ind w:left="2160" w:right="439" w:hanging="335"/>
        <w:spacing w:after="0" w:line="277" w:lineRule="auto"/>
        <w:tabs>
          <w:tab w:leader="none" w:pos="21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indemnify our directors, officers and, in the discretion of our board of directors, certain employees to the fullest extent permitted by the DGCL, as it now exists or may in the future be amended; and</w:t>
      </w:r>
    </w:p>
    <w:p>
      <w:pPr>
        <w:spacing w:after="0" w:line="53" w:lineRule="exact"/>
        <w:rPr>
          <w:rFonts w:ascii="Times New Roman" w:cs="Times New Roman" w:eastAsia="Times New Roman" w:hAnsi="Times New Roman"/>
          <w:sz w:val="14"/>
          <w:szCs w:val="14"/>
          <w:color w:val="auto"/>
        </w:rPr>
      </w:pPr>
    </w:p>
    <w:p>
      <w:pPr>
        <w:jc w:val="both"/>
        <w:ind w:left="2160" w:right="619" w:hanging="335"/>
        <w:spacing w:after="0" w:line="262" w:lineRule="auto"/>
        <w:tabs>
          <w:tab w:leader="none" w:pos="21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137" w:lineRule="exact"/>
        <w:rPr>
          <w:sz w:val="20"/>
          <w:szCs w:val="20"/>
          <w:color w:val="auto"/>
        </w:rPr>
      </w:pPr>
    </w:p>
    <w:p>
      <w:pPr>
        <w:ind w:left="1400" w:right="319"/>
        <w:spacing w:after="0" w:line="253" w:lineRule="auto"/>
        <w:rPr>
          <w:sz w:val="20"/>
          <w:szCs w:val="20"/>
          <w:color w:val="auto"/>
        </w:rPr>
      </w:pPr>
      <w:r>
        <w:rPr>
          <w:rFonts w:ascii="Times New Roman" w:cs="Times New Roman" w:eastAsia="Times New Roman" w:hAnsi="Times New Roman"/>
          <w:sz w:val="14"/>
          <w:szCs w:val="14"/>
          <w:color w:val="auto"/>
        </w:rPr>
        <w:t>We have entered into indemnification agreements with each of our directors and certain of our executive officers. These agreements provide that we will indemnify each of our directors, certain of our executive officers and, at times, their affiliates, to the fullest extent permitted by the DGCL. We will advance expenses, including attorneys’ fees (but excluding judgments, fines and settlement amounts), to each indemnified director, executive officer or affiliate in connection with any proceeding in which indemnification is available and we will indemnify our directors and executive officers for any action or proceeding arising out of that person’s services as a director or officer brought on behalf of us or in furtherance of our rights. We intend to enter into indemnification agreements with any new directors and executive officers in the future.</w:t>
      </w:r>
    </w:p>
    <w:p>
      <w:pPr>
        <w:spacing w:after="0" w:line="144" w:lineRule="exact"/>
        <w:rPr>
          <w:sz w:val="20"/>
          <w:szCs w:val="20"/>
          <w:color w:val="auto"/>
        </w:rPr>
      </w:pPr>
    </w:p>
    <w:p>
      <w:pPr>
        <w:ind w:left="1400" w:right="359"/>
        <w:spacing w:after="0" w:line="257" w:lineRule="auto"/>
        <w:rPr>
          <w:sz w:val="20"/>
          <w:szCs w:val="20"/>
          <w:color w:val="auto"/>
        </w:rPr>
      </w:pPr>
      <w:r>
        <w:rPr>
          <w:rFonts w:ascii="Times New Roman" w:cs="Times New Roman" w:eastAsia="Times New Roman" w:hAnsi="Times New Roman"/>
          <w:sz w:val="14"/>
          <w:szCs w:val="14"/>
          <w:color w:val="auto"/>
        </w:rPr>
        <w:t>Additionally, certain of our directors may have certain rights to indemnification, advancement of expenses or insurance provided by their affiliates, which indemnification relates to and might apply to the same proceedings arising out of such director’s services as a director referenced herein. Nonetheless, we have agreed in our indemnification agreements that our obligations to those directors are primary and any obligation of the affiliates of those directors to advance expenses or to provide indemnification for the expenses or liabilities incurred by those directors are secondary.</w:t>
      </w:r>
    </w:p>
    <w:p>
      <w:pPr>
        <w:spacing w:after="0" w:line="141" w:lineRule="exact"/>
        <w:rPr>
          <w:sz w:val="20"/>
          <w:szCs w:val="20"/>
          <w:color w:val="auto"/>
        </w:rPr>
      </w:pPr>
    </w:p>
    <w:p>
      <w:pPr>
        <w:ind w:left="1400" w:right="459"/>
        <w:spacing w:after="0" w:line="277" w:lineRule="auto"/>
        <w:rPr>
          <w:sz w:val="20"/>
          <w:szCs w:val="20"/>
          <w:color w:val="auto"/>
        </w:rPr>
      </w:pPr>
      <w:r>
        <w:rPr>
          <w:rFonts w:ascii="Times New Roman" w:cs="Times New Roman" w:eastAsia="Times New Roman" w:hAnsi="Times New Roman"/>
          <w:sz w:val="14"/>
          <w:szCs w:val="14"/>
          <w:color w:val="auto"/>
        </w:rPr>
        <w:t>We also maintain a general liability insurance policy which covers certain liabilities of our directors and officers arising out of claims based on acts or omissions in their capacities as directors or officers, including liabilities under the Securities Act.</w:t>
      </w:r>
    </w:p>
    <w:p>
      <w:pPr>
        <w:spacing w:after="0" w:line="127" w:lineRule="exact"/>
        <w:rPr>
          <w:sz w:val="20"/>
          <w:szCs w:val="20"/>
          <w:color w:val="auto"/>
        </w:rPr>
      </w:pPr>
    </w:p>
    <w:p>
      <w:pPr>
        <w:jc w:val="both"/>
        <w:ind w:left="1400" w:right="359"/>
        <w:spacing w:after="0" w:line="262"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382"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 xml:space="preserve">Item 16. </w:t>
      </w:r>
      <w:r>
        <w:rPr>
          <w:rFonts w:ascii="Times New Roman" w:cs="Times New Roman" w:eastAsia="Times New Roman" w:hAnsi="Times New Roman"/>
          <w:sz w:val="14"/>
          <w:szCs w:val="14"/>
          <w:b w:val="1"/>
          <w:bCs w:val="1"/>
          <w:i w:val="1"/>
          <w:iCs w:val="1"/>
          <w:color w:val="auto"/>
        </w:rPr>
        <w:t>Exhibits</w:t>
      </w:r>
    </w:p>
    <w:p>
      <w:pPr>
        <w:spacing w:after="0" w:line="177"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4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34"/>
        </w:trPr>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7"/>
              </w:rPr>
              <w:t>Number</w:t>
            </w:r>
          </w:p>
        </w:tc>
        <w:tc>
          <w:tcPr>
            <w:tcW w:w="3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gridSpan w:val="17"/>
          </w:tcPr>
          <w:p>
            <w:pPr>
              <w:ind w:left="280"/>
              <w:spacing w:after="0"/>
              <w:rPr>
                <w:sz w:val="20"/>
                <w:szCs w:val="20"/>
                <w:color w:val="auto"/>
              </w:rPr>
            </w:pPr>
            <w:r>
              <w:rPr>
                <w:rFonts w:ascii="Times New Roman" w:cs="Times New Roman" w:eastAsia="Times New Roman" w:hAnsi="Times New Roman"/>
                <w:sz w:val="11"/>
                <w:szCs w:val="11"/>
                <w:b w:val="1"/>
                <w:bCs w:val="1"/>
                <w:color w:val="auto"/>
              </w:rPr>
              <w:t>Exhibit Title</w:t>
            </w:r>
          </w:p>
        </w:tc>
        <w:tc>
          <w:tcPr>
            <w:tcW w:w="160" w:type="dxa"/>
            <w:vAlign w:val="bottom"/>
          </w:tcPr>
          <w:p>
            <w:pPr>
              <w:spacing w:after="0"/>
              <w:rPr>
                <w:sz w:val="11"/>
                <w:szCs w:val="11"/>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Form</w:t>
            </w:r>
          </w:p>
        </w:tc>
        <w:tc>
          <w:tcPr>
            <w:tcW w:w="160" w:type="dxa"/>
            <w:vAlign w:val="bottom"/>
          </w:tcPr>
          <w:p>
            <w:pPr>
              <w:spacing w:after="0"/>
              <w:rPr>
                <w:sz w:val="11"/>
                <w:szCs w:val="11"/>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File No.</w:t>
            </w:r>
          </w:p>
        </w:tc>
        <w:tc>
          <w:tcPr>
            <w:tcW w:w="160" w:type="dxa"/>
            <w:vAlign w:val="bottom"/>
          </w:tcPr>
          <w:p>
            <w:pPr>
              <w:spacing w:after="0"/>
              <w:rPr>
                <w:sz w:val="11"/>
                <w:szCs w:val="11"/>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60" w:type="dxa"/>
            <w:vAlign w:val="bottom"/>
          </w:tcPr>
          <w:p>
            <w:pPr>
              <w:spacing w:after="0"/>
              <w:rPr>
                <w:sz w:val="11"/>
                <w:szCs w:val="11"/>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Filing Date</w:t>
            </w:r>
          </w:p>
        </w:tc>
      </w:tr>
      <w:tr>
        <w:trPr>
          <w:trHeight w:val="239"/>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1.1*</w:t>
            </w:r>
          </w:p>
        </w:tc>
        <w:tc>
          <w:tcPr>
            <w:tcW w:w="320" w:type="dxa"/>
            <w:vAlign w:val="bottom"/>
          </w:tcPr>
          <w:p>
            <w:pPr>
              <w:spacing w:after="0"/>
              <w:rPr>
                <w:sz w:val="20"/>
                <w:szCs w:val="20"/>
                <w:color w:val="auto"/>
              </w:rPr>
            </w:pPr>
          </w:p>
        </w:tc>
        <w:tc>
          <w:tcPr>
            <w:tcW w:w="448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Form(s) of Underwriting Agreement(s).</w:t>
            </w:r>
          </w:p>
        </w:tc>
        <w:tc>
          <w:tcPr>
            <w:tcW w:w="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75"/>
              </w:rPr>
              <w:t>— </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85"/>
              </w:rPr>
              <w:t>— </w:t>
            </w: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85"/>
              </w:rPr>
              <w:t>— </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75"/>
              </w:rPr>
              <w:t>— </w:t>
            </w:r>
          </w:p>
        </w:tc>
      </w:tr>
      <w:tr>
        <w:trPr>
          <w:trHeight w:val="217"/>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3.1</w:t>
            </w:r>
          </w:p>
        </w:tc>
        <w:tc>
          <w:tcPr>
            <w:tcW w:w="320" w:type="dxa"/>
            <w:vAlign w:val="bottom"/>
          </w:tcPr>
          <w:p>
            <w:pPr>
              <w:spacing w:after="0"/>
              <w:rPr>
                <w:sz w:val="18"/>
                <w:szCs w:val="18"/>
                <w:color w:val="auto"/>
              </w:rPr>
            </w:pPr>
          </w:p>
        </w:tc>
        <w:tc>
          <w:tcPr>
            <w:tcW w:w="4480" w:type="dxa"/>
            <w:vAlign w:val="bottom"/>
            <w:gridSpan w:val="22"/>
          </w:tcPr>
          <w:p>
            <w:pPr>
              <w:spacing w:after="0"/>
              <w:rPr>
                <w:rFonts w:ascii="Times New Roman" w:cs="Times New Roman" w:eastAsia="Times New Roman" w:hAnsi="Times New Roman"/>
                <w:sz w:val="14"/>
                <w:szCs w:val="14"/>
                <w:color w:val="0000EE"/>
              </w:rPr>
            </w:pPr>
            <w:hyperlink r:id="rId63">
              <w:r>
                <w:rPr>
                  <w:rFonts w:ascii="Times New Roman" w:cs="Times New Roman" w:eastAsia="Times New Roman" w:hAnsi="Times New Roman"/>
                  <w:sz w:val="14"/>
                  <w:szCs w:val="14"/>
                  <w:color w:val="0000EE"/>
                </w:rPr>
                <w:t>Certificate of Conversion of MagnaChip Semiconductor LLC.</w:t>
              </w:r>
            </w:hyperlink>
          </w:p>
        </w:tc>
        <w:tc>
          <w:tcPr>
            <w:tcW w:w="4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001-34791</w:t>
            </w:r>
          </w:p>
        </w:tc>
        <w:tc>
          <w:tcPr>
            <w:tcW w:w="1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3.1</w:t>
            </w:r>
          </w:p>
        </w:tc>
        <w:tc>
          <w:tcPr>
            <w:tcW w:w="1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March 11, 2011</w:t>
            </w:r>
          </w:p>
        </w:tc>
      </w:tr>
      <w:tr>
        <w:trPr>
          <w:trHeight w:val="20"/>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29"/>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3.2</w:t>
            </w:r>
          </w:p>
        </w:tc>
        <w:tc>
          <w:tcPr>
            <w:tcW w:w="320" w:type="dxa"/>
            <w:vAlign w:val="bottom"/>
          </w:tcPr>
          <w:p>
            <w:pPr>
              <w:spacing w:after="0"/>
              <w:rPr>
                <w:sz w:val="19"/>
                <w:szCs w:val="19"/>
                <w:color w:val="auto"/>
              </w:rPr>
            </w:pPr>
          </w:p>
        </w:tc>
        <w:tc>
          <w:tcPr>
            <w:tcW w:w="4480" w:type="dxa"/>
            <w:vAlign w:val="bottom"/>
            <w:gridSpan w:val="22"/>
          </w:tcPr>
          <w:p>
            <w:pPr>
              <w:spacing w:after="0"/>
              <w:rPr>
                <w:rFonts w:ascii="Times New Roman" w:cs="Times New Roman" w:eastAsia="Times New Roman" w:hAnsi="Times New Roman"/>
                <w:sz w:val="14"/>
                <w:szCs w:val="14"/>
                <w:color w:val="0000EE"/>
              </w:rPr>
            </w:pPr>
            <w:hyperlink r:id="rId64">
              <w:r>
                <w:rPr>
                  <w:rFonts w:ascii="Times New Roman" w:cs="Times New Roman" w:eastAsia="Times New Roman" w:hAnsi="Times New Roman"/>
                  <w:sz w:val="14"/>
                  <w:szCs w:val="14"/>
                  <w:color w:val="0000EE"/>
                </w:rPr>
                <w:t>Certificate of Incorporation of MagnaChip Semiconductor Corporation.</w:t>
              </w:r>
            </w:hyperlink>
          </w:p>
        </w:tc>
        <w:tc>
          <w:tcPr>
            <w:tcW w:w="4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001-34791</w:t>
            </w:r>
          </w:p>
        </w:tc>
        <w:tc>
          <w:tcPr>
            <w:tcW w:w="16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3.2</w:t>
            </w:r>
          </w:p>
        </w:tc>
        <w:tc>
          <w:tcPr>
            <w:tcW w:w="16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March 11, 2011</w:t>
            </w:r>
          </w:p>
        </w:tc>
      </w:tr>
      <w:tr>
        <w:trPr>
          <w:trHeight w:val="20"/>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29"/>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3.3</w:t>
            </w:r>
          </w:p>
        </w:tc>
        <w:tc>
          <w:tcPr>
            <w:tcW w:w="320" w:type="dxa"/>
            <w:vAlign w:val="bottom"/>
          </w:tcPr>
          <w:p>
            <w:pPr>
              <w:spacing w:after="0"/>
              <w:rPr>
                <w:sz w:val="19"/>
                <w:szCs w:val="19"/>
                <w:color w:val="auto"/>
              </w:rPr>
            </w:pPr>
          </w:p>
        </w:tc>
        <w:tc>
          <w:tcPr>
            <w:tcW w:w="4160" w:type="dxa"/>
            <w:vAlign w:val="bottom"/>
            <w:tcBorders>
              <w:bottom w:val="single" w:sz="8" w:color="0000EE"/>
            </w:tcBorders>
            <w:gridSpan w:val="17"/>
          </w:tcPr>
          <w:p>
            <w:pPr>
              <w:spacing w:after="0"/>
              <w:rPr>
                <w:rFonts w:ascii="Times New Roman" w:cs="Times New Roman" w:eastAsia="Times New Roman" w:hAnsi="Times New Roman"/>
                <w:sz w:val="14"/>
                <w:szCs w:val="14"/>
                <w:color w:val="0000EE"/>
                <w:w w:val="98"/>
              </w:rPr>
            </w:pPr>
            <w:hyperlink r:id="rId65">
              <w:r>
                <w:rPr>
                  <w:rFonts w:ascii="Times New Roman" w:cs="Times New Roman" w:eastAsia="Times New Roman" w:hAnsi="Times New Roman"/>
                  <w:sz w:val="14"/>
                  <w:szCs w:val="14"/>
                  <w:color w:val="0000EE"/>
                  <w:w w:val="98"/>
                </w:rPr>
                <w:t>Certificate of Amendment to the Certificate of Incorporation of Magnachip</w:t>
              </w:r>
            </w:hyperlink>
          </w:p>
        </w:tc>
        <w:tc>
          <w:tcPr>
            <w:tcW w:w="320" w:type="dxa"/>
            <w:vAlign w:val="bottom"/>
            <w:gridSpan w:val="5"/>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146"/>
        </w:trPr>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tcBorders>
              <w:bottom w:val="single" w:sz="8" w:color="0000EE"/>
            </w:tcBorders>
            <w:gridSpan w:val="4"/>
          </w:tcPr>
          <w:p>
            <w:pPr>
              <w:spacing w:after="0" w:line="146" w:lineRule="exact"/>
              <w:rPr>
                <w:rFonts w:ascii="Times New Roman" w:cs="Times New Roman" w:eastAsia="Times New Roman" w:hAnsi="Times New Roman"/>
                <w:sz w:val="14"/>
                <w:szCs w:val="14"/>
                <w:color w:val="0000EE"/>
                <w:w w:val="97"/>
              </w:rPr>
            </w:pPr>
            <w:hyperlink r:id="rId65">
              <w:r>
                <w:rPr>
                  <w:rFonts w:ascii="Times New Roman" w:cs="Times New Roman" w:eastAsia="Times New Roman" w:hAnsi="Times New Roman"/>
                  <w:sz w:val="14"/>
                  <w:szCs w:val="14"/>
                  <w:color w:val="0000EE"/>
                  <w:w w:val="97"/>
                </w:rPr>
                <w:t>Semiconductor Corporation.</w:t>
              </w:r>
            </w:hyperlink>
          </w:p>
        </w:tc>
        <w:tc>
          <w:tcPr>
            <w:tcW w:w="2900" w:type="dxa"/>
            <w:vAlign w:val="bottom"/>
            <w:gridSpan w:val="18"/>
          </w:tcPr>
          <w:p>
            <w:pPr>
              <w:spacing w:after="0"/>
              <w:rPr>
                <w:sz w:val="12"/>
                <w:szCs w:val="12"/>
                <w:color w:val="auto"/>
              </w:rPr>
            </w:pPr>
          </w:p>
        </w:tc>
        <w:tc>
          <w:tcPr>
            <w:tcW w:w="4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color w:val="auto"/>
              </w:rPr>
              <w:t>8-K</w:t>
            </w:r>
          </w:p>
        </w:tc>
        <w:tc>
          <w:tcPr>
            <w:tcW w:w="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8"/>
              </w:rPr>
              <w:t>001-34791</w:t>
            </w:r>
          </w:p>
        </w:tc>
        <w:tc>
          <w:tcPr>
            <w:tcW w:w="160" w:type="dxa"/>
            <w:vAlign w:val="bottom"/>
          </w:tcPr>
          <w:p>
            <w:pPr>
              <w:spacing w:after="0"/>
              <w:rPr>
                <w:sz w:val="12"/>
                <w:szCs w:val="12"/>
                <w:color w:val="auto"/>
              </w:rPr>
            </w:pPr>
          </w:p>
        </w:tc>
        <w:tc>
          <w:tcPr>
            <w:tcW w:w="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1"/>
              </w:rPr>
              <w:t>3.1</w:t>
            </w:r>
          </w:p>
        </w:tc>
        <w:tc>
          <w:tcPr>
            <w:tcW w:w="160" w:type="dxa"/>
            <w:vAlign w:val="bottom"/>
          </w:tcPr>
          <w:p>
            <w:pPr>
              <w:spacing w:after="0"/>
              <w:rPr>
                <w:sz w:val="12"/>
                <w:szCs w:val="12"/>
                <w:color w:val="auto"/>
              </w:rPr>
            </w:pPr>
          </w:p>
        </w:tc>
        <w:tc>
          <w:tcPr>
            <w:tcW w:w="12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8"/>
              </w:rPr>
              <w:t>December 30, 2020</w:t>
            </w:r>
          </w:p>
        </w:tc>
      </w:tr>
      <w:tr>
        <w:trPr>
          <w:trHeight w:val="229"/>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3.4</w:t>
            </w:r>
          </w:p>
        </w:tc>
        <w:tc>
          <w:tcPr>
            <w:tcW w:w="320" w:type="dxa"/>
            <w:vAlign w:val="bottom"/>
          </w:tcPr>
          <w:p>
            <w:pPr>
              <w:spacing w:after="0"/>
              <w:rPr>
                <w:sz w:val="19"/>
                <w:szCs w:val="19"/>
                <w:color w:val="auto"/>
              </w:rPr>
            </w:pPr>
          </w:p>
        </w:tc>
        <w:tc>
          <w:tcPr>
            <w:tcW w:w="4180" w:type="dxa"/>
            <w:vAlign w:val="bottom"/>
            <w:tcBorders>
              <w:bottom w:val="single" w:sz="8" w:color="0000EE"/>
            </w:tcBorders>
            <w:gridSpan w:val="18"/>
          </w:tcPr>
          <w:p>
            <w:pPr>
              <w:spacing w:after="0"/>
              <w:rPr>
                <w:rFonts w:ascii="Times New Roman" w:cs="Times New Roman" w:eastAsia="Times New Roman" w:hAnsi="Times New Roman"/>
                <w:sz w:val="14"/>
                <w:szCs w:val="14"/>
                <w:color w:val="0000EE"/>
                <w:w w:val="98"/>
              </w:rPr>
            </w:pPr>
            <w:hyperlink r:id="rId66">
              <w:r>
                <w:rPr>
                  <w:rFonts w:ascii="Times New Roman" w:cs="Times New Roman" w:eastAsia="Times New Roman" w:hAnsi="Times New Roman"/>
                  <w:sz w:val="14"/>
                  <w:szCs w:val="14"/>
                  <w:color w:val="0000EE"/>
                  <w:w w:val="98"/>
                </w:rPr>
                <w:t>Amended and Restated Bylaws of MagnaChip Semiconductor Corporation.</w:t>
              </w:r>
            </w:hyperlink>
          </w:p>
        </w:tc>
        <w:tc>
          <w:tcPr>
            <w:tcW w:w="300" w:type="dxa"/>
            <w:vAlign w:val="bottom"/>
            <w:gridSpan w:val="4"/>
          </w:tcPr>
          <w:p>
            <w:pPr>
              <w:spacing w:after="0"/>
              <w:rPr>
                <w:sz w:val="19"/>
                <w:szCs w:val="19"/>
                <w:color w:val="auto"/>
              </w:rPr>
            </w:pPr>
          </w:p>
        </w:tc>
        <w:tc>
          <w:tcPr>
            <w:tcW w:w="4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001-34791</w:t>
            </w:r>
          </w:p>
        </w:tc>
        <w:tc>
          <w:tcPr>
            <w:tcW w:w="16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3.1</w:t>
            </w:r>
          </w:p>
        </w:tc>
        <w:tc>
          <w:tcPr>
            <w:tcW w:w="16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May 6, 2016</w:t>
            </w:r>
          </w:p>
        </w:tc>
      </w:tr>
      <w:tr>
        <w:trPr>
          <w:trHeight w:val="229"/>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3.5</w:t>
            </w:r>
          </w:p>
        </w:tc>
        <w:tc>
          <w:tcPr>
            <w:tcW w:w="320" w:type="dxa"/>
            <w:vAlign w:val="bottom"/>
          </w:tcPr>
          <w:p>
            <w:pPr>
              <w:spacing w:after="0"/>
              <w:rPr>
                <w:sz w:val="19"/>
                <w:szCs w:val="19"/>
                <w:color w:val="auto"/>
              </w:rPr>
            </w:pPr>
          </w:p>
        </w:tc>
        <w:tc>
          <w:tcPr>
            <w:tcW w:w="4480" w:type="dxa"/>
            <w:vAlign w:val="bottom"/>
            <w:gridSpan w:val="22"/>
          </w:tcPr>
          <w:p>
            <w:pPr>
              <w:spacing w:after="0"/>
              <w:rPr>
                <w:rFonts w:ascii="Times New Roman" w:cs="Times New Roman" w:eastAsia="Times New Roman" w:hAnsi="Times New Roman"/>
                <w:sz w:val="14"/>
                <w:szCs w:val="14"/>
                <w:color w:val="0000EE"/>
              </w:rPr>
            </w:pPr>
            <w:hyperlink r:id="rId67">
              <w:r>
                <w:rPr>
                  <w:rFonts w:ascii="Times New Roman" w:cs="Times New Roman" w:eastAsia="Times New Roman" w:hAnsi="Times New Roman"/>
                  <w:sz w:val="14"/>
                  <w:szCs w:val="14"/>
                  <w:color w:val="0000EE"/>
                </w:rPr>
                <w:t>Form of Plan of Conversion of MagnaChip Semiconductor LLC.</w:t>
              </w:r>
            </w:hyperlink>
          </w:p>
        </w:tc>
        <w:tc>
          <w:tcPr>
            <w:tcW w:w="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S-1</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333-165467</w:t>
            </w:r>
          </w:p>
        </w:tc>
        <w:tc>
          <w:tcPr>
            <w:tcW w:w="16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3.6</w:t>
            </w:r>
          </w:p>
        </w:tc>
        <w:tc>
          <w:tcPr>
            <w:tcW w:w="16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May 11, 2010</w:t>
            </w:r>
          </w:p>
        </w:tc>
      </w:tr>
      <w:tr>
        <w:trPr>
          <w:trHeight w:val="20"/>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29"/>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3.6</w:t>
            </w:r>
          </w:p>
        </w:tc>
        <w:tc>
          <w:tcPr>
            <w:tcW w:w="320" w:type="dxa"/>
            <w:vAlign w:val="bottom"/>
          </w:tcPr>
          <w:p>
            <w:pPr>
              <w:spacing w:after="0"/>
              <w:rPr>
                <w:sz w:val="19"/>
                <w:szCs w:val="19"/>
                <w:color w:val="auto"/>
              </w:rPr>
            </w:pPr>
          </w:p>
        </w:tc>
        <w:tc>
          <w:tcPr>
            <w:tcW w:w="3820" w:type="dxa"/>
            <w:vAlign w:val="bottom"/>
            <w:tcBorders>
              <w:bottom w:val="single" w:sz="8" w:color="0000EE"/>
            </w:tcBorders>
            <w:gridSpan w:val="12"/>
          </w:tcPr>
          <w:p>
            <w:pPr>
              <w:spacing w:after="0"/>
              <w:rPr>
                <w:rFonts w:ascii="Times New Roman" w:cs="Times New Roman" w:eastAsia="Times New Roman" w:hAnsi="Times New Roman"/>
                <w:sz w:val="14"/>
                <w:szCs w:val="14"/>
                <w:color w:val="0000EE"/>
                <w:w w:val="98"/>
              </w:rPr>
            </w:pPr>
            <w:hyperlink r:id="rId68">
              <w:r>
                <w:rPr>
                  <w:rFonts w:ascii="Times New Roman" w:cs="Times New Roman" w:eastAsia="Times New Roman" w:hAnsi="Times New Roman"/>
                  <w:sz w:val="14"/>
                  <w:szCs w:val="14"/>
                  <w:color w:val="0000EE"/>
                  <w:w w:val="98"/>
                </w:rPr>
                <w:t>Certificate of Designation, Preferences and Rights of Series A Junior</w:t>
              </w:r>
            </w:hyperlink>
          </w:p>
        </w:tc>
        <w:tc>
          <w:tcPr>
            <w:tcW w:w="660" w:type="dxa"/>
            <w:vAlign w:val="bottom"/>
            <w:gridSpan w:val="10"/>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146"/>
        </w:trPr>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0" w:type="dxa"/>
            <w:vAlign w:val="bottom"/>
            <w:tcBorders>
              <w:bottom w:val="single" w:sz="8" w:color="0000EE"/>
            </w:tcBorders>
            <w:gridSpan w:val="19"/>
          </w:tcPr>
          <w:p>
            <w:pPr>
              <w:spacing w:after="0" w:line="146" w:lineRule="exact"/>
              <w:rPr>
                <w:rFonts w:ascii="Times New Roman" w:cs="Times New Roman" w:eastAsia="Times New Roman" w:hAnsi="Times New Roman"/>
                <w:sz w:val="14"/>
                <w:szCs w:val="14"/>
                <w:color w:val="0000EE"/>
                <w:w w:val="98"/>
              </w:rPr>
            </w:pPr>
            <w:hyperlink r:id="rId68">
              <w:r>
                <w:rPr>
                  <w:rFonts w:ascii="Times New Roman" w:cs="Times New Roman" w:eastAsia="Times New Roman" w:hAnsi="Times New Roman"/>
                  <w:sz w:val="14"/>
                  <w:szCs w:val="14"/>
                  <w:color w:val="0000EE"/>
                  <w:w w:val="98"/>
                </w:rPr>
                <w:t>Participating Preferred Stock of MagnaChip Semiconductor Corporation, as</w:t>
              </w:r>
            </w:hyperlink>
          </w:p>
        </w:tc>
        <w:tc>
          <w:tcPr>
            <w:tcW w:w="280" w:type="dxa"/>
            <w:vAlign w:val="bottom"/>
            <w:gridSpan w:val="3"/>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6"/>
        </w:trPr>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80" w:type="dxa"/>
            <w:vAlign w:val="bottom"/>
            <w:gridSpan w:val="22"/>
          </w:tcPr>
          <w:p>
            <w:pPr>
              <w:spacing w:after="0" w:line="146" w:lineRule="exact"/>
              <w:rPr>
                <w:rFonts w:ascii="Times New Roman" w:cs="Times New Roman" w:eastAsia="Times New Roman" w:hAnsi="Times New Roman"/>
                <w:sz w:val="14"/>
                <w:szCs w:val="14"/>
                <w:color w:val="0000EE"/>
              </w:rPr>
            </w:pPr>
            <w:hyperlink r:id="rId68">
              <w:r>
                <w:rPr>
                  <w:rFonts w:ascii="Times New Roman" w:cs="Times New Roman" w:eastAsia="Times New Roman" w:hAnsi="Times New Roman"/>
                  <w:sz w:val="14"/>
                  <w:szCs w:val="14"/>
                  <w:color w:val="0000EE"/>
                </w:rPr>
                <w:t>filed with the Secretary of the State of Delaware on March 6, 2015.</w:t>
              </w:r>
            </w:hyperlink>
          </w:p>
        </w:tc>
        <w:tc>
          <w:tcPr>
            <w:tcW w:w="4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color w:val="auto"/>
              </w:rPr>
              <w:t>8-K</w:t>
            </w:r>
          </w:p>
        </w:tc>
        <w:tc>
          <w:tcPr>
            <w:tcW w:w="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8"/>
              </w:rPr>
              <w:t>001-34791</w:t>
            </w:r>
          </w:p>
        </w:tc>
        <w:tc>
          <w:tcPr>
            <w:tcW w:w="160" w:type="dxa"/>
            <w:vAlign w:val="bottom"/>
          </w:tcPr>
          <w:p>
            <w:pPr>
              <w:spacing w:after="0"/>
              <w:rPr>
                <w:sz w:val="12"/>
                <w:szCs w:val="12"/>
                <w:color w:val="auto"/>
              </w:rPr>
            </w:pPr>
          </w:p>
        </w:tc>
        <w:tc>
          <w:tcPr>
            <w:tcW w:w="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1"/>
              </w:rPr>
              <w:t>3.1</w:t>
            </w:r>
          </w:p>
        </w:tc>
        <w:tc>
          <w:tcPr>
            <w:tcW w:w="160" w:type="dxa"/>
            <w:vAlign w:val="bottom"/>
          </w:tcPr>
          <w:p>
            <w:pPr>
              <w:spacing w:after="0"/>
              <w:rPr>
                <w:sz w:val="12"/>
                <w:szCs w:val="12"/>
                <w:color w:val="auto"/>
              </w:rPr>
            </w:pPr>
          </w:p>
        </w:tc>
        <w:tc>
          <w:tcPr>
            <w:tcW w:w="12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9"/>
              </w:rPr>
              <w:t>March 6, 2015</w:t>
            </w:r>
          </w:p>
        </w:tc>
      </w:tr>
      <w:tr>
        <w:trPr>
          <w:trHeight w:val="20"/>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29"/>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3.7</w:t>
            </w:r>
          </w:p>
        </w:tc>
        <w:tc>
          <w:tcPr>
            <w:tcW w:w="320" w:type="dxa"/>
            <w:vAlign w:val="bottom"/>
          </w:tcPr>
          <w:p>
            <w:pPr>
              <w:spacing w:after="0"/>
              <w:rPr>
                <w:sz w:val="19"/>
                <w:szCs w:val="19"/>
                <w:color w:val="auto"/>
              </w:rPr>
            </w:pPr>
          </w:p>
        </w:tc>
        <w:tc>
          <w:tcPr>
            <w:tcW w:w="4260" w:type="dxa"/>
            <w:vAlign w:val="bottom"/>
            <w:tcBorders>
              <w:bottom w:val="single" w:sz="8" w:color="0000EE"/>
            </w:tcBorders>
            <w:gridSpan w:val="20"/>
          </w:tcPr>
          <w:p>
            <w:pPr>
              <w:spacing w:after="0"/>
              <w:rPr>
                <w:rFonts w:ascii="Times New Roman" w:cs="Times New Roman" w:eastAsia="Times New Roman" w:hAnsi="Times New Roman"/>
                <w:sz w:val="14"/>
                <w:szCs w:val="14"/>
                <w:color w:val="0000EE"/>
                <w:w w:val="98"/>
              </w:rPr>
            </w:pPr>
            <w:hyperlink r:id="rId69">
              <w:r>
                <w:rPr>
                  <w:rFonts w:ascii="Times New Roman" w:cs="Times New Roman" w:eastAsia="Times New Roman" w:hAnsi="Times New Roman"/>
                  <w:sz w:val="14"/>
                  <w:szCs w:val="14"/>
                  <w:color w:val="0000EE"/>
                  <w:w w:val="98"/>
                </w:rPr>
                <w:t>Certificate of Designation of Series A-1, Junior Participating Preferred Stock</w:t>
              </w:r>
            </w:hyperlink>
          </w:p>
        </w:tc>
        <w:tc>
          <w:tcPr>
            <w:tcW w:w="22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146"/>
        </w:trPr>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80" w:type="dxa"/>
            <w:vAlign w:val="bottom"/>
            <w:gridSpan w:val="22"/>
          </w:tcPr>
          <w:p>
            <w:pPr>
              <w:spacing w:after="0" w:line="146" w:lineRule="exact"/>
              <w:rPr>
                <w:rFonts w:ascii="Times New Roman" w:cs="Times New Roman" w:eastAsia="Times New Roman" w:hAnsi="Times New Roman"/>
                <w:sz w:val="14"/>
                <w:szCs w:val="14"/>
                <w:color w:val="0000EE"/>
              </w:rPr>
            </w:pPr>
            <w:hyperlink r:id="rId69">
              <w:r>
                <w:rPr>
                  <w:rFonts w:ascii="Times New Roman" w:cs="Times New Roman" w:eastAsia="Times New Roman" w:hAnsi="Times New Roman"/>
                  <w:sz w:val="14"/>
                  <w:szCs w:val="14"/>
                  <w:color w:val="0000EE"/>
                </w:rPr>
                <w:t>of Magnachip Semiconductor Corporation, as filed with the Secretary of</w:t>
              </w:r>
            </w:hyperlink>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6"/>
        </w:trPr>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20" w:type="dxa"/>
            <w:vAlign w:val="bottom"/>
            <w:tcBorders>
              <w:top w:val="single" w:sz="8" w:color="0000EE"/>
              <w:bottom w:val="single" w:sz="8" w:color="0000EE"/>
            </w:tcBorders>
            <w:gridSpan w:val="6"/>
          </w:tcPr>
          <w:p>
            <w:pPr>
              <w:spacing w:after="0" w:line="146" w:lineRule="exact"/>
              <w:rPr>
                <w:rFonts w:ascii="Times New Roman" w:cs="Times New Roman" w:eastAsia="Times New Roman" w:hAnsi="Times New Roman"/>
                <w:sz w:val="14"/>
                <w:szCs w:val="14"/>
                <w:color w:val="0000EE"/>
                <w:w w:val="97"/>
              </w:rPr>
            </w:pPr>
            <w:hyperlink r:id="rId69">
              <w:r>
                <w:rPr>
                  <w:rFonts w:ascii="Times New Roman" w:cs="Times New Roman" w:eastAsia="Times New Roman" w:hAnsi="Times New Roman"/>
                  <w:sz w:val="14"/>
                  <w:szCs w:val="14"/>
                  <w:color w:val="0000EE"/>
                  <w:w w:val="97"/>
                </w:rPr>
                <w:t>State of Delaware on December 13, 2021.</w:t>
              </w:r>
            </w:hyperlink>
          </w:p>
        </w:tc>
        <w:tc>
          <w:tcPr>
            <w:tcW w:w="1680" w:type="dxa"/>
            <w:vAlign w:val="bottom"/>
            <w:tcBorders>
              <w:top w:val="single" w:sz="8" w:color="0000EE"/>
            </w:tcBorders>
            <w:gridSpan w:val="9"/>
          </w:tcPr>
          <w:p>
            <w:pPr>
              <w:spacing w:after="0"/>
              <w:rPr>
                <w:sz w:val="12"/>
                <w:szCs w:val="12"/>
                <w:color w:val="auto"/>
              </w:rPr>
            </w:pPr>
          </w:p>
        </w:tc>
        <w:tc>
          <w:tcPr>
            <w:tcW w:w="480" w:type="dxa"/>
            <w:vAlign w:val="bottom"/>
            <w:gridSpan w:val="7"/>
          </w:tcPr>
          <w:p>
            <w:pPr>
              <w:spacing w:after="0"/>
              <w:rPr>
                <w:sz w:val="12"/>
                <w:szCs w:val="12"/>
                <w:color w:val="auto"/>
              </w:rPr>
            </w:pPr>
          </w:p>
        </w:tc>
        <w:tc>
          <w:tcPr>
            <w:tcW w:w="4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color w:val="auto"/>
              </w:rPr>
              <w:t>8-K</w:t>
            </w:r>
          </w:p>
        </w:tc>
        <w:tc>
          <w:tcPr>
            <w:tcW w:w="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8"/>
              </w:rPr>
              <w:t>001-34791</w:t>
            </w:r>
          </w:p>
        </w:tc>
        <w:tc>
          <w:tcPr>
            <w:tcW w:w="160" w:type="dxa"/>
            <w:vAlign w:val="bottom"/>
          </w:tcPr>
          <w:p>
            <w:pPr>
              <w:spacing w:after="0"/>
              <w:rPr>
                <w:sz w:val="12"/>
                <w:szCs w:val="12"/>
                <w:color w:val="auto"/>
              </w:rPr>
            </w:pPr>
          </w:p>
        </w:tc>
        <w:tc>
          <w:tcPr>
            <w:tcW w:w="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1"/>
              </w:rPr>
              <w:t>3.1</w:t>
            </w:r>
          </w:p>
        </w:tc>
        <w:tc>
          <w:tcPr>
            <w:tcW w:w="160" w:type="dxa"/>
            <w:vAlign w:val="bottom"/>
          </w:tcPr>
          <w:p>
            <w:pPr>
              <w:spacing w:after="0"/>
              <w:rPr>
                <w:sz w:val="12"/>
                <w:szCs w:val="12"/>
                <w:color w:val="auto"/>
              </w:rPr>
            </w:pPr>
          </w:p>
        </w:tc>
        <w:tc>
          <w:tcPr>
            <w:tcW w:w="12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8"/>
              </w:rPr>
              <w:t>December 14, 2021</w:t>
            </w:r>
          </w:p>
        </w:tc>
      </w:tr>
      <w:tr>
        <w:trPr>
          <w:trHeight w:val="261"/>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4.1*</w:t>
            </w:r>
          </w:p>
        </w:tc>
        <w:tc>
          <w:tcPr>
            <w:tcW w:w="320" w:type="dxa"/>
            <w:vAlign w:val="bottom"/>
          </w:tcPr>
          <w:p>
            <w:pPr>
              <w:spacing w:after="0"/>
              <w:rPr>
                <w:sz w:val="22"/>
                <w:szCs w:val="22"/>
                <w:color w:val="auto"/>
              </w:rPr>
            </w:pPr>
          </w:p>
        </w:tc>
        <w:tc>
          <w:tcPr>
            <w:tcW w:w="448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Form of Preferred Stock Certificate.</w:t>
            </w:r>
          </w:p>
        </w:tc>
        <w:tc>
          <w:tcPr>
            <w:tcW w:w="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75"/>
              </w:rPr>
              <w:t>— </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85"/>
              </w:rPr>
              <w:t>— </w:t>
            </w: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85"/>
              </w:rPr>
              <w:t>— </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r>
      <w:tr>
        <w:trPr>
          <w:trHeight w:val="249"/>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4.2*</w:t>
            </w:r>
          </w:p>
        </w:tc>
        <w:tc>
          <w:tcPr>
            <w:tcW w:w="320" w:type="dxa"/>
            <w:vAlign w:val="bottom"/>
          </w:tcPr>
          <w:p>
            <w:pPr>
              <w:spacing w:after="0"/>
              <w:rPr>
                <w:sz w:val="21"/>
                <w:szCs w:val="21"/>
                <w:color w:val="auto"/>
              </w:rPr>
            </w:pPr>
          </w:p>
        </w:tc>
        <w:tc>
          <w:tcPr>
            <w:tcW w:w="448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Form of Warrant.</w:t>
            </w:r>
          </w:p>
        </w:tc>
        <w:tc>
          <w:tcPr>
            <w:tcW w:w="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75"/>
              </w:rPr>
              <w:t>— </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85"/>
              </w:rPr>
              <w:t>— </w:t>
            </w: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85"/>
              </w:rPr>
              <w:t>— </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r>
      <w:tr>
        <w:trPr>
          <w:trHeight w:val="249"/>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4.3*</w:t>
            </w:r>
          </w:p>
        </w:tc>
        <w:tc>
          <w:tcPr>
            <w:tcW w:w="320" w:type="dxa"/>
            <w:vAlign w:val="bottom"/>
          </w:tcPr>
          <w:p>
            <w:pPr>
              <w:spacing w:after="0"/>
              <w:rPr>
                <w:sz w:val="21"/>
                <w:szCs w:val="21"/>
                <w:color w:val="auto"/>
              </w:rPr>
            </w:pPr>
          </w:p>
        </w:tc>
        <w:tc>
          <w:tcPr>
            <w:tcW w:w="448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Form of Warrant Agreement.</w:t>
            </w:r>
          </w:p>
        </w:tc>
        <w:tc>
          <w:tcPr>
            <w:tcW w:w="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75"/>
              </w:rPr>
              <w:t>— </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85"/>
              </w:rPr>
              <w:t>— </w:t>
            </w: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85"/>
              </w:rPr>
              <w:t>— </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r>
      <w:tr>
        <w:trPr>
          <w:trHeight w:val="249"/>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4.4*</w:t>
            </w:r>
          </w:p>
        </w:tc>
        <w:tc>
          <w:tcPr>
            <w:tcW w:w="320" w:type="dxa"/>
            <w:vAlign w:val="bottom"/>
          </w:tcPr>
          <w:p>
            <w:pPr>
              <w:spacing w:after="0"/>
              <w:rPr>
                <w:sz w:val="21"/>
                <w:szCs w:val="21"/>
                <w:color w:val="auto"/>
              </w:rPr>
            </w:pPr>
          </w:p>
        </w:tc>
        <w:tc>
          <w:tcPr>
            <w:tcW w:w="448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Form of Unit Agreement.</w:t>
            </w:r>
          </w:p>
        </w:tc>
        <w:tc>
          <w:tcPr>
            <w:tcW w:w="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75"/>
              </w:rPr>
              <w:t>— </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85"/>
              </w:rPr>
              <w:t>— </w:t>
            </w: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85"/>
              </w:rPr>
              <w:t>— </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r>
      <w:tr>
        <w:trPr>
          <w:trHeight w:val="249"/>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4.5*</w:t>
            </w:r>
          </w:p>
        </w:tc>
        <w:tc>
          <w:tcPr>
            <w:tcW w:w="320" w:type="dxa"/>
            <w:vAlign w:val="bottom"/>
          </w:tcPr>
          <w:p>
            <w:pPr>
              <w:spacing w:after="0"/>
              <w:rPr>
                <w:sz w:val="21"/>
                <w:szCs w:val="21"/>
                <w:color w:val="auto"/>
              </w:rPr>
            </w:pPr>
          </w:p>
        </w:tc>
        <w:tc>
          <w:tcPr>
            <w:tcW w:w="448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Form of Rights Agreement.</w:t>
            </w:r>
          </w:p>
        </w:tc>
        <w:tc>
          <w:tcPr>
            <w:tcW w:w="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75"/>
              </w:rPr>
              <w:t>— </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85"/>
              </w:rPr>
              <w:t>— </w:t>
            </w: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85"/>
              </w:rPr>
              <w:t>— </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r>
      <w:tr>
        <w:trPr>
          <w:trHeight w:val="217"/>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5.1</w:t>
            </w:r>
          </w:p>
        </w:tc>
        <w:tc>
          <w:tcPr>
            <w:tcW w:w="320" w:type="dxa"/>
            <w:vAlign w:val="bottom"/>
          </w:tcPr>
          <w:p>
            <w:pPr>
              <w:spacing w:after="0"/>
              <w:rPr>
                <w:sz w:val="18"/>
                <w:szCs w:val="18"/>
                <w:color w:val="auto"/>
              </w:rPr>
            </w:pPr>
          </w:p>
        </w:tc>
        <w:tc>
          <w:tcPr>
            <w:tcW w:w="4480" w:type="dxa"/>
            <w:vAlign w:val="bottom"/>
            <w:gridSpan w:val="22"/>
          </w:tcPr>
          <w:p>
            <w:pPr>
              <w:spacing w:after="0"/>
              <w:rPr>
                <w:sz w:val="20"/>
                <w:szCs w:val="20"/>
                <w:color w:val="auto"/>
              </w:rPr>
            </w:pPr>
            <w:r>
              <w:rPr>
                <w:rFonts w:ascii="Times New Roman" w:cs="Times New Roman" w:eastAsia="Times New Roman" w:hAnsi="Times New Roman"/>
                <w:sz w:val="14"/>
                <w:szCs w:val="14"/>
                <w:color w:val="0000EE"/>
              </w:rPr>
              <w:t>Opinion of Goodwin Procter LLP.</w:t>
            </w:r>
          </w:p>
        </w:tc>
        <w:tc>
          <w:tcPr>
            <w:tcW w:w="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75"/>
              </w:rPr>
              <w:t>— </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85"/>
              </w:rPr>
              <w:t>— </w:t>
            </w: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85"/>
              </w:rPr>
              <w:t>— </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Filed herewith</w:t>
            </w:r>
          </w:p>
        </w:tc>
      </w:tr>
      <w:tr>
        <w:trPr>
          <w:trHeight w:val="20"/>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29"/>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320" w:type="dxa"/>
            <w:vAlign w:val="bottom"/>
          </w:tcPr>
          <w:p>
            <w:pPr>
              <w:spacing w:after="0"/>
              <w:rPr>
                <w:sz w:val="19"/>
                <w:szCs w:val="19"/>
                <w:color w:val="auto"/>
              </w:rPr>
            </w:pPr>
          </w:p>
        </w:tc>
        <w:tc>
          <w:tcPr>
            <w:tcW w:w="37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4"/>
                <w:szCs w:val="14"/>
                <w:color w:val="0000EE"/>
                <w:w w:val="97"/>
              </w:rPr>
              <w:t>Consent of EY Han Young (formerly, Ernst &amp; Young Han Young),</w:t>
            </w:r>
          </w:p>
        </w:tc>
        <w:tc>
          <w:tcPr>
            <w:tcW w:w="760" w:type="dxa"/>
            <w:vAlign w:val="bottom"/>
            <w:gridSpan w:val="11"/>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146"/>
        </w:trPr>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20" w:type="dxa"/>
            <w:vAlign w:val="bottom"/>
            <w:tcBorders>
              <w:bottom w:val="single" w:sz="8" w:color="0000EE"/>
            </w:tcBorders>
            <w:gridSpan w:val="7"/>
          </w:tcPr>
          <w:p>
            <w:pPr>
              <w:spacing w:after="0" w:line="146" w:lineRule="exact"/>
              <w:rPr>
                <w:sz w:val="20"/>
                <w:szCs w:val="20"/>
                <w:color w:val="auto"/>
              </w:rPr>
            </w:pPr>
            <w:r>
              <w:rPr>
                <w:rFonts w:ascii="Times New Roman" w:cs="Times New Roman" w:eastAsia="Times New Roman" w:hAnsi="Times New Roman"/>
                <w:sz w:val="14"/>
                <w:szCs w:val="14"/>
                <w:color w:val="0000EE"/>
                <w:w w:val="98"/>
              </w:rPr>
              <w:t>Independent Registered Public Accounting Firm.</w:t>
            </w:r>
          </w:p>
        </w:tc>
        <w:tc>
          <w:tcPr>
            <w:tcW w:w="1760" w:type="dxa"/>
            <w:vAlign w:val="bottom"/>
            <w:gridSpan w:val="15"/>
          </w:tcPr>
          <w:p>
            <w:pPr>
              <w:spacing w:after="0"/>
              <w:rPr>
                <w:sz w:val="12"/>
                <w:szCs w:val="12"/>
                <w:color w:val="auto"/>
              </w:rPr>
            </w:pPr>
          </w:p>
        </w:tc>
        <w:tc>
          <w:tcPr>
            <w:tcW w:w="4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color w:val="auto"/>
                <w:w w:val="75"/>
              </w:rPr>
              <w:t>— </w:t>
            </w:r>
          </w:p>
        </w:tc>
        <w:tc>
          <w:tcPr>
            <w:tcW w:w="9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color w:val="auto"/>
                <w:w w:val="85"/>
              </w:rPr>
              <w:t>— </w:t>
            </w:r>
          </w:p>
        </w:tc>
        <w:tc>
          <w:tcPr>
            <w:tcW w:w="5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color w:val="auto"/>
                <w:w w:val="85"/>
              </w:rPr>
              <w:t>— </w:t>
            </w:r>
          </w:p>
        </w:tc>
        <w:tc>
          <w:tcPr>
            <w:tcW w:w="12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8"/>
              </w:rPr>
              <w:t>Filed herewith</w:t>
            </w:r>
          </w:p>
        </w:tc>
      </w:tr>
      <w:tr>
        <w:trPr>
          <w:trHeight w:val="229"/>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23.2</w:t>
            </w:r>
          </w:p>
        </w:tc>
        <w:tc>
          <w:tcPr>
            <w:tcW w:w="320" w:type="dxa"/>
            <w:vAlign w:val="bottom"/>
          </w:tcPr>
          <w:p>
            <w:pPr>
              <w:spacing w:after="0"/>
              <w:rPr>
                <w:sz w:val="19"/>
                <w:szCs w:val="19"/>
                <w:color w:val="auto"/>
              </w:rPr>
            </w:pPr>
          </w:p>
        </w:tc>
        <w:tc>
          <w:tcPr>
            <w:tcW w:w="41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4"/>
                <w:szCs w:val="14"/>
                <w:color w:val="0000EE"/>
                <w:w w:val="98"/>
              </w:rPr>
              <w:t>Consent of Samil PricewaterhouseCoopers, Independent Registered Public</w:t>
            </w:r>
          </w:p>
        </w:tc>
        <w:tc>
          <w:tcPr>
            <w:tcW w:w="340" w:type="dxa"/>
            <w:vAlign w:val="bottom"/>
            <w:gridSpan w:val="6"/>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146"/>
        </w:trPr>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Borders>
              <w:bottom w:val="single" w:sz="8" w:color="0000EE"/>
            </w:tcBorders>
            <w:gridSpan w:val="3"/>
          </w:tcPr>
          <w:p>
            <w:pPr>
              <w:spacing w:after="0" w:line="146" w:lineRule="exact"/>
              <w:rPr>
                <w:sz w:val="20"/>
                <w:szCs w:val="20"/>
                <w:color w:val="auto"/>
              </w:rPr>
            </w:pPr>
            <w:r>
              <w:rPr>
                <w:rFonts w:ascii="Times New Roman" w:cs="Times New Roman" w:eastAsia="Times New Roman" w:hAnsi="Times New Roman"/>
                <w:sz w:val="14"/>
                <w:szCs w:val="14"/>
                <w:color w:val="0000EE"/>
                <w:w w:val="96"/>
              </w:rPr>
              <w:t>Accounting Firm.</w:t>
            </w:r>
          </w:p>
        </w:tc>
        <w:tc>
          <w:tcPr>
            <w:tcW w:w="3500" w:type="dxa"/>
            <w:vAlign w:val="bottom"/>
            <w:gridSpan w:val="19"/>
          </w:tcPr>
          <w:p>
            <w:pPr>
              <w:spacing w:after="0"/>
              <w:rPr>
                <w:sz w:val="12"/>
                <w:szCs w:val="12"/>
                <w:color w:val="auto"/>
              </w:rPr>
            </w:pPr>
          </w:p>
        </w:tc>
        <w:tc>
          <w:tcPr>
            <w:tcW w:w="4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color w:val="auto"/>
                <w:w w:val="75"/>
              </w:rPr>
              <w:t>— </w:t>
            </w:r>
          </w:p>
        </w:tc>
        <w:tc>
          <w:tcPr>
            <w:tcW w:w="9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color w:val="auto"/>
                <w:w w:val="85"/>
              </w:rPr>
              <w:t>— </w:t>
            </w:r>
          </w:p>
        </w:tc>
        <w:tc>
          <w:tcPr>
            <w:tcW w:w="5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color w:val="auto"/>
                <w:w w:val="85"/>
              </w:rPr>
              <w:t>— </w:t>
            </w:r>
          </w:p>
        </w:tc>
        <w:tc>
          <w:tcPr>
            <w:tcW w:w="12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8"/>
              </w:rPr>
              <w:t>Filed herewith</w:t>
            </w:r>
          </w:p>
        </w:tc>
      </w:tr>
      <w:tr>
        <w:trPr>
          <w:trHeight w:val="229"/>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23.3</w:t>
            </w:r>
          </w:p>
        </w:tc>
        <w:tc>
          <w:tcPr>
            <w:tcW w:w="320" w:type="dxa"/>
            <w:vAlign w:val="bottom"/>
          </w:tcPr>
          <w:p>
            <w:pPr>
              <w:spacing w:after="0"/>
              <w:rPr>
                <w:sz w:val="19"/>
                <w:szCs w:val="19"/>
                <w:color w:val="auto"/>
              </w:rPr>
            </w:pPr>
          </w:p>
        </w:tc>
        <w:tc>
          <w:tcPr>
            <w:tcW w:w="33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w w:val="98"/>
              </w:rPr>
              <w:t>Consent of Goodwin Procter LLP (included in Exhibit 5.1).</w:t>
            </w:r>
          </w:p>
        </w:tc>
        <w:tc>
          <w:tcPr>
            <w:tcW w:w="1180" w:type="dxa"/>
            <w:vAlign w:val="bottom"/>
            <w:gridSpan w:val="14"/>
          </w:tcPr>
          <w:p>
            <w:pPr>
              <w:spacing w:after="0"/>
              <w:rPr>
                <w:sz w:val="19"/>
                <w:szCs w:val="19"/>
                <w:color w:val="auto"/>
              </w:rPr>
            </w:pPr>
          </w:p>
        </w:tc>
        <w:tc>
          <w:tcPr>
            <w:tcW w:w="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75"/>
              </w:rPr>
              <w:t>— </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85"/>
              </w:rPr>
              <w:t>— </w:t>
            </w: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85"/>
              </w:rPr>
              <w:t>— </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Filed herewith</w:t>
            </w:r>
          </w:p>
        </w:tc>
      </w:tr>
      <w:tr>
        <w:trPr>
          <w:trHeight w:val="229"/>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24.1</w:t>
            </w:r>
          </w:p>
        </w:tc>
        <w:tc>
          <w:tcPr>
            <w:tcW w:w="320" w:type="dxa"/>
            <w:vAlign w:val="bottom"/>
          </w:tcPr>
          <w:p>
            <w:pPr>
              <w:spacing w:after="0"/>
              <w:rPr>
                <w:sz w:val="19"/>
                <w:szCs w:val="19"/>
                <w:color w:val="auto"/>
              </w:rPr>
            </w:pPr>
          </w:p>
        </w:tc>
        <w:tc>
          <w:tcPr>
            <w:tcW w:w="38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4"/>
                <w:szCs w:val="14"/>
                <w:color w:val="0000EE"/>
                <w:w w:val="98"/>
              </w:rPr>
              <w:t>Power of Attorney (included in the signature pages to this registration</w:t>
            </w:r>
          </w:p>
        </w:tc>
        <w:tc>
          <w:tcPr>
            <w:tcW w:w="620" w:type="dxa"/>
            <w:vAlign w:val="bottom"/>
            <w:gridSpan w:val="9"/>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146"/>
        </w:trPr>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80" w:type="dxa"/>
            <w:vAlign w:val="bottom"/>
            <w:gridSpan w:val="22"/>
          </w:tcPr>
          <w:p>
            <w:pPr>
              <w:spacing w:after="0" w:line="146" w:lineRule="exact"/>
              <w:rPr>
                <w:sz w:val="20"/>
                <w:szCs w:val="20"/>
                <w:color w:val="auto"/>
              </w:rPr>
            </w:pPr>
            <w:r>
              <w:rPr>
                <w:rFonts w:ascii="Times New Roman" w:cs="Times New Roman" w:eastAsia="Times New Roman" w:hAnsi="Times New Roman"/>
                <w:sz w:val="14"/>
                <w:szCs w:val="14"/>
                <w:color w:val="0000EE"/>
              </w:rPr>
              <w:t>statement).</w:t>
            </w:r>
          </w:p>
        </w:tc>
        <w:tc>
          <w:tcPr>
            <w:tcW w:w="4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color w:val="auto"/>
                <w:w w:val="75"/>
              </w:rPr>
              <w:t>— </w:t>
            </w:r>
          </w:p>
        </w:tc>
        <w:tc>
          <w:tcPr>
            <w:tcW w:w="9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color w:val="auto"/>
                <w:w w:val="85"/>
              </w:rPr>
              <w:t>— </w:t>
            </w:r>
          </w:p>
        </w:tc>
        <w:tc>
          <w:tcPr>
            <w:tcW w:w="5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color w:val="auto"/>
                <w:w w:val="85"/>
              </w:rPr>
              <w:t>— </w:t>
            </w:r>
          </w:p>
        </w:tc>
        <w:tc>
          <w:tcPr>
            <w:tcW w:w="12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75"/>
              </w:rPr>
              <w:t>— </w:t>
            </w:r>
          </w:p>
        </w:tc>
      </w:tr>
      <w:tr>
        <w:trPr>
          <w:trHeight w:val="20"/>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40" w:type="dxa"/>
            <w:vAlign w:val="bottom"/>
            <w:gridSpan w:val="2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29"/>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320" w:type="dxa"/>
            <w:vAlign w:val="bottom"/>
          </w:tcPr>
          <w:p>
            <w:pPr>
              <w:spacing w:after="0"/>
              <w:rPr>
                <w:sz w:val="19"/>
                <w:szCs w:val="19"/>
                <w:color w:val="auto"/>
              </w:rPr>
            </w:pPr>
          </w:p>
        </w:tc>
        <w:tc>
          <w:tcPr>
            <w:tcW w:w="9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5"/>
              </w:rPr>
              <w:t>Filing Fee Table.</w:t>
            </w:r>
          </w:p>
        </w:tc>
        <w:tc>
          <w:tcPr>
            <w:tcW w:w="3540" w:type="dxa"/>
            <w:vAlign w:val="bottom"/>
            <w:gridSpan w:val="20"/>
          </w:tcPr>
          <w:p>
            <w:pPr>
              <w:spacing w:after="0"/>
              <w:rPr>
                <w:sz w:val="19"/>
                <w:szCs w:val="19"/>
                <w:color w:val="auto"/>
              </w:rPr>
            </w:pPr>
          </w:p>
        </w:tc>
        <w:tc>
          <w:tcPr>
            <w:tcW w:w="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75"/>
              </w:rPr>
              <w:t>— </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85"/>
              </w:rPr>
              <w:t>— </w:t>
            </w: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85"/>
              </w:rPr>
              <w:t>— </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Filed herewith</w:t>
            </w:r>
          </w:p>
        </w:tc>
      </w:tr>
    </w:tbl>
    <w:p>
      <w:pPr>
        <w:spacing w:after="0" w:line="193" w:lineRule="exact"/>
        <w:rPr>
          <w:sz w:val="20"/>
          <w:szCs w:val="20"/>
          <w:color w:val="auto"/>
        </w:rPr>
      </w:pPr>
    </w:p>
    <w:p>
      <w:pPr>
        <w:ind w:left="1580" w:right="399" w:hanging="171"/>
        <w:spacing w:after="0" w:line="277" w:lineRule="auto"/>
        <w:tabs>
          <w:tab w:leader="none" w:pos="15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or as exhibit(s) to a document to be incorporated or deemed to be incorporated by reference in this registration statement, including a Current Report of the Registrant on Form 8-K, as applicable.</w:t>
      </w:r>
    </w:p>
    <w:p>
      <w:pPr>
        <w:spacing w:after="0" w:line="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382"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Item 17</w:t>
      </w:r>
      <w:r>
        <w:rPr>
          <w:rFonts w:ascii="Times New Roman" w:cs="Times New Roman" w:eastAsia="Times New Roman" w:hAnsi="Times New Roman"/>
          <w:sz w:val="14"/>
          <w:szCs w:val="14"/>
          <w:b w:val="1"/>
          <w:bCs w:val="1"/>
          <w:i w:val="1"/>
          <w:iCs w:val="1"/>
          <w:color w:val="auto"/>
        </w:rPr>
        <w:t>. Undertakings</w:t>
      </w:r>
    </w:p>
    <w:p>
      <w:pPr>
        <w:spacing w:after="0" w:line="100" w:lineRule="exact"/>
        <w:rPr>
          <w:sz w:val="20"/>
          <w:szCs w:val="20"/>
          <w:color w:val="auto"/>
        </w:rPr>
      </w:pPr>
    </w:p>
    <w:p>
      <w:pPr>
        <w:ind w:left="1740" w:hanging="331"/>
        <w:spacing w:after="0"/>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98" w:lineRule="exact"/>
        <w:rPr>
          <w:rFonts w:ascii="Times New Roman" w:cs="Times New Roman" w:eastAsia="Times New Roman" w:hAnsi="Times New Roman"/>
          <w:sz w:val="14"/>
          <w:szCs w:val="14"/>
          <w:color w:val="auto"/>
        </w:rPr>
      </w:pPr>
    </w:p>
    <w:p>
      <w:pPr>
        <w:ind w:left="2160" w:hanging="418"/>
        <w:spacing w:after="0"/>
        <w:tabs>
          <w:tab w:leader="none" w:pos="216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98" w:lineRule="exact"/>
        <w:rPr>
          <w:rFonts w:ascii="Times New Roman" w:cs="Times New Roman" w:eastAsia="Times New Roman" w:hAnsi="Times New Roman"/>
          <w:sz w:val="14"/>
          <w:szCs w:val="14"/>
          <w:color w:val="auto"/>
        </w:rPr>
      </w:pPr>
    </w:p>
    <w:p>
      <w:pPr>
        <w:ind w:left="2500" w:hanging="333"/>
        <w:spacing w:after="0"/>
        <w:tabs>
          <w:tab w:leader="none" w:pos="2500" w:val="left"/>
        </w:tabs>
        <w:numPr>
          <w:ilvl w:val="2"/>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98" w:lineRule="exact"/>
        <w:rPr>
          <w:rFonts w:ascii="Times New Roman" w:cs="Times New Roman" w:eastAsia="Times New Roman" w:hAnsi="Times New Roman"/>
          <w:sz w:val="14"/>
          <w:szCs w:val="14"/>
          <w:color w:val="auto"/>
        </w:rPr>
      </w:pPr>
    </w:p>
    <w:p>
      <w:pPr>
        <w:ind w:left="2500" w:right="319" w:hanging="333"/>
        <w:spacing w:after="0" w:line="252" w:lineRule="auto"/>
        <w:tabs>
          <w:tab w:leader="none" w:pos="2500" w:val="left"/>
        </w:tabs>
        <w:numPr>
          <w:ilvl w:val="2"/>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72" w:lineRule="exact"/>
        <w:rPr>
          <w:rFonts w:ascii="Times New Roman" w:cs="Times New Roman" w:eastAsia="Times New Roman" w:hAnsi="Times New Roman"/>
          <w:sz w:val="14"/>
          <w:szCs w:val="14"/>
          <w:color w:val="auto"/>
        </w:rPr>
      </w:pPr>
    </w:p>
    <w:p>
      <w:pPr>
        <w:ind w:left="2500" w:right="379" w:hanging="333"/>
        <w:spacing w:after="0" w:line="277" w:lineRule="auto"/>
        <w:tabs>
          <w:tab w:leader="none" w:pos="2500" w:val="left"/>
        </w:tabs>
        <w:numPr>
          <w:ilvl w:val="2"/>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this registration statement or any material change to such information in this registration statement;</w:t>
      </w:r>
    </w:p>
    <w:p>
      <w:pPr>
        <w:spacing w:after="0" w:line="127" w:lineRule="exact"/>
        <w:rPr>
          <w:sz w:val="20"/>
          <w:szCs w:val="20"/>
          <w:color w:val="auto"/>
        </w:rPr>
      </w:pPr>
    </w:p>
    <w:p>
      <w:pPr>
        <w:jc w:val="both"/>
        <w:ind w:left="1400" w:right="399"/>
        <w:spacing w:after="0" w:line="257" w:lineRule="auto"/>
        <w:rPr>
          <w:sz w:val="20"/>
          <w:szCs w:val="20"/>
          <w:color w:val="auto"/>
        </w:rPr>
      </w:pPr>
      <w:r>
        <w:rPr>
          <w:rFonts w:ascii="Times New Roman" w:cs="Times New Roman" w:eastAsia="Times New Roman" w:hAnsi="Times New Roman"/>
          <w:sz w:val="14"/>
          <w:szCs w:val="14"/>
          <w:color w:val="auto"/>
        </w:rPr>
        <w:t>provided, however, that subparagraphs (i), (ii) and (iii)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 or is contained in a form of prospectus filed pursuant to Rule 424(b) that is part of the registration statement.</w:t>
      </w:r>
    </w:p>
    <w:p>
      <w:pPr>
        <w:spacing w:after="0" w:line="68" w:lineRule="exact"/>
        <w:rPr>
          <w:sz w:val="20"/>
          <w:szCs w:val="20"/>
          <w:color w:val="auto"/>
        </w:rPr>
      </w:pPr>
    </w:p>
    <w:p>
      <w:pPr>
        <w:ind w:left="2160" w:right="339" w:hanging="418"/>
        <w:spacing w:after="0" w:line="262" w:lineRule="auto"/>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64" w:lineRule="exact"/>
        <w:rPr>
          <w:rFonts w:ascii="Times New Roman" w:cs="Times New Roman" w:eastAsia="Times New Roman" w:hAnsi="Times New Roman"/>
          <w:sz w:val="14"/>
          <w:szCs w:val="14"/>
          <w:color w:val="auto"/>
        </w:rPr>
      </w:pPr>
    </w:p>
    <w:p>
      <w:pPr>
        <w:ind w:left="2160" w:right="559" w:hanging="418"/>
        <w:spacing w:after="0" w:line="277" w:lineRule="auto"/>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4"/>
          <w:szCs w:val="14"/>
          <w:color w:val="auto"/>
        </w:rPr>
      </w:pPr>
    </w:p>
    <w:p>
      <w:pPr>
        <w:ind w:left="2160" w:hanging="418"/>
        <w:spacing w:after="0"/>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98" w:lineRule="exact"/>
        <w:rPr>
          <w:rFonts w:ascii="Times New Roman" w:cs="Times New Roman" w:eastAsia="Times New Roman" w:hAnsi="Times New Roman"/>
          <w:sz w:val="14"/>
          <w:szCs w:val="14"/>
          <w:color w:val="auto"/>
        </w:rPr>
      </w:pPr>
    </w:p>
    <w:p>
      <w:pPr>
        <w:ind w:left="2500" w:right="399" w:hanging="333"/>
        <w:spacing w:after="0" w:line="277" w:lineRule="auto"/>
        <w:tabs>
          <w:tab w:leader="none" w:pos="250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3" w:lineRule="exact"/>
        <w:rPr>
          <w:rFonts w:ascii="Times New Roman" w:cs="Times New Roman" w:eastAsia="Times New Roman" w:hAnsi="Times New Roman"/>
          <w:sz w:val="14"/>
          <w:szCs w:val="14"/>
          <w:color w:val="auto"/>
        </w:rPr>
      </w:pPr>
    </w:p>
    <w:p>
      <w:pPr>
        <w:ind w:left="2500" w:right="299" w:hanging="333"/>
        <w:spacing w:after="0" w:line="250" w:lineRule="auto"/>
        <w:tabs>
          <w:tab w:leader="none" w:pos="250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w:t>
      </w:r>
    </w:p>
    <w:p>
      <w:pPr>
        <w:spacing w:after="0" w:line="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82"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500" w:right="359"/>
        <w:spacing w:after="0" w:line="262" w:lineRule="auto"/>
        <w:rPr>
          <w:sz w:val="20"/>
          <w:szCs w:val="20"/>
          <w:color w:val="auto"/>
        </w:rPr>
      </w:pPr>
      <w:r>
        <w:rPr>
          <w:rFonts w:ascii="Times New Roman" w:cs="Times New Roman" w:eastAsia="Times New Roman" w:hAnsi="Times New Roman"/>
          <w:sz w:val="14"/>
          <w:szCs w:val="14"/>
          <w:color w:val="auto"/>
        </w:rPr>
        <w:t>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64" w:lineRule="exact"/>
        <w:rPr>
          <w:sz w:val="20"/>
          <w:szCs w:val="20"/>
          <w:color w:val="auto"/>
        </w:rPr>
      </w:pPr>
    </w:p>
    <w:p>
      <w:pPr>
        <w:ind w:left="2160" w:right="339" w:hanging="418"/>
        <w:spacing w:after="0" w:line="255" w:lineRule="auto"/>
        <w:tabs>
          <w:tab w:leader="none" w:pos="2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8" w:lineRule="exact"/>
        <w:rPr>
          <w:rFonts w:ascii="Times New Roman" w:cs="Times New Roman" w:eastAsia="Times New Roman" w:hAnsi="Times New Roman"/>
          <w:sz w:val="14"/>
          <w:szCs w:val="14"/>
          <w:color w:val="auto"/>
        </w:rPr>
      </w:pPr>
    </w:p>
    <w:p>
      <w:pPr>
        <w:ind w:left="2500" w:right="359" w:hanging="333"/>
        <w:spacing w:after="0" w:line="277" w:lineRule="auto"/>
        <w:tabs>
          <w:tab w:leader="none" w:pos="250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53" w:lineRule="exact"/>
        <w:rPr>
          <w:rFonts w:ascii="Times New Roman" w:cs="Times New Roman" w:eastAsia="Times New Roman" w:hAnsi="Times New Roman"/>
          <w:sz w:val="14"/>
          <w:szCs w:val="14"/>
          <w:color w:val="auto"/>
        </w:rPr>
      </w:pPr>
    </w:p>
    <w:p>
      <w:pPr>
        <w:ind w:left="2500" w:right="399" w:hanging="333"/>
        <w:spacing w:after="0" w:line="277" w:lineRule="auto"/>
        <w:tabs>
          <w:tab w:leader="none" w:pos="250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4"/>
          <w:szCs w:val="14"/>
          <w:color w:val="auto"/>
        </w:rPr>
      </w:pPr>
    </w:p>
    <w:p>
      <w:pPr>
        <w:ind w:left="2500" w:right="659" w:hanging="333"/>
        <w:spacing w:after="0" w:line="277" w:lineRule="auto"/>
        <w:tabs>
          <w:tab w:leader="none" w:pos="250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53" w:lineRule="exact"/>
        <w:rPr>
          <w:rFonts w:ascii="Times New Roman" w:cs="Times New Roman" w:eastAsia="Times New Roman" w:hAnsi="Times New Roman"/>
          <w:sz w:val="14"/>
          <w:szCs w:val="14"/>
          <w:color w:val="auto"/>
        </w:rPr>
      </w:pPr>
    </w:p>
    <w:p>
      <w:pPr>
        <w:ind w:left="2500" w:hanging="333"/>
        <w:spacing w:after="0"/>
        <w:tabs>
          <w:tab w:leader="none" w:pos="250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98" w:lineRule="exact"/>
        <w:rPr>
          <w:rFonts w:ascii="Times New Roman" w:cs="Times New Roman" w:eastAsia="Times New Roman" w:hAnsi="Times New Roman"/>
          <w:sz w:val="14"/>
          <w:szCs w:val="14"/>
          <w:color w:val="auto"/>
        </w:rPr>
      </w:pPr>
    </w:p>
    <w:p>
      <w:pPr>
        <w:ind w:left="2160" w:right="379" w:hanging="418"/>
        <w:spacing w:after="0" w:line="257" w:lineRule="auto"/>
        <w:tabs>
          <w:tab w:leader="none" w:pos="2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further undertakes that, for the purposes of determining any liability under the Securities Act, each filing of the annual report of the Registrant pursuant to Section 13(a) or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68" w:lineRule="exact"/>
        <w:rPr>
          <w:rFonts w:ascii="Times New Roman" w:cs="Times New Roman" w:eastAsia="Times New Roman" w:hAnsi="Times New Roman"/>
          <w:sz w:val="14"/>
          <w:szCs w:val="14"/>
          <w:color w:val="auto"/>
        </w:rPr>
      </w:pPr>
    </w:p>
    <w:p>
      <w:pPr>
        <w:ind w:left="2160" w:right="399" w:hanging="418"/>
        <w:spacing w:after="0" w:line="273" w:lineRule="auto"/>
        <w:tabs>
          <w:tab w:leader="none" w:pos="21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8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0159"/>
          </w:cols>
          <w:pgMar w:left="300" w:top="382"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3" w:lineRule="exact"/>
        <w:rPr>
          <w:sz w:val="20"/>
          <w:szCs w:val="20"/>
          <w:color w:val="auto"/>
        </w:rPr>
      </w:pPr>
    </w:p>
    <w:p>
      <w:pPr>
        <w:jc w:val="both"/>
        <w:ind w:left="1400" w:right="359"/>
        <w:spacing w:after="0" w:line="26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Seoul, Republic of Korea, on June 12, 2026.</w:t>
      </w:r>
    </w:p>
    <w:p>
      <w:pPr>
        <w:spacing w:after="0" w:line="15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MAGNACHIP SEMICONDUCTOR CORPORATION</w:t>
      </w:r>
    </w:p>
    <w:p>
      <w:pPr>
        <w:spacing w:after="0" w:line="17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 /s/ Camillo 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4305300</wp:posOffset>
            </wp:positionH>
            <wp:positionV relativeFrom="paragraph">
              <wp:posOffset>12700</wp:posOffset>
            </wp:positionV>
            <wp:extent cx="197040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1970405" cy="6350"/>
                    </a:xfrm>
                    <a:prstGeom prst="rect">
                      <a:avLst/>
                    </a:prstGeom>
                    <a:noFill/>
                  </pic:spPr>
                </pic:pic>
              </a:graphicData>
            </a:graphic>
          </wp:anchor>
        </w:drawing>
      </w:r>
    </w:p>
    <w:p>
      <w:pPr>
        <w:spacing w:after="0" w:line="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Camillo Martino</w:t>
      </w:r>
    </w:p>
    <w:p>
      <w:pPr>
        <w:spacing w:after="0" w:line="2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Chairman and Interim Chief Executive</w:t>
      </w:r>
    </w:p>
    <w:p>
      <w:pPr>
        <w:spacing w:after="0" w:line="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Officer (Principal Executive Officer)</w:t>
      </w:r>
    </w:p>
    <w:p>
      <w:pPr>
        <w:spacing w:after="0" w:line="3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3" w:lineRule="exact"/>
        <w:rPr>
          <w:sz w:val="20"/>
          <w:szCs w:val="20"/>
          <w:color w:val="auto"/>
        </w:rPr>
      </w:pPr>
    </w:p>
    <w:p>
      <w:pPr>
        <w:ind w:left="1400" w:right="379"/>
        <w:spacing w:after="0" w:line="251"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hereby severally constitutes and appoints Camillo Martino and Shinyoung Park, and each of them singly, as such person’s true and lawful attorneys in fact and agents, with full power of substitution and resubstitution, for such person and in such person’s name, place, and stead, in any and all capacities, to sign any and all amendments (including post effective amendments or any abbreviated or subsequent registration statement and any supplement to any prospectus included in this registration statement), and to file the same, with all exhibits thereto, and other documents in connection therewith, with the Securities and Exchange Commission, granting unto said attorneys in fact and agents,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attorneys in fact and agents, or any of them, or such person’s substitute or substitutes, may lawfully do or cause to be done by virtue hereof.</w:t>
      </w:r>
    </w:p>
    <w:p>
      <w:pPr>
        <w:spacing w:after="0" w:line="145" w:lineRule="exact"/>
        <w:rPr>
          <w:sz w:val="20"/>
          <w:szCs w:val="20"/>
          <w:color w:val="auto"/>
        </w:rPr>
      </w:pPr>
    </w:p>
    <w:p>
      <w:pPr>
        <w:ind w:left="1400" w:right="659"/>
        <w:spacing w:after="0" w:line="27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by the following persons in the capacities indicated and on the date indicated.</w:t>
      </w:r>
    </w:p>
    <w:p>
      <w:pPr>
        <w:spacing w:after="0" w:line="143" w:lineRule="exact"/>
        <w:rPr>
          <w:sz w:val="20"/>
          <w:szCs w:val="20"/>
          <w:color w:val="auto"/>
        </w:rPr>
      </w:pPr>
    </w:p>
    <w:tbl>
      <w:tblPr>
        <w:tblLayout w:type="fixed"/>
        <w:tblInd w:w="1420" w:type="dxa"/>
        <w:tblCellMar>
          <w:top w:w="0" w:type="dxa"/>
          <w:left w:w="0" w:type="dxa"/>
          <w:bottom w:w="0" w:type="dxa"/>
          <w:right w:w="0" w:type="dxa"/>
        </w:tblCellMar>
      </w:tblPr>
      <w:tr>
        <w:trPr>
          <w:trHeight w:val="144"/>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80" w:type="dxa"/>
            <w:vAlign w:val="bottom"/>
          </w:tcPr>
          <w:p>
            <w:pPr>
              <w:spacing w:after="0"/>
              <w:rPr>
                <w:sz w:val="12"/>
                <w:szCs w:val="12"/>
                <w:color w:val="auto"/>
              </w:rPr>
            </w:pPr>
          </w:p>
        </w:tc>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180" w:type="dxa"/>
            <w:vAlign w:val="bottom"/>
          </w:tcPr>
          <w:p>
            <w:pPr>
              <w:spacing w:after="0"/>
              <w:rPr>
                <w:sz w:val="12"/>
                <w:szCs w:val="12"/>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12"/>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Camillo Martino</w:t>
            </w:r>
          </w:p>
        </w:tc>
        <w:tc>
          <w:tcPr>
            <w:tcW w:w="80" w:type="dxa"/>
            <w:vAlign w:val="bottom"/>
          </w:tcPr>
          <w:p>
            <w:pPr>
              <w:spacing w:after="0"/>
              <w:rPr>
                <w:sz w:val="24"/>
                <w:szCs w:val="24"/>
                <w:color w:val="auto"/>
              </w:rPr>
            </w:pPr>
          </w:p>
        </w:tc>
        <w:tc>
          <w:tcPr>
            <w:tcW w:w="4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Chairman and Interim Chief Executive Officer</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June 12, 2026</w:t>
            </w:r>
          </w:p>
        </w:tc>
      </w:tr>
      <w:tr>
        <w:trPr>
          <w:trHeight w:val="172"/>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Camillo Martino</w:t>
            </w:r>
          </w:p>
        </w:tc>
        <w:tc>
          <w:tcPr>
            <w:tcW w:w="80" w:type="dxa"/>
            <w:vAlign w:val="bottom"/>
          </w:tcPr>
          <w:p>
            <w:pPr>
              <w:spacing w:after="0"/>
              <w:rPr>
                <w:sz w:val="14"/>
                <w:szCs w:val="14"/>
                <w:color w:val="auto"/>
              </w:rPr>
            </w:pPr>
          </w:p>
        </w:tc>
        <w:tc>
          <w:tcPr>
            <w:tcW w:w="4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(Principal Executive Officer)</w:t>
            </w:r>
          </w:p>
        </w:tc>
        <w:tc>
          <w:tcPr>
            <w:tcW w:w="1420" w:type="dxa"/>
            <w:vAlign w:val="bottom"/>
          </w:tcPr>
          <w:p>
            <w:pPr>
              <w:spacing w:after="0"/>
              <w:rPr>
                <w:sz w:val="14"/>
                <w:szCs w:val="14"/>
                <w:color w:val="auto"/>
              </w:rPr>
            </w:pPr>
          </w:p>
        </w:tc>
      </w:tr>
      <w:tr>
        <w:trPr>
          <w:trHeight w:val="327"/>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Shinyoung Park</w:t>
            </w:r>
          </w:p>
        </w:tc>
        <w:tc>
          <w:tcPr>
            <w:tcW w:w="80" w:type="dxa"/>
            <w:vAlign w:val="bottom"/>
          </w:tcPr>
          <w:p>
            <w:pPr>
              <w:spacing w:after="0"/>
              <w:rPr>
                <w:sz w:val="24"/>
                <w:szCs w:val="24"/>
                <w:color w:val="auto"/>
              </w:rPr>
            </w:pPr>
          </w:p>
        </w:tc>
        <w:tc>
          <w:tcPr>
            <w:tcW w:w="4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Chief Financial Officer</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June 12, 2026</w:t>
            </w:r>
          </w:p>
        </w:tc>
      </w:tr>
      <w:tr>
        <w:trPr>
          <w:trHeight w:val="172"/>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Shinyoung Park</w:t>
            </w:r>
          </w:p>
        </w:tc>
        <w:tc>
          <w:tcPr>
            <w:tcW w:w="80" w:type="dxa"/>
            <w:vAlign w:val="bottom"/>
          </w:tcPr>
          <w:p>
            <w:pPr>
              <w:spacing w:after="0"/>
              <w:rPr>
                <w:sz w:val="14"/>
                <w:szCs w:val="14"/>
                <w:color w:val="auto"/>
              </w:rPr>
            </w:pPr>
          </w:p>
        </w:tc>
        <w:tc>
          <w:tcPr>
            <w:tcW w:w="4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(Principal Financial Officer and Principal Accounting Officer)</w:t>
            </w:r>
          </w:p>
        </w:tc>
        <w:tc>
          <w:tcPr>
            <w:tcW w:w="1420" w:type="dxa"/>
            <w:vAlign w:val="bottom"/>
          </w:tcPr>
          <w:p>
            <w:pPr>
              <w:spacing w:after="0"/>
              <w:rPr>
                <w:sz w:val="14"/>
                <w:szCs w:val="14"/>
                <w:color w:val="auto"/>
              </w:rPr>
            </w:pPr>
          </w:p>
        </w:tc>
      </w:tr>
      <w:tr>
        <w:trPr>
          <w:trHeight w:val="327"/>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Cristiano Amoruso</w:t>
            </w:r>
          </w:p>
        </w:tc>
        <w:tc>
          <w:tcPr>
            <w:tcW w:w="80" w:type="dxa"/>
            <w:vAlign w:val="bottom"/>
          </w:tcPr>
          <w:p>
            <w:pPr>
              <w:spacing w:after="0"/>
              <w:rPr>
                <w:sz w:val="24"/>
                <w:szCs w:val="24"/>
                <w:color w:val="auto"/>
              </w:rPr>
            </w:pPr>
          </w:p>
        </w:tc>
        <w:tc>
          <w:tcPr>
            <w:tcW w:w="4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Director</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June 12, 2026</w:t>
            </w:r>
          </w:p>
        </w:tc>
      </w:tr>
      <w:tr>
        <w:trPr>
          <w:trHeight w:val="172"/>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Cristiano Amoruso</w:t>
            </w:r>
          </w:p>
        </w:tc>
        <w:tc>
          <w:tcPr>
            <w:tcW w:w="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27"/>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Liz Chung</w:t>
            </w:r>
          </w:p>
        </w:tc>
        <w:tc>
          <w:tcPr>
            <w:tcW w:w="80" w:type="dxa"/>
            <w:vAlign w:val="bottom"/>
          </w:tcPr>
          <w:p>
            <w:pPr>
              <w:spacing w:after="0"/>
              <w:rPr>
                <w:sz w:val="24"/>
                <w:szCs w:val="24"/>
                <w:color w:val="auto"/>
              </w:rPr>
            </w:pPr>
          </w:p>
        </w:tc>
        <w:tc>
          <w:tcPr>
            <w:tcW w:w="4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Director</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June 12, 2026</w:t>
            </w:r>
          </w:p>
        </w:tc>
      </w:tr>
      <w:tr>
        <w:trPr>
          <w:trHeight w:val="172"/>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Liz Chung</w:t>
            </w:r>
          </w:p>
        </w:tc>
        <w:tc>
          <w:tcPr>
            <w:tcW w:w="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27"/>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Gilbert Nathan</w:t>
            </w:r>
          </w:p>
        </w:tc>
        <w:tc>
          <w:tcPr>
            <w:tcW w:w="80" w:type="dxa"/>
            <w:vAlign w:val="bottom"/>
          </w:tcPr>
          <w:p>
            <w:pPr>
              <w:spacing w:after="0"/>
              <w:rPr>
                <w:sz w:val="24"/>
                <w:szCs w:val="24"/>
                <w:color w:val="auto"/>
              </w:rPr>
            </w:pPr>
          </w:p>
        </w:tc>
        <w:tc>
          <w:tcPr>
            <w:tcW w:w="4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Director</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June 12, 2026</w:t>
            </w:r>
          </w:p>
        </w:tc>
      </w:tr>
      <w:tr>
        <w:trPr>
          <w:trHeight w:val="172"/>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Gilbert Nathan</w:t>
            </w:r>
          </w:p>
        </w:tc>
        <w:tc>
          <w:tcPr>
            <w:tcW w:w="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76"/>
        </w:trPr>
        <w:tc>
          <w:tcPr>
            <w:tcW w:w="2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40" w:type="dxa"/>
            <w:vAlign w:val="bottom"/>
            <w:gridSpan w:val="2"/>
          </w:tcPr>
          <w:p>
            <w:pPr>
              <w:ind w:left="1320"/>
              <w:spacing w:after="0"/>
              <w:rPr>
                <w:sz w:val="20"/>
                <w:szCs w:val="20"/>
                <w:color w:val="auto"/>
              </w:rPr>
            </w:pPr>
            <w:r>
              <w:rPr>
                <w:rFonts w:ascii="Times New Roman" w:cs="Times New Roman" w:eastAsia="Times New Roman" w:hAnsi="Times New Roman"/>
                <w:sz w:val="14"/>
                <w:szCs w:val="14"/>
                <w:color w:val="auto"/>
              </w:rPr>
              <w:t>II-6</w:t>
            </w:r>
          </w:p>
        </w:tc>
        <w:tc>
          <w:tcPr>
            <w:tcW w:w="1420" w:type="dxa"/>
            <w:vAlign w:val="bottom"/>
          </w:tcPr>
          <w:p>
            <w:pPr>
              <w:spacing w:after="0"/>
              <w:rPr>
                <w:sz w:val="23"/>
                <w:szCs w:val="23"/>
                <w:color w:val="auto"/>
              </w:rPr>
            </w:pPr>
          </w:p>
        </w:tc>
      </w:tr>
    </w:tbl>
    <w:p>
      <w:pPr>
        <w:sectPr>
          <w:pgSz w:w="11900" w:h="16838" w:orient="portrait"/>
          <w:cols w:equalWidth="0" w:num="1">
            <w:col w:w="10159"/>
          </w:cols>
          <w:pgMar w:left="300" w:top="382" w:right="1440" w:bottom="1440" w:gutter="0" w:footer="0" w:header="0"/>
        </w:sectPr>
      </w:pPr>
    </w:p>
    <w:bookmarkStart w:id="32" w:name="page33"/>
    <w:bookmarkEnd w:id="32"/>
    <w:p>
      <w:pPr>
        <w:ind w:left="8100"/>
        <w:spacing w:after="0"/>
        <w:rPr>
          <w:sz w:val="20"/>
          <w:szCs w:val="20"/>
          <w:color w:val="auto"/>
        </w:rPr>
      </w:pPr>
      <w:r>
        <w:rPr>
          <w:rFonts w:ascii="Times New Roman" w:cs="Times New Roman" w:eastAsia="Times New Roman" w:hAnsi="Times New Roman"/>
          <w:sz w:val="13"/>
          <w:szCs w:val="13"/>
          <w:b w:val="1"/>
          <w:bCs w:val="1"/>
          <w:color w:val="auto"/>
        </w:rPr>
        <w:t>Exhibit 5.1</w:t>
      </w:r>
    </w:p>
    <w:p>
      <w:pPr>
        <w:spacing w:after="0" w:line="20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4"/>
          <w:szCs w:val="14"/>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-92075</wp:posOffset>
            </wp:positionV>
            <wp:extent cx="1318260" cy="290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1318260" cy="290195"/>
                    </a:xfrm>
                    <a:prstGeom prst="rect">
                      <a:avLst/>
                    </a:prstGeom>
                    <a:noFill/>
                  </pic:spPr>
                </pic:pic>
              </a:graphicData>
            </a:graphic>
          </wp:anchor>
        </w:drawing>
      </w:r>
    </w:p>
    <w:p>
      <w:pPr>
        <w:ind w:left="6880"/>
        <w:spacing w:after="0"/>
        <w:rPr>
          <w:sz w:val="20"/>
          <w:szCs w:val="20"/>
          <w:color w:val="auto"/>
        </w:rPr>
      </w:pPr>
      <w:r>
        <w:rPr>
          <w:rFonts w:ascii="Times New Roman" w:cs="Times New Roman" w:eastAsia="Times New Roman" w:hAnsi="Times New Roman"/>
          <w:sz w:val="14"/>
          <w:szCs w:val="14"/>
          <w:color w:val="auto"/>
        </w:rPr>
        <w:t>601 Marshall Street</w:t>
      </w:r>
    </w:p>
    <w:p>
      <w:pPr>
        <w:spacing w:after="0" w:line="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4"/>
          <w:szCs w:val="14"/>
          <w:color w:val="auto"/>
        </w:rPr>
        <w:t>Redwood City, CA 94063</w:t>
      </w:r>
    </w:p>
    <w:p>
      <w:pPr>
        <w:spacing w:after="0" w:line="18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4"/>
          <w:szCs w:val="14"/>
          <w:color w:val="auto"/>
        </w:rPr>
        <w:t>goodwinlaw.com</w:t>
      </w:r>
    </w:p>
    <w:p>
      <w:pPr>
        <w:spacing w:after="0" w:line="20"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4"/>
          <w:szCs w:val="14"/>
          <w:color w:val="auto"/>
        </w:rPr>
        <w:t>+1 650 752 3100</w:t>
      </w:r>
    </w:p>
    <w:p>
      <w:pPr>
        <w:spacing w:after="0" w:line="166"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3"/>
          <w:szCs w:val="13"/>
          <w:color w:val="auto"/>
        </w:rPr>
        <w:t>June 12, 2026</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Magnachip Semiconductor Corporation</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15F, 76 Jikji-daero 436beon-gil, Heungdeok-gu</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Cheongju-si, Chungcheongbuk-do, Republic of Korea 28581</w:t>
      </w:r>
    </w:p>
    <w:p>
      <w:pPr>
        <w:spacing w:after="0" w:line="177" w:lineRule="exact"/>
        <w:rPr>
          <w:sz w:val="20"/>
          <w:szCs w:val="20"/>
          <w:color w:val="auto"/>
        </w:rPr>
      </w:pPr>
    </w:p>
    <w:p>
      <w:pPr>
        <w:ind w:left="600"/>
        <w:spacing w:after="0"/>
        <w:tabs>
          <w:tab w:leader="none" w:pos="1000" w:val="left"/>
        </w:tabs>
        <w:rPr>
          <w:sz w:val="20"/>
          <w:szCs w:val="20"/>
          <w:color w:val="auto"/>
        </w:rPr>
      </w:pPr>
      <w:r>
        <w:rPr>
          <w:rFonts w:ascii="Times New Roman" w:cs="Times New Roman" w:eastAsia="Times New Roman" w:hAnsi="Times New Roman"/>
          <w:sz w:val="14"/>
          <w:szCs w:val="14"/>
          <w:color w:val="auto"/>
        </w:rPr>
        <w:t>Re:</w:t>
      </w:r>
      <w:r>
        <w:rPr>
          <w:sz w:val="20"/>
          <w:szCs w:val="20"/>
          <w:color w:val="auto"/>
        </w:rPr>
        <w:tab/>
      </w:r>
      <w:r>
        <w:rPr>
          <w:rFonts w:ascii="Times New Roman" w:cs="Times New Roman" w:eastAsia="Times New Roman" w:hAnsi="Times New Roman"/>
          <w:sz w:val="14"/>
          <w:szCs w:val="14"/>
          <w:u w:val="single" w:color="auto"/>
          <w:color w:val="auto"/>
        </w:rPr>
        <w:t>Securities Being Registered under Registration Statement on Form S-3</w:t>
      </w:r>
    </w:p>
    <w:p>
      <w:pPr>
        <w:spacing w:after="0" w:line="171" w:lineRule="exact"/>
        <w:rPr>
          <w:sz w:val="20"/>
          <w:szCs w:val="20"/>
          <w:color w:val="auto"/>
        </w:rPr>
      </w:pPr>
    </w:p>
    <w:p>
      <w:pPr>
        <w:ind w:left="260" w:right="299"/>
        <w:spacing w:after="0" w:line="250" w:lineRule="auto"/>
        <w:rPr>
          <w:sz w:val="20"/>
          <w:szCs w:val="20"/>
          <w:color w:val="auto"/>
        </w:rPr>
      </w:pPr>
      <w:r>
        <w:rPr>
          <w:rFonts w:ascii="Times New Roman" w:cs="Times New Roman" w:eastAsia="Times New Roman" w:hAnsi="Times New Roman"/>
          <w:sz w:val="14"/>
          <w:szCs w:val="14"/>
          <w:color w:val="auto"/>
        </w:rPr>
        <w:t>We have acted as counsel to you in connection with your filing of a Registration Statement on Form S-3 (as amended or supplemented, the “Registration Statement”) pursuant to the Securities Act of 1933, as amended (the “Securities Act”), relating to the offering by Magnachip Semiconductor Corporation, a Delaware corporation (the “Company”), of up to $50,000,000 of any combination of (i) shares of common stock, par value $0.01 per share (the “Common Stock”), of the Company, (ii) preferred stock, par value $0.01 per share, of the Company (the “Preferred Stock”), (iii) warrants to purchase Common Stock or Preferred Stock (“Warrants”), (iv) units comprised of Common Stock, Preferred Stock or Warrants in any combination (“Units”) or (v) subscription rights to purchase Common Stock, Preferred Stock, Warrants or Units consisting of some or all of these securities (“Rights”). The Common Stock, Preferred Stock, Warrants, Units and Rights are sometimes referred to collectively herein as the “Securities.” Securities may be issued in an unspecified number. The Registration Statement provides that the Securities may be offered separately or together, in separate series, in amounts, at prices and on terms to be set forth in one or more prospectus supplements (each a “Prospectus Supplement”) to the prospectus contained in the Registration Statement.</w:t>
      </w:r>
    </w:p>
    <w:p>
      <w:pPr>
        <w:spacing w:after="0" w:line="150" w:lineRule="exact"/>
        <w:rPr>
          <w:sz w:val="20"/>
          <w:szCs w:val="20"/>
          <w:color w:val="auto"/>
        </w:rPr>
      </w:pPr>
    </w:p>
    <w:p>
      <w:pPr>
        <w:ind w:left="260" w:right="539"/>
        <w:spacing w:after="0" w:line="262" w:lineRule="auto"/>
        <w:rPr>
          <w:sz w:val="20"/>
          <w:szCs w:val="20"/>
          <w:color w:val="auto"/>
        </w:rPr>
      </w:pPr>
      <w:r>
        <w:rPr>
          <w:rFonts w:ascii="Times New Roman" w:cs="Times New Roman" w:eastAsia="Times New Roman" w:hAnsi="Times New Roman"/>
          <w:sz w:val="14"/>
          <w:szCs w:val="14"/>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opinions set forth below are limited to the Delaware General Corporation Law and the law of New York.</w:t>
      </w:r>
    </w:p>
    <w:p>
      <w:pPr>
        <w:spacing w:after="0" w:line="171" w:lineRule="exact"/>
        <w:rPr>
          <w:sz w:val="20"/>
          <w:szCs w:val="20"/>
          <w:color w:val="auto"/>
        </w:rPr>
      </w:pPr>
    </w:p>
    <w:p>
      <w:pPr>
        <w:ind w:left="260" w:right="299"/>
        <w:spacing w:after="0" w:line="275" w:lineRule="auto"/>
        <w:rPr>
          <w:sz w:val="20"/>
          <w:szCs w:val="20"/>
          <w:color w:val="auto"/>
        </w:rPr>
      </w:pPr>
      <w:r>
        <w:rPr>
          <w:rFonts w:ascii="Times New Roman" w:cs="Times New Roman" w:eastAsia="Times New Roman" w:hAnsi="Times New Roman"/>
          <w:sz w:val="13"/>
          <w:szCs w:val="13"/>
          <w:color w:val="auto"/>
        </w:rPr>
        <w:t>For purposes of the opinions set forth below, without limiting any other exceptions or qualifications set forth herein, we have assumed that (i) each of the Warrants, Units and Rights, and the warrant agreements, unit agreements and other agreements governing Securities offered pursuant to the Registration Statement will be governed by the internal law of New York and (ii) after the issuance of any Securities offered pursuant to the Registration Statement, the total number of issued shares of Common Stock or Preferred Stock, as applicable, together with the total number of shares of such stock issuable upon the exercise, exchange, conversion or settlement, as the case may be, of any exercisable, exchangeable or convertible security (including without limitation any Unit or Right), as the case may be, then outstanding, will not exceed the total number of authorized shares of Common Stock or Preferred Stock, as applicable, then available for issuance under the Company’s certificate of incorporation as then in effect (the “Charter”).</w:t>
      </w:r>
    </w:p>
    <w:p>
      <w:pPr>
        <w:sectPr>
          <w:pgSz w:w="11900" w:h="16838" w:orient="portrait"/>
          <w:cols w:equalWidth="0" w:num="1">
            <w:col w:w="9019"/>
          </w:cols>
          <w:pgMar w:left="1440" w:top="123" w:right="1440" w:bottom="1440" w:gutter="0" w:footer="0" w:header="0"/>
        </w:sectPr>
      </w:pPr>
    </w:p>
    <w:bookmarkStart w:id="33" w:name="page34"/>
    <w:bookmarkEnd w:id="33"/>
    <w:p>
      <w:pPr>
        <w:ind w:left="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Magnachip Semiconductor Corporation</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June 12, 2026</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Page 2</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purposes of the opinions set forth below, we refer to the following as the “Future Approval and Issuance” of Securities:</w:t>
      </w:r>
    </w:p>
    <w:p>
      <w:pPr>
        <w:spacing w:after="0" w:line="98" w:lineRule="exact"/>
        <w:rPr>
          <w:sz w:val="20"/>
          <w:szCs w:val="20"/>
          <w:color w:val="auto"/>
        </w:rPr>
      </w:pPr>
    </w:p>
    <w:p>
      <w:pPr>
        <w:ind w:left="1020" w:right="299" w:hanging="335"/>
        <w:spacing w:after="0" w:line="257" w:lineRule="auto"/>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of the Securities, (a) the approval by the Company of the amount, terms and issuance of such Securities (the “Approval”) and (b) the issuance of such Securities in accordance with the Approval upon the receipt by the Company of the consideration (which, in the case of shares of Common Stock or Preferred Stock, is not less than the par value of such shares) to be paid in accordance with the Approval;</w:t>
      </w:r>
    </w:p>
    <w:p>
      <w:pPr>
        <w:spacing w:after="0" w:line="68" w:lineRule="exact"/>
        <w:rPr>
          <w:rFonts w:ascii="Times New Roman" w:cs="Times New Roman" w:eastAsia="Times New Roman" w:hAnsi="Times New Roman"/>
          <w:sz w:val="14"/>
          <w:szCs w:val="14"/>
          <w:color w:val="auto"/>
        </w:rPr>
      </w:pPr>
    </w:p>
    <w:p>
      <w:pPr>
        <w:ind w:left="1020" w:right="339" w:hanging="335"/>
        <w:spacing w:after="0" w:line="257" w:lineRule="auto"/>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Preferred Stock, (a) the establishment of the terms of such Preferred Stock by the Company in conformity with the Charter and applicable law and (b) the execution, acknowledgement and filing with the Delaware Secretary of State, and the effectiveness of, a certificate of designations to the Charter setting forth the terms of such Preferred Stock in accordance with the Charter and applicable law; and</w:t>
      </w:r>
    </w:p>
    <w:p>
      <w:pPr>
        <w:spacing w:after="0" w:line="68" w:lineRule="exact"/>
        <w:rPr>
          <w:rFonts w:ascii="Times New Roman" w:cs="Times New Roman" w:eastAsia="Times New Roman" w:hAnsi="Times New Roman"/>
          <w:sz w:val="14"/>
          <w:szCs w:val="14"/>
          <w:color w:val="auto"/>
        </w:rPr>
      </w:pPr>
    </w:p>
    <w:p>
      <w:pPr>
        <w:ind w:left="1020" w:right="379" w:hanging="335"/>
        <w:spacing w:after="0" w:line="262" w:lineRule="auto"/>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Warrants, Units or Rights, (a) the approval, execution and delivery by the Company and any other parties thereto of any agreement under which such Securities are to be issued, and (b) the establishment of the terms of such Securities and the issuance of such Securities in conformity with those terms, the terms of any applicable agreement and applicable law.</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Based upon the foregoing, and subject to the additional qualifications set forth below, we are of the opinion that:</w:t>
      </w:r>
    </w:p>
    <w:p>
      <w:pPr>
        <w:spacing w:after="0" w:line="98" w:lineRule="exact"/>
        <w:rPr>
          <w:sz w:val="20"/>
          <w:szCs w:val="20"/>
          <w:color w:val="auto"/>
        </w:rPr>
      </w:pPr>
    </w:p>
    <w:p>
      <w:pPr>
        <w:ind w:left="1020" w:right="419" w:hanging="418"/>
        <w:spacing w:after="0" w:line="277" w:lineRule="auto"/>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Future Approval and Issuance of shares of Common Stock, such shares of Common Stock will be validly issued, fully paid and nonassessable.</w:t>
      </w:r>
    </w:p>
    <w:p>
      <w:pPr>
        <w:spacing w:after="0" w:line="53" w:lineRule="exact"/>
        <w:rPr>
          <w:rFonts w:ascii="Times New Roman" w:cs="Times New Roman" w:eastAsia="Times New Roman" w:hAnsi="Times New Roman"/>
          <w:sz w:val="14"/>
          <w:szCs w:val="14"/>
          <w:color w:val="auto"/>
        </w:rPr>
      </w:pPr>
    </w:p>
    <w:p>
      <w:pPr>
        <w:ind w:left="1020" w:right="419" w:hanging="418"/>
        <w:spacing w:after="0" w:line="277" w:lineRule="auto"/>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Future Approval and Issuance of shares of Preferred Stock, such shares of Preferred Stock will be validly issued, fully paid and nonassessable.</w:t>
      </w:r>
    </w:p>
    <w:p>
      <w:pPr>
        <w:spacing w:after="0" w:line="53" w:lineRule="exact"/>
        <w:rPr>
          <w:rFonts w:ascii="Times New Roman" w:cs="Times New Roman" w:eastAsia="Times New Roman" w:hAnsi="Times New Roman"/>
          <w:sz w:val="14"/>
          <w:szCs w:val="14"/>
          <w:color w:val="auto"/>
        </w:rPr>
      </w:pPr>
    </w:p>
    <w:p>
      <w:pPr>
        <w:ind w:left="1020" w:hanging="418"/>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Future Approval and Issuance of Warrants, such Warrants will be valid and binding obligations of the Company.</w:t>
      </w:r>
    </w:p>
    <w:p>
      <w:pPr>
        <w:spacing w:after="0" w:line="98" w:lineRule="exact"/>
        <w:rPr>
          <w:rFonts w:ascii="Times New Roman" w:cs="Times New Roman" w:eastAsia="Times New Roman" w:hAnsi="Times New Roman"/>
          <w:sz w:val="14"/>
          <w:szCs w:val="14"/>
          <w:color w:val="auto"/>
        </w:rPr>
      </w:pPr>
    </w:p>
    <w:p>
      <w:pPr>
        <w:ind w:left="1020" w:hanging="418"/>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Future Approval and Issuance of Units, such Units will be valid and binding obligations of the Company.</w:t>
      </w:r>
    </w:p>
    <w:p>
      <w:pPr>
        <w:spacing w:after="0" w:line="98" w:lineRule="exact"/>
        <w:rPr>
          <w:rFonts w:ascii="Times New Roman" w:cs="Times New Roman" w:eastAsia="Times New Roman" w:hAnsi="Times New Roman"/>
          <w:sz w:val="14"/>
          <w:szCs w:val="14"/>
          <w:color w:val="auto"/>
        </w:rPr>
      </w:pPr>
    </w:p>
    <w:p>
      <w:pPr>
        <w:ind w:left="1020" w:hanging="418"/>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Future Approval and Issuance of Rights, such Rights will be valid and binding obligations of the Company.</w:t>
      </w:r>
    </w:p>
    <w:p>
      <w:pPr>
        <w:sectPr>
          <w:pgSz w:w="11900" w:h="16838" w:orient="portrait"/>
          <w:cols w:equalWidth="0" w:num="1">
            <w:col w:w="9019"/>
          </w:cols>
          <w:pgMar w:left="1440" w:top="239" w:right="1440" w:bottom="1440" w:gutter="0" w:footer="0" w:header="0"/>
        </w:sectPr>
      </w:pPr>
    </w:p>
    <w:bookmarkStart w:id="34" w:name="page35"/>
    <w:bookmarkEnd w:id="34"/>
    <w:p>
      <w:pPr>
        <w:ind w:left="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Magnachip Semiconductor Corporation</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June 12, 2026</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Page 3</w:t>
      </w:r>
    </w:p>
    <w:p>
      <w:pPr>
        <w:spacing w:after="0" w:line="104" w:lineRule="exact"/>
        <w:rPr>
          <w:sz w:val="20"/>
          <w:szCs w:val="20"/>
          <w:color w:val="auto"/>
        </w:rPr>
      </w:pPr>
    </w:p>
    <w:p>
      <w:pPr>
        <w:ind w:left="260" w:right="479"/>
        <w:spacing w:after="0" w:line="277" w:lineRule="auto"/>
        <w:rPr>
          <w:sz w:val="20"/>
          <w:szCs w:val="20"/>
          <w:color w:val="auto"/>
        </w:rPr>
      </w:pPr>
      <w:r>
        <w:rPr>
          <w:rFonts w:ascii="Times New Roman" w:cs="Times New Roman" w:eastAsia="Times New Roman" w:hAnsi="Times New Roman"/>
          <w:sz w:val="14"/>
          <w:szCs w:val="14"/>
          <w:color w:val="auto"/>
        </w:rPr>
        <w:t>The opinions expressed above are subject to bankruptcy, insolvency, fraudulent transfer, reorganization, moratorium and other similar laws of general application affecting the rights and remedies of creditors and to general principles of equity.</w:t>
      </w:r>
    </w:p>
    <w:p>
      <w:pPr>
        <w:spacing w:after="0" w:line="127" w:lineRule="exact"/>
        <w:rPr>
          <w:sz w:val="20"/>
          <w:szCs w:val="20"/>
          <w:color w:val="auto"/>
        </w:rPr>
      </w:pPr>
    </w:p>
    <w:p>
      <w:pPr>
        <w:ind w:left="260" w:right="399"/>
        <w:spacing w:after="0" w:line="277" w:lineRule="auto"/>
        <w:rPr>
          <w:sz w:val="20"/>
          <w:szCs w:val="20"/>
          <w:color w:val="auto"/>
        </w:rPr>
      </w:pPr>
      <w:r>
        <w:rPr>
          <w:rFonts w:ascii="Times New Roman" w:cs="Times New Roman" w:eastAsia="Times New Roman" w:hAnsi="Times New Roman"/>
          <w:sz w:val="14"/>
          <w:szCs w:val="14"/>
          <w:color w:val="auto"/>
        </w:rPr>
        <w:t>This opinion letter and the opinions it contains shall be interpreted in accordance with the Core Opinion Principles as published in 74 Business Lawyer 815 (Summer 2019).</w:t>
      </w:r>
    </w:p>
    <w:p>
      <w:pPr>
        <w:spacing w:after="0" w:line="127" w:lineRule="exact"/>
        <w:rPr>
          <w:sz w:val="20"/>
          <w:szCs w:val="20"/>
          <w:color w:val="auto"/>
        </w:rPr>
      </w:pPr>
    </w:p>
    <w:p>
      <w:pPr>
        <w:ind w:left="260" w:right="299"/>
        <w:spacing w:after="0" w:line="262" w:lineRule="auto"/>
        <w:rPr>
          <w:sz w:val="20"/>
          <w:szCs w:val="20"/>
          <w:color w:val="auto"/>
        </w:rPr>
      </w:pPr>
      <w:r>
        <w:rPr>
          <w:rFonts w:ascii="Times New Roman" w:cs="Times New Roman" w:eastAsia="Times New Roman" w:hAnsi="Times New Roman"/>
          <w:sz w:val="14"/>
          <w:szCs w:val="14"/>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 Goodwin Procter LLP</w:t>
      </w:r>
    </w:p>
    <w:p>
      <w:pPr>
        <w:spacing w:after="0" w:line="17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GOODWIN PROCTER LLP</w:t>
      </w:r>
    </w:p>
    <w:p>
      <w:pPr>
        <w:sectPr>
          <w:pgSz w:w="11900" w:h="16838" w:orient="portrait"/>
          <w:cols w:equalWidth="0" w:num="1">
            <w:col w:w="9019"/>
          </w:cols>
          <w:pgMar w:left="1440" w:top="239" w:right="1440" w:bottom="1440" w:gutter="0" w:footer="0" w:header="0"/>
        </w:sectPr>
      </w:pPr>
    </w:p>
    <w:bookmarkStart w:id="35" w:name="page36"/>
    <w:bookmarkEnd w:id="35"/>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3" w:lineRule="exact"/>
        <w:rPr>
          <w:sz w:val="20"/>
          <w:szCs w:val="20"/>
          <w:color w:val="auto"/>
        </w:rPr>
      </w:pPr>
    </w:p>
    <w:p>
      <w:pPr>
        <w:ind w:left="260" w:right="379"/>
        <w:spacing w:after="0" w:line="255" w:lineRule="auto"/>
        <w:rPr>
          <w:sz w:val="20"/>
          <w:szCs w:val="20"/>
          <w:color w:val="auto"/>
        </w:rPr>
      </w:pPr>
      <w:r>
        <w:rPr>
          <w:rFonts w:ascii="Times New Roman" w:cs="Times New Roman" w:eastAsia="Times New Roman" w:hAnsi="Times New Roman"/>
          <w:sz w:val="14"/>
          <w:szCs w:val="14"/>
          <w:color w:val="auto"/>
        </w:rPr>
        <w:t>We consent to the reference to our firm under the caption “Experts” in the Registration Statement (Form S-3) and related Prospectus of Magnachip Semiconductor Corporation for the registration of $50,000,000 common stock, preferred stock, warrants, rights and units and to the incorporation by reference therein of our report dated March 16, 2026, with respect to the consolidated financial statements of Magnachip Semiconductor Corporation, and the effectiveness of internal control over financial reporting of Magnachip Semiconductor Corporation, included in its Annual Report (Form 10-K) for the year ended December 31, 2025, filed with the Securities and Exchange Commission.</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 EY Han Young</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Seoul, the Republic of Korea</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June 12, 2026</w:t>
      </w:r>
    </w:p>
    <w:p>
      <w:pPr>
        <w:sectPr>
          <w:pgSz w:w="11900" w:h="16838" w:orient="portrait"/>
          <w:cols w:equalWidth="0" w:num="1">
            <w:col w:w="9019"/>
          </w:cols>
          <w:pgMar w:left="1440" w:top="123" w:right="1440" w:bottom="1440" w:gutter="0" w:footer="0" w:header="0"/>
        </w:sectPr>
      </w:pPr>
    </w:p>
    <w:bookmarkStart w:id="36" w:name="page37"/>
    <w:bookmarkEnd w:id="36"/>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3" w:lineRule="exact"/>
        <w:rPr>
          <w:sz w:val="20"/>
          <w:szCs w:val="20"/>
          <w:color w:val="auto"/>
        </w:rPr>
      </w:pPr>
    </w:p>
    <w:p>
      <w:pPr>
        <w:ind w:left="260" w:right="299"/>
        <w:spacing w:after="0" w:line="255" w:lineRule="auto"/>
        <w:rPr>
          <w:sz w:val="20"/>
          <w:szCs w:val="20"/>
          <w:color w:val="auto"/>
        </w:rPr>
      </w:pPr>
      <w:r>
        <w:rPr>
          <w:rFonts w:ascii="Times New Roman" w:cs="Times New Roman" w:eastAsia="Times New Roman" w:hAnsi="Times New Roman"/>
          <w:sz w:val="14"/>
          <w:szCs w:val="14"/>
          <w:color w:val="auto"/>
        </w:rPr>
        <w:t>We hereby consent to the incorporation by reference in this Registration Statement on Form S-3 of Magnachip Semiconductor Corporation of our report dated March 14, 2025, except for the effects of discontinued operations discussed in Note 2 to the consolidated financial statements, as to which the date is March 16, 2026, relating to the financial statements of Magnachip Semiconductor Corporation, which appears in Magnachip Semiconductor Corporation’s Annual Report on Form 10-K for the year ended December 31, 2025. We also consent to the reference to us under the heading “Experts” in such Registration Statement.</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 Samil PricewaterhouseCoopers</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Seoul, South Korea</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June 12, 2026</w:t>
      </w:r>
    </w:p>
    <w:p>
      <w:pPr>
        <w:sectPr>
          <w:pgSz w:w="11900" w:h="16838" w:orient="portrait"/>
          <w:cols w:equalWidth="0" w:num="1">
            <w:col w:w="9019"/>
          </w:cols>
          <w:pgMar w:left="1440" w:top="123" w:right="1440" w:bottom="1440" w:gutter="0" w:footer="0" w:header="0"/>
        </w:sectPr>
      </w:pPr>
    </w:p>
    <w:bookmarkStart w:id="37" w:name="page38"/>
    <w:bookmarkEnd w:id="37"/>
    <w:p>
      <w:pPr>
        <w:ind w:left="3520"/>
        <w:spacing w:after="0"/>
        <w:rPr>
          <w:sz w:val="20"/>
          <w:szCs w:val="20"/>
          <w:color w:val="auto"/>
        </w:rPr>
      </w:pPr>
      <w:r>
        <w:rPr>
          <w:rFonts w:ascii="Arial" w:cs="Arial" w:eastAsia="Arial" w:hAnsi="Arial"/>
          <w:sz w:val="28"/>
          <w:szCs w:val="28"/>
          <w:b w:val="1"/>
          <w:bCs w:val="1"/>
          <w:color w:val="auto"/>
        </w:rPr>
        <w:t>Calculation of Filing Fee Tables</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3"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MAGNACHIP SEMICONDUCTOR Corp</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448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w w:val="97"/>
              </w:rPr>
              <w:t>Table 1: Newly Registered and Carry Forward Securities</w:t>
            </w:r>
          </w:p>
        </w:tc>
        <w:tc>
          <w:tcPr>
            <w:tcW w:w="8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2"/>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jc w:val="center"/>
              <w:spacing w:after="0" w:line="192"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7"/>
        </w:trPr>
        <w:tc>
          <w:tcPr>
            <w:tcW w:w="1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7"/>
        </w:trPr>
        <w:tc>
          <w:tcPr>
            <w:tcW w:w="1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5"/>
              </w:rPr>
              <w:t>Fee</w:t>
            </w:r>
          </w:p>
        </w:tc>
        <w:tc>
          <w:tcPr>
            <w:tcW w:w="900" w:type="dxa"/>
            <w:vAlign w:val="bottom"/>
          </w:tcPr>
          <w:p>
            <w:pPr>
              <w:spacing w:after="0"/>
              <w:rPr>
                <w:sz w:val="16"/>
                <w:szCs w:val="16"/>
                <w:color w:val="auto"/>
              </w:rPr>
            </w:pPr>
          </w:p>
        </w:tc>
        <w:tc>
          <w:tcPr>
            <w:tcW w:w="86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6"/>
              </w:rPr>
              <w:t>Proposed</w:t>
            </w:r>
          </w:p>
        </w:tc>
        <w:tc>
          <w:tcPr>
            <w:tcW w:w="10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8"/>
              </w:rPr>
              <w:t>Carry</w:t>
            </w:r>
          </w:p>
        </w:tc>
        <w:tc>
          <w:tcPr>
            <w:tcW w:w="96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93"/>
        </w:trPr>
        <w:tc>
          <w:tcPr>
            <w:tcW w:w="1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02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6"/>
              </w:rPr>
              <w:t>Maximum</w:t>
            </w:r>
          </w:p>
        </w:tc>
        <w:tc>
          <w:tcPr>
            <w:tcW w:w="1880" w:type="dxa"/>
            <w:vAlign w:val="bottom"/>
          </w:tcPr>
          <w:p>
            <w:pPr>
              <w:spacing w:after="0"/>
              <w:rPr>
                <w:sz w:val="8"/>
                <w:szCs w:val="8"/>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8"/>
              </w:rPr>
              <w:t>Carry</w:t>
            </w:r>
          </w:p>
        </w:tc>
        <w:tc>
          <w:tcPr>
            <w:tcW w:w="76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8"/>
              </w:rPr>
              <w:t>Carry</w:t>
            </w:r>
          </w:p>
        </w:tc>
        <w:tc>
          <w:tcPr>
            <w:tcW w:w="740" w:type="dxa"/>
            <w:vAlign w:val="bottom"/>
            <w:vMerge w:val="continue"/>
          </w:tcPr>
          <w:p>
            <w:pPr>
              <w:spacing w:after="0"/>
              <w:rPr>
                <w:sz w:val="8"/>
                <w:szCs w:val="8"/>
                <w:color w:val="auto"/>
              </w:rPr>
            </w:pPr>
          </w:p>
        </w:tc>
        <w:tc>
          <w:tcPr>
            <w:tcW w:w="96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6"/>
              </w:rPr>
              <w:t>Connection</w:t>
            </w:r>
          </w:p>
        </w:tc>
        <w:tc>
          <w:tcPr>
            <w:tcW w:w="0" w:type="dxa"/>
            <w:vAlign w:val="bottom"/>
          </w:tcPr>
          <w:p>
            <w:pPr>
              <w:spacing w:after="0"/>
              <w:rPr>
                <w:sz w:val="1"/>
                <w:szCs w:val="1"/>
                <w:color w:val="auto"/>
              </w:rPr>
            </w:pPr>
          </w:p>
        </w:tc>
      </w:tr>
      <w:tr>
        <w:trPr>
          <w:trHeight w:val="166"/>
        </w:trPr>
        <w:tc>
          <w:tcPr>
            <w:tcW w:w="1840" w:type="dxa"/>
            <w:vAlign w:val="bottom"/>
          </w:tcPr>
          <w:p>
            <w:pPr>
              <w:spacing w:after="0"/>
              <w:rPr>
                <w:sz w:val="14"/>
                <w:szCs w:val="14"/>
                <w:color w:val="auto"/>
              </w:rPr>
            </w:pPr>
          </w:p>
        </w:tc>
        <w:tc>
          <w:tcPr>
            <w:tcW w:w="1740" w:type="dxa"/>
            <w:vAlign w:val="bottom"/>
            <w:gridSpan w:val="2"/>
          </w:tcPr>
          <w:p>
            <w:pPr>
              <w:ind w:left="100"/>
              <w:spacing w:after="0" w:line="167" w:lineRule="exact"/>
              <w:rPr>
                <w:sz w:val="20"/>
                <w:szCs w:val="20"/>
                <w:color w:val="auto"/>
              </w:rPr>
            </w:pPr>
            <w:r>
              <w:rPr>
                <w:rFonts w:ascii="Arial" w:cs="Arial" w:eastAsia="Arial" w:hAnsi="Arial"/>
                <w:sz w:val="17"/>
                <w:szCs w:val="17"/>
                <w:b w:val="1"/>
                <w:bCs w:val="1"/>
                <w:color w:val="auto"/>
                <w:w w:val="99"/>
              </w:rPr>
              <w:t>Security Calculation</w:t>
            </w:r>
          </w:p>
        </w:tc>
        <w:tc>
          <w:tcPr>
            <w:tcW w:w="900" w:type="dxa"/>
            <w:vAlign w:val="bottom"/>
          </w:tcPr>
          <w:p>
            <w:pPr>
              <w:spacing w:after="0"/>
              <w:rPr>
                <w:sz w:val="14"/>
                <w:szCs w:val="14"/>
                <w:color w:val="auto"/>
              </w:rPr>
            </w:pPr>
          </w:p>
        </w:tc>
        <w:tc>
          <w:tcPr>
            <w:tcW w:w="86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6"/>
              </w:rPr>
              <w:t>Maximum</w:t>
            </w:r>
          </w:p>
        </w:tc>
        <w:tc>
          <w:tcPr>
            <w:tcW w:w="1020" w:type="dxa"/>
            <w:vAlign w:val="bottom"/>
            <w:vMerge w:val="continue"/>
          </w:tcPr>
          <w:p>
            <w:pPr>
              <w:spacing w:after="0"/>
              <w:rPr>
                <w:sz w:val="14"/>
                <w:szCs w:val="14"/>
                <w:color w:val="auto"/>
              </w:rPr>
            </w:pPr>
          </w:p>
        </w:tc>
        <w:tc>
          <w:tcPr>
            <w:tcW w:w="1880" w:type="dxa"/>
            <w:vAlign w:val="bottom"/>
          </w:tcPr>
          <w:p>
            <w:pPr>
              <w:jc w:val="center"/>
              <w:ind w:left="797"/>
              <w:spacing w:after="0" w:line="167" w:lineRule="exact"/>
              <w:rPr>
                <w:sz w:val="20"/>
                <w:szCs w:val="20"/>
                <w:color w:val="auto"/>
              </w:rPr>
            </w:pPr>
            <w:r>
              <w:rPr>
                <w:rFonts w:ascii="Arial" w:cs="Arial" w:eastAsia="Arial" w:hAnsi="Arial"/>
                <w:sz w:val="17"/>
                <w:szCs w:val="17"/>
                <w:b w:val="1"/>
                <w:bCs w:val="1"/>
                <w:color w:val="auto"/>
                <w:w w:val="98"/>
              </w:rPr>
              <w:t>Amount of</w:t>
            </w:r>
          </w:p>
        </w:tc>
        <w:tc>
          <w:tcPr>
            <w:tcW w:w="6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8"/>
              </w:rPr>
              <w:t>Forward</w:t>
            </w: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840" w:type="dxa"/>
            <w:vAlign w:val="bottom"/>
          </w:tcPr>
          <w:p>
            <w:pPr>
              <w:jc w:val="center"/>
              <w:ind w:left="942"/>
              <w:spacing w:after="0" w:line="187" w:lineRule="exact"/>
              <w:rPr>
                <w:sz w:val="20"/>
                <w:szCs w:val="20"/>
                <w:color w:val="auto"/>
              </w:rPr>
            </w:pPr>
            <w:r>
              <w:rPr>
                <w:rFonts w:ascii="Arial" w:cs="Arial" w:eastAsia="Arial" w:hAnsi="Arial"/>
                <w:sz w:val="17"/>
                <w:szCs w:val="17"/>
                <w:b w:val="1"/>
                <w:bCs w:val="1"/>
                <w:color w:val="auto"/>
                <w:w w:val="98"/>
              </w:rPr>
              <w:t>Security</w:t>
            </w:r>
          </w:p>
        </w:tc>
        <w:tc>
          <w:tcPr>
            <w:tcW w:w="78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6"/>
              </w:rPr>
              <w:t>Class</w:t>
            </w:r>
          </w:p>
        </w:tc>
        <w:tc>
          <w:tcPr>
            <w:tcW w:w="96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6"/>
              </w:rPr>
              <w:t>or Carry</w:t>
            </w:r>
          </w:p>
        </w:tc>
        <w:tc>
          <w:tcPr>
            <w:tcW w:w="90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6"/>
              </w:rPr>
              <w:t>Amount</w:t>
            </w:r>
          </w:p>
        </w:tc>
        <w:tc>
          <w:tcPr>
            <w:tcW w:w="86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6"/>
              </w:rPr>
              <w:t>Offering</w:t>
            </w:r>
          </w:p>
        </w:tc>
        <w:tc>
          <w:tcPr>
            <w:tcW w:w="102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1880" w:type="dxa"/>
            <w:vAlign w:val="bottom"/>
          </w:tcPr>
          <w:p>
            <w:pPr>
              <w:ind w:left="100"/>
              <w:spacing w:after="0" w:line="187" w:lineRule="exact"/>
              <w:rPr>
                <w:sz w:val="20"/>
                <w:szCs w:val="20"/>
                <w:color w:val="auto"/>
              </w:rPr>
            </w:pPr>
            <w:r>
              <w:rPr>
                <w:rFonts w:ascii="Arial" w:cs="Arial" w:eastAsia="Arial" w:hAnsi="Arial"/>
                <w:sz w:val="17"/>
                <w:szCs w:val="17"/>
                <w:b w:val="1"/>
                <w:bCs w:val="1"/>
                <w:color w:val="auto"/>
              </w:rPr>
              <w:t>Fee Rate Registration</w:t>
            </w:r>
          </w:p>
        </w:tc>
        <w:tc>
          <w:tcPr>
            <w:tcW w:w="1420" w:type="dxa"/>
            <w:vAlign w:val="bottom"/>
            <w:gridSpan w:val="2"/>
          </w:tcPr>
          <w:p>
            <w:pPr>
              <w:ind w:left="20"/>
              <w:spacing w:after="0" w:line="187" w:lineRule="exact"/>
              <w:rPr>
                <w:sz w:val="20"/>
                <w:szCs w:val="20"/>
                <w:color w:val="auto"/>
              </w:rPr>
            </w:pPr>
            <w:r>
              <w:rPr>
                <w:rFonts w:ascii="Arial" w:cs="Arial" w:eastAsia="Arial" w:hAnsi="Arial"/>
                <w:sz w:val="17"/>
                <w:szCs w:val="17"/>
                <w:b w:val="1"/>
                <w:bCs w:val="1"/>
                <w:color w:val="auto"/>
                <w:w w:val="99"/>
              </w:rPr>
              <w:t>Forward Forward</w:t>
            </w:r>
          </w:p>
        </w:tc>
        <w:tc>
          <w:tcPr>
            <w:tcW w:w="74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8"/>
              </w:rPr>
              <w:t>Initial</w:t>
            </w:r>
          </w:p>
        </w:tc>
        <w:tc>
          <w:tcPr>
            <w:tcW w:w="96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14"/>
        </w:trPr>
        <w:tc>
          <w:tcPr>
            <w:tcW w:w="1840" w:type="dxa"/>
            <w:vAlign w:val="bottom"/>
          </w:tcPr>
          <w:p>
            <w:pPr>
              <w:jc w:val="center"/>
              <w:ind w:left="942"/>
              <w:spacing w:after="0" w:line="114" w:lineRule="exact"/>
              <w:rPr>
                <w:sz w:val="20"/>
                <w:szCs w:val="20"/>
                <w:color w:val="auto"/>
              </w:rPr>
            </w:pPr>
            <w:r>
              <w:rPr>
                <w:rFonts w:ascii="Arial" w:cs="Arial" w:eastAsia="Arial" w:hAnsi="Arial"/>
                <w:sz w:val="13"/>
                <w:szCs w:val="13"/>
                <w:b w:val="1"/>
                <w:bCs w:val="1"/>
                <w:color w:val="auto"/>
              </w:rPr>
              <w:t>Type</w:t>
            </w:r>
          </w:p>
        </w:tc>
        <w:tc>
          <w:tcPr>
            <w:tcW w:w="78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1"/>
              </w:rPr>
              <w:t>Title</w:t>
            </w:r>
          </w:p>
        </w:tc>
        <w:tc>
          <w:tcPr>
            <w:tcW w:w="96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5"/>
              </w:rPr>
              <w:t>Forward</w:t>
            </w:r>
          </w:p>
        </w:tc>
        <w:tc>
          <w:tcPr>
            <w:tcW w:w="900" w:type="dxa"/>
            <w:vAlign w:val="bottom"/>
          </w:tcPr>
          <w:p>
            <w:pPr>
              <w:jc w:val="center"/>
              <w:spacing w:after="0" w:line="114" w:lineRule="exact"/>
              <w:rPr>
                <w:sz w:val="20"/>
                <w:szCs w:val="20"/>
                <w:color w:val="auto"/>
              </w:rPr>
            </w:pPr>
            <w:r>
              <w:rPr>
                <w:rFonts w:ascii="Arial" w:cs="Arial" w:eastAsia="Arial" w:hAnsi="Arial"/>
                <w:sz w:val="13"/>
                <w:szCs w:val="13"/>
                <w:b w:val="1"/>
                <w:bCs w:val="1"/>
                <w:color w:val="auto"/>
              </w:rPr>
              <w:t>Registered</w:t>
            </w:r>
          </w:p>
        </w:tc>
        <w:tc>
          <w:tcPr>
            <w:tcW w:w="86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7"/>
              </w:rPr>
              <w:t>Price Per</w:t>
            </w:r>
          </w:p>
        </w:tc>
        <w:tc>
          <w:tcPr>
            <w:tcW w:w="1020" w:type="dxa"/>
            <w:vAlign w:val="bottom"/>
          </w:tcPr>
          <w:p>
            <w:pPr>
              <w:jc w:val="center"/>
              <w:spacing w:after="0" w:line="114" w:lineRule="exact"/>
              <w:rPr>
                <w:sz w:val="20"/>
                <w:szCs w:val="20"/>
                <w:color w:val="auto"/>
              </w:rPr>
            </w:pPr>
            <w:r>
              <w:rPr>
                <w:rFonts w:ascii="Arial" w:cs="Arial" w:eastAsia="Arial" w:hAnsi="Arial"/>
                <w:sz w:val="13"/>
                <w:szCs w:val="13"/>
                <w:b w:val="1"/>
                <w:bCs w:val="1"/>
                <w:color w:val="auto"/>
              </w:rPr>
              <w:t>Offering</w:t>
            </w:r>
          </w:p>
        </w:tc>
        <w:tc>
          <w:tcPr>
            <w:tcW w:w="1880" w:type="dxa"/>
            <w:vAlign w:val="bottom"/>
            <w:vMerge w:val="restart"/>
          </w:tcPr>
          <w:p>
            <w:pPr>
              <w:jc w:val="center"/>
              <w:ind w:left="797"/>
              <w:spacing w:after="0"/>
              <w:rPr>
                <w:sz w:val="20"/>
                <w:szCs w:val="20"/>
                <w:color w:val="auto"/>
              </w:rPr>
            </w:pPr>
            <w:r>
              <w:rPr>
                <w:rFonts w:ascii="Arial" w:cs="Arial" w:eastAsia="Arial" w:hAnsi="Arial"/>
                <w:sz w:val="17"/>
                <w:szCs w:val="17"/>
                <w:b w:val="1"/>
                <w:bCs w:val="1"/>
                <w:color w:val="auto"/>
                <w:w w:val="95"/>
              </w:rPr>
              <w:t>Fee</w:t>
            </w:r>
          </w:p>
        </w:tc>
        <w:tc>
          <w:tcPr>
            <w:tcW w:w="660" w:type="dxa"/>
            <w:vAlign w:val="bottom"/>
          </w:tcPr>
          <w:p>
            <w:pPr>
              <w:jc w:val="center"/>
              <w:spacing w:after="0" w:line="114" w:lineRule="exact"/>
              <w:rPr>
                <w:sz w:val="20"/>
                <w:szCs w:val="20"/>
                <w:color w:val="auto"/>
              </w:rPr>
            </w:pPr>
            <w:r>
              <w:rPr>
                <w:rFonts w:ascii="Arial" w:cs="Arial" w:eastAsia="Arial" w:hAnsi="Arial"/>
                <w:sz w:val="13"/>
                <w:szCs w:val="13"/>
                <w:b w:val="1"/>
                <w:bCs w:val="1"/>
                <w:color w:val="auto"/>
              </w:rPr>
              <w:t>Form</w:t>
            </w:r>
          </w:p>
        </w:tc>
        <w:tc>
          <w:tcPr>
            <w:tcW w:w="760" w:type="dxa"/>
            <w:vAlign w:val="bottom"/>
          </w:tcPr>
          <w:p>
            <w:pPr>
              <w:jc w:val="center"/>
              <w:spacing w:after="0" w:line="114" w:lineRule="exact"/>
              <w:rPr>
                <w:sz w:val="20"/>
                <w:szCs w:val="20"/>
                <w:color w:val="auto"/>
              </w:rPr>
            </w:pPr>
            <w:r>
              <w:rPr>
                <w:rFonts w:ascii="Arial" w:cs="Arial" w:eastAsia="Arial" w:hAnsi="Arial"/>
                <w:sz w:val="13"/>
                <w:szCs w:val="13"/>
                <w:b w:val="1"/>
                <w:bCs w:val="1"/>
                <w:color w:val="auto"/>
              </w:rPr>
              <w:t>File</w:t>
            </w:r>
          </w:p>
        </w:tc>
        <w:tc>
          <w:tcPr>
            <w:tcW w:w="74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8"/>
              </w:rPr>
              <w:t>Effective</w:t>
            </w:r>
          </w:p>
        </w:tc>
        <w:tc>
          <w:tcPr>
            <w:tcW w:w="960" w:type="dxa"/>
            <w:vAlign w:val="bottom"/>
          </w:tcPr>
          <w:p>
            <w:pPr>
              <w:jc w:val="center"/>
              <w:spacing w:after="0" w:line="114" w:lineRule="exact"/>
              <w:rPr>
                <w:sz w:val="20"/>
                <w:szCs w:val="20"/>
                <w:color w:val="auto"/>
              </w:rPr>
            </w:pPr>
            <w:r>
              <w:rPr>
                <w:rFonts w:ascii="Arial" w:cs="Arial" w:eastAsia="Arial" w:hAnsi="Arial"/>
                <w:sz w:val="13"/>
                <w:szCs w:val="13"/>
                <w:b w:val="1"/>
                <w:bCs w:val="1"/>
                <w:color w:val="auto"/>
              </w:rPr>
              <w:t>Unsold</w:t>
            </w:r>
          </w:p>
        </w:tc>
        <w:tc>
          <w:tcPr>
            <w:tcW w:w="0" w:type="dxa"/>
            <w:vAlign w:val="bottom"/>
          </w:tcPr>
          <w:p>
            <w:pPr>
              <w:spacing w:after="0"/>
              <w:rPr>
                <w:sz w:val="1"/>
                <w:szCs w:val="1"/>
                <w:color w:val="auto"/>
              </w:rPr>
            </w:pPr>
          </w:p>
        </w:tc>
      </w:tr>
      <w:tr>
        <w:trPr>
          <w:trHeight w:val="166"/>
        </w:trPr>
        <w:tc>
          <w:tcPr>
            <w:tcW w:w="18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2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6"/>
              </w:rPr>
              <w:t>Price</w:t>
            </w:r>
          </w:p>
        </w:tc>
        <w:tc>
          <w:tcPr>
            <w:tcW w:w="1880" w:type="dxa"/>
            <w:vAlign w:val="bottom"/>
            <w:vMerge w:val="continue"/>
          </w:tcPr>
          <w:p>
            <w:pPr>
              <w:spacing w:after="0"/>
              <w:rPr>
                <w:sz w:val="14"/>
                <w:szCs w:val="14"/>
                <w:color w:val="auto"/>
              </w:rPr>
            </w:pPr>
          </w:p>
        </w:tc>
        <w:tc>
          <w:tcPr>
            <w:tcW w:w="66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5"/>
              </w:rPr>
              <w:t>Type</w:t>
            </w:r>
          </w:p>
        </w:tc>
        <w:tc>
          <w:tcPr>
            <w:tcW w:w="76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9"/>
              </w:rPr>
              <w:t>Number</w:t>
            </w:r>
          </w:p>
        </w:tc>
        <w:tc>
          <w:tcPr>
            <w:tcW w:w="740" w:type="dxa"/>
            <w:vAlign w:val="bottom"/>
            <w:vMerge w:val="continue"/>
          </w:tcPr>
          <w:p>
            <w:pPr>
              <w:spacing w:after="0"/>
              <w:rPr>
                <w:sz w:val="14"/>
                <w:szCs w:val="14"/>
                <w:color w:val="auto"/>
              </w:rPr>
            </w:pPr>
          </w:p>
        </w:tc>
        <w:tc>
          <w:tcPr>
            <w:tcW w:w="96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5"/>
              </w:rPr>
              <w:t>Securities</w:t>
            </w:r>
          </w:p>
        </w:tc>
        <w:tc>
          <w:tcPr>
            <w:tcW w:w="0" w:type="dxa"/>
            <w:vAlign w:val="bottom"/>
          </w:tcPr>
          <w:p>
            <w:pPr>
              <w:spacing w:after="0"/>
              <w:rPr>
                <w:sz w:val="1"/>
                <w:szCs w:val="1"/>
                <w:color w:val="auto"/>
              </w:rPr>
            </w:pPr>
          </w:p>
        </w:tc>
      </w:tr>
      <w:tr>
        <w:trPr>
          <w:trHeight w:val="37"/>
        </w:trPr>
        <w:tc>
          <w:tcPr>
            <w:tcW w:w="1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jc w:val="center"/>
              <w:spacing w:after="0" w:line="37" w:lineRule="exact"/>
              <w:rPr>
                <w:sz w:val="20"/>
                <w:szCs w:val="20"/>
                <w:color w:val="auto"/>
              </w:rPr>
            </w:pPr>
            <w:r>
              <w:rPr>
                <w:rFonts w:ascii="Arial" w:cs="Arial" w:eastAsia="Arial" w:hAnsi="Arial"/>
                <w:sz w:val="4"/>
                <w:szCs w:val="4"/>
                <w:b w:val="1"/>
                <w:bCs w:val="1"/>
                <w:color w:val="auto"/>
              </w:rPr>
              <w:t>Rule</w:t>
            </w:r>
          </w:p>
        </w:tc>
        <w:tc>
          <w:tcPr>
            <w:tcW w:w="900" w:type="dxa"/>
            <w:vAlign w:val="bottom"/>
          </w:tcPr>
          <w:p>
            <w:pPr>
              <w:spacing w:after="0"/>
              <w:rPr>
                <w:sz w:val="3"/>
                <w:szCs w:val="3"/>
                <w:color w:val="auto"/>
              </w:rPr>
            </w:pPr>
          </w:p>
        </w:tc>
        <w:tc>
          <w:tcPr>
            <w:tcW w:w="860" w:type="dxa"/>
            <w:vAlign w:val="bottom"/>
          </w:tcPr>
          <w:p>
            <w:pPr>
              <w:jc w:val="center"/>
              <w:spacing w:after="0" w:line="37" w:lineRule="exact"/>
              <w:rPr>
                <w:sz w:val="20"/>
                <w:szCs w:val="20"/>
                <w:color w:val="auto"/>
              </w:rPr>
            </w:pPr>
            <w:r>
              <w:rPr>
                <w:rFonts w:ascii="Arial" w:cs="Arial" w:eastAsia="Arial" w:hAnsi="Arial"/>
                <w:sz w:val="4"/>
                <w:szCs w:val="4"/>
                <w:b w:val="1"/>
                <w:bCs w:val="1"/>
                <w:color w:val="auto"/>
              </w:rPr>
              <w:t>Unit</w:t>
            </w:r>
          </w:p>
        </w:tc>
        <w:tc>
          <w:tcPr>
            <w:tcW w:w="10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jc w:val="center"/>
              <w:spacing w:after="0" w:line="37" w:lineRule="exact"/>
              <w:rPr>
                <w:sz w:val="20"/>
                <w:szCs w:val="20"/>
                <w:color w:val="auto"/>
              </w:rPr>
            </w:pPr>
            <w:r>
              <w:rPr>
                <w:rFonts w:ascii="Arial" w:cs="Arial" w:eastAsia="Arial" w:hAnsi="Arial"/>
                <w:sz w:val="4"/>
                <w:szCs w:val="4"/>
                <w:b w:val="1"/>
                <w:bCs w:val="1"/>
                <w:color w:val="auto"/>
              </w:rPr>
              <w:t>Date</w:t>
            </w: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-855980</wp:posOffset>
            </wp:positionV>
            <wp:extent cx="7214870" cy="52920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7214870" cy="5292090"/>
                    </a:xfrm>
                    <a:prstGeom prst="rect">
                      <a:avLst/>
                    </a:prstGeom>
                    <a:noFill/>
                  </pic:spPr>
                </pic:pic>
              </a:graphicData>
            </a:graphic>
          </wp:anchor>
        </w:drawing>
      </w:r>
    </w:p>
    <w:p>
      <w:pPr>
        <w:jc w:val="center"/>
        <w:ind w:left="10440"/>
        <w:spacing w:after="0" w:line="229" w:lineRule="auto"/>
        <w:rPr>
          <w:sz w:val="20"/>
          <w:szCs w:val="20"/>
          <w:color w:val="auto"/>
        </w:rPr>
      </w:pPr>
      <w:r>
        <w:rPr>
          <w:rFonts w:ascii="Arial" w:cs="Arial" w:eastAsia="Arial" w:hAnsi="Arial"/>
          <w:sz w:val="17"/>
          <w:szCs w:val="17"/>
          <w:b w:val="1"/>
          <w:bCs w:val="1"/>
          <w:color w:val="auto"/>
        </w:rPr>
        <w:t>to be</w:t>
      </w:r>
    </w:p>
    <w:p>
      <w:pPr>
        <w:jc w:val="center"/>
        <w:ind w:left="10440"/>
        <w:spacing w:after="0" w:line="229" w:lineRule="auto"/>
        <w:rPr>
          <w:sz w:val="20"/>
          <w:szCs w:val="20"/>
          <w:color w:val="auto"/>
        </w:rPr>
      </w:pPr>
      <w:r>
        <w:rPr>
          <w:rFonts w:ascii="Arial" w:cs="Arial" w:eastAsia="Arial" w:hAnsi="Arial"/>
          <w:sz w:val="17"/>
          <w:szCs w:val="17"/>
          <w:b w:val="1"/>
          <w:bCs w:val="1"/>
          <w:color w:val="auto"/>
        </w:rPr>
        <w:t>Carried</w:t>
      </w:r>
    </w:p>
    <w:p>
      <w:pPr>
        <w:spacing w:after="0" w:line="1" w:lineRule="exact"/>
        <w:rPr>
          <w:sz w:val="20"/>
          <w:szCs w:val="20"/>
          <w:color w:val="auto"/>
        </w:rPr>
      </w:pPr>
    </w:p>
    <w:p>
      <w:pPr>
        <w:jc w:val="center"/>
        <w:ind w:left="10440"/>
        <w:spacing w:after="0"/>
        <w:rPr>
          <w:sz w:val="20"/>
          <w:szCs w:val="20"/>
          <w:color w:val="auto"/>
        </w:rPr>
      </w:pPr>
      <w:r>
        <w:rPr>
          <w:rFonts w:ascii="Arial" w:cs="Arial" w:eastAsia="Arial" w:hAnsi="Arial"/>
          <w:sz w:val="17"/>
          <w:szCs w:val="17"/>
          <w:b w:val="1"/>
          <w:bCs w:val="1"/>
          <w:color w:val="auto"/>
        </w:rPr>
        <w:t>Forward</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Newly Registered Securities</w:t>
      </w:r>
    </w:p>
    <w:p>
      <w:pPr>
        <w:spacing w:after="0" w:line="33"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Common</w:t>
      </w:r>
    </w:p>
    <w:p>
      <w:pPr>
        <w:ind w:left="1920"/>
        <w:spacing w:after="0" w:line="238" w:lineRule="auto"/>
        <w:rPr>
          <w:sz w:val="20"/>
          <w:szCs w:val="20"/>
          <w:color w:val="auto"/>
        </w:rPr>
      </w:pPr>
      <w:r>
        <w:rPr>
          <w:rFonts w:ascii="Arial" w:cs="Arial" w:eastAsia="Arial" w:hAnsi="Arial"/>
          <w:sz w:val="17"/>
          <w:szCs w:val="17"/>
          <w:color w:val="auto"/>
        </w:rPr>
        <w:t>Stock,</w:t>
      </w:r>
    </w:p>
    <w:p>
      <w:pPr>
        <w:ind w:left="1200"/>
        <w:spacing w:after="0" w:line="190" w:lineRule="auto"/>
        <w:tabs>
          <w:tab w:leader="none" w:pos="1900" w:val="left"/>
          <w:tab w:leader="none" w:pos="2840" w:val="left"/>
        </w:tabs>
        <w:rPr>
          <w:sz w:val="20"/>
          <w:szCs w:val="20"/>
          <w:color w:val="auto"/>
        </w:rPr>
      </w:pPr>
      <w:r>
        <w:rPr>
          <w:rFonts w:ascii="Arial" w:cs="Arial" w:eastAsia="Arial" w:hAnsi="Arial"/>
          <w:sz w:val="12"/>
          <w:szCs w:val="12"/>
          <w:color w:val="auto"/>
        </w:rPr>
        <w:t>Equity</w:t>
      </w:r>
      <w:r>
        <w:rPr>
          <w:sz w:val="20"/>
          <w:szCs w:val="20"/>
          <w:color w:val="auto"/>
        </w:rPr>
        <w:tab/>
      </w:r>
      <w:r>
        <w:rPr>
          <w:rFonts w:ascii="Arial" w:cs="Arial" w:eastAsia="Arial" w:hAnsi="Arial"/>
          <w:sz w:val="21"/>
          <w:szCs w:val="21"/>
          <w:color w:val="auto"/>
          <w:vertAlign w:val="superscript"/>
        </w:rPr>
        <w:t>$0.01</w:t>
      </w:r>
      <w:r>
        <w:rPr>
          <w:sz w:val="20"/>
          <w:szCs w:val="20"/>
          <w:color w:val="auto"/>
        </w:rPr>
        <w:tab/>
      </w:r>
      <w:r>
        <w:rPr>
          <w:rFonts w:ascii="Arial" w:cs="Arial" w:eastAsia="Arial" w:hAnsi="Arial"/>
          <w:sz w:val="12"/>
          <w:szCs w:val="12"/>
          <w:color w:val="auto"/>
        </w:rPr>
        <w:t>457(o)</w:t>
      </w:r>
    </w:p>
    <w:p>
      <w:pPr>
        <w:ind w:left="1920"/>
        <w:spacing w:after="0" w:line="230" w:lineRule="auto"/>
        <w:rPr>
          <w:sz w:val="20"/>
          <w:szCs w:val="20"/>
          <w:color w:val="auto"/>
        </w:rPr>
      </w:pPr>
      <w:r>
        <w:rPr>
          <w:rFonts w:ascii="Arial" w:cs="Arial" w:eastAsia="Arial" w:hAnsi="Arial"/>
          <w:sz w:val="17"/>
          <w:szCs w:val="17"/>
          <w:color w:val="auto"/>
        </w:rPr>
        <w:t>par value</w:t>
      </w:r>
    </w:p>
    <w:p>
      <w:pPr>
        <w:ind w:left="1920"/>
        <w:spacing w:after="0" w:line="229" w:lineRule="auto"/>
        <w:rPr>
          <w:sz w:val="20"/>
          <w:szCs w:val="20"/>
          <w:color w:val="auto"/>
        </w:rPr>
      </w:pPr>
      <w:r>
        <w:rPr>
          <w:rFonts w:ascii="Arial" w:cs="Arial" w:eastAsia="Arial" w:hAnsi="Arial"/>
          <w:sz w:val="17"/>
          <w:szCs w:val="17"/>
          <w:color w:val="auto"/>
        </w:rPr>
        <w:t>per</w:t>
      </w:r>
    </w:p>
    <w:p>
      <w:pPr>
        <w:spacing w:after="0" w:line="1"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share</w:t>
      </w:r>
    </w:p>
    <w:p>
      <w:pPr>
        <w:spacing w:after="0" w:line="17"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Preferred</w:t>
      </w:r>
    </w:p>
    <w:p>
      <w:pPr>
        <w:ind w:left="1920"/>
        <w:spacing w:after="0" w:line="238" w:lineRule="auto"/>
        <w:rPr>
          <w:sz w:val="20"/>
          <w:szCs w:val="20"/>
          <w:color w:val="auto"/>
        </w:rPr>
      </w:pPr>
      <w:r>
        <w:rPr>
          <w:rFonts w:ascii="Arial" w:cs="Arial" w:eastAsia="Arial" w:hAnsi="Arial"/>
          <w:sz w:val="17"/>
          <w:szCs w:val="17"/>
          <w:color w:val="auto"/>
        </w:rPr>
        <w:t>Stock,</w:t>
      </w:r>
    </w:p>
    <w:p>
      <w:pPr>
        <w:ind w:left="1200"/>
        <w:spacing w:after="0" w:line="190" w:lineRule="auto"/>
        <w:tabs>
          <w:tab w:leader="none" w:pos="1900" w:val="left"/>
          <w:tab w:leader="none" w:pos="2840" w:val="left"/>
        </w:tabs>
        <w:rPr>
          <w:sz w:val="20"/>
          <w:szCs w:val="20"/>
          <w:color w:val="auto"/>
        </w:rPr>
      </w:pPr>
      <w:r>
        <w:rPr>
          <w:rFonts w:ascii="Arial" w:cs="Arial" w:eastAsia="Arial" w:hAnsi="Arial"/>
          <w:sz w:val="12"/>
          <w:szCs w:val="12"/>
          <w:color w:val="auto"/>
        </w:rPr>
        <w:t>Equity</w:t>
      </w:r>
      <w:r>
        <w:rPr>
          <w:sz w:val="20"/>
          <w:szCs w:val="20"/>
          <w:color w:val="auto"/>
        </w:rPr>
        <w:tab/>
      </w:r>
      <w:r>
        <w:rPr>
          <w:rFonts w:ascii="Arial" w:cs="Arial" w:eastAsia="Arial" w:hAnsi="Arial"/>
          <w:sz w:val="21"/>
          <w:szCs w:val="21"/>
          <w:color w:val="auto"/>
          <w:vertAlign w:val="superscript"/>
        </w:rPr>
        <w:t>$0.01</w:t>
      </w:r>
      <w:r>
        <w:rPr>
          <w:sz w:val="20"/>
          <w:szCs w:val="20"/>
          <w:color w:val="auto"/>
        </w:rPr>
        <w:tab/>
      </w:r>
      <w:r>
        <w:rPr>
          <w:rFonts w:ascii="Arial" w:cs="Arial" w:eastAsia="Arial" w:hAnsi="Arial"/>
          <w:sz w:val="12"/>
          <w:szCs w:val="12"/>
          <w:color w:val="auto"/>
        </w:rPr>
        <w:t>457(o)</w:t>
      </w:r>
    </w:p>
    <w:p>
      <w:pPr>
        <w:ind w:left="1920"/>
        <w:spacing w:after="0" w:line="230" w:lineRule="auto"/>
        <w:rPr>
          <w:sz w:val="20"/>
          <w:szCs w:val="20"/>
          <w:color w:val="auto"/>
        </w:rPr>
      </w:pPr>
      <w:r>
        <w:rPr>
          <w:rFonts w:ascii="Arial" w:cs="Arial" w:eastAsia="Arial" w:hAnsi="Arial"/>
          <w:sz w:val="17"/>
          <w:szCs w:val="17"/>
          <w:color w:val="auto"/>
        </w:rPr>
        <w:t>par value</w:t>
      </w:r>
    </w:p>
    <w:p>
      <w:pPr>
        <w:ind w:left="1920"/>
        <w:spacing w:after="0" w:line="229" w:lineRule="auto"/>
        <w:rPr>
          <w:sz w:val="20"/>
          <w:szCs w:val="20"/>
          <w:color w:val="auto"/>
        </w:rPr>
      </w:pPr>
      <w:r>
        <w:rPr>
          <w:rFonts w:ascii="Arial" w:cs="Arial" w:eastAsia="Arial" w:hAnsi="Arial"/>
          <w:sz w:val="17"/>
          <w:szCs w:val="17"/>
          <w:color w:val="auto"/>
        </w:rPr>
        <w:t>per</w:t>
      </w:r>
    </w:p>
    <w:p>
      <w:pPr>
        <w:spacing w:after="0" w:line="1"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share</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jc w:val="center"/>
              <w:spacing w:after="0"/>
              <w:rPr>
                <w:sz w:val="20"/>
                <w:szCs w:val="20"/>
                <w:color w:val="auto"/>
              </w:rPr>
            </w:pPr>
            <w:r>
              <w:rPr>
                <w:rFonts w:ascii="Arial" w:cs="Arial" w:eastAsia="Arial" w:hAnsi="Arial"/>
                <w:sz w:val="17"/>
                <w:szCs w:val="17"/>
                <w:color w:val="auto"/>
                <w:w w:val="98"/>
              </w:rPr>
              <w:t>Other</w:t>
            </w:r>
          </w:p>
        </w:tc>
        <w:tc>
          <w:tcPr>
            <w:tcW w:w="20" w:type="dxa"/>
            <w:vAlign w:val="bottom"/>
          </w:tcPr>
          <w:p>
            <w:pPr>
              <w:spacing w:after="0"/>
              <w:rPr>
                <w:sz w:val="18"/>
                <w:szCs w:val="18"/>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w w:val="98"/>
                <w:shd w:val="clear" w:color="auto" w:fill="E7E7E2"/>
              </w:rPr>
              <w:t>Warrants</w:t>
            </w:r>
          </w:p>
        </w:tc>
        <w:tc>
          <w:tcPr>
            <w:tcW w:w="20" w:type="dxa"/>
            <w:vAlign w:val="bottom"/>
          </w:tcPr>
          <w:p>
            <w:pPr>
              <w:spacing w:after="0"/>
              <w:rPr>
                <w:sz w:val="18"/>
                <w:szCs w:val="18"/>
                <w:color w:val="auto"/>
              </w:rPr>
            </w:pPr>
          </w:p>
        </w:tc>
        <w:tc>
          <w:tcPr>
            <w:tcW w:w="920" w:type="dxa"/>
            <w:vAlign w:val="bottom"/>
            <w:shd w:val="clear" w:color="auto" w:fill="E7E7E2"/>
          </w:tcPr>
          <w:p>
            <w:pPr>
              <w:ind w:left="220"/>
              <w:spacing w:after="0"/>
              <w:rPr>
                <w:sz w:val="20"/>
                <w:szCs w:val="20"/>
                <w:color w:val="auto"/>
              </w:rPr>
            </w:pPr>
            <w:r>
              <w:rPr>
                <w:rFonts w:ascii="Arial" w:cs="Arial" w:eastAsia="Arial" w:hAnsi="Arial"/>
                <w:sz w:val="17"/>
                <w:szCs w:val="17"/>
                <w:color w:val="auto"/>
              </w:rPr>
              <w:t>457(o)</w:t>
            </w: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jc w:val="center"/>
              <w:spacing w:after="0"/>
              <w:rPr>
                <w:sz w:val="20"/>
                <w:szCs w:val="20"/>
                <w:color w:val="auto"/>
              </w:rPr>
            </w:pPr>
            <w:r>
              <w:rPr>
                <w:rFonts w:ascii="Arial" w:cs="Arial" w:eastAsia="Arial" w:hAnsi="Arial"/>
                <w:sz w:val="17"/>
                <w:szCs w:val="17"/>
                <w:color w:val="auto"/>
                <w:w w:val="98"/>
              </w:rPr>
              <w:t>Other</w:t>
            </w:r>
          </w:p>
        </w:tc>
        <w:tc>
          <w:tcPr>
            <w:tcW w:w="20" w:type="dxa"/>
            <w:vAlign w:val="bottom"/>
          </w:tcPr>
          <w:p>
            <w:pPr>
              <w:spacing w:after="0"/>
              <w:rPr>
                <w:sz w:val="18"/>
                <w:szCs w:val="18"/>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Units</w:t>
            </w:r>
          </w:p>
        </w:tc>
        <w:tc>
          <w:tcPr>
            <w:tcW w:w="20" w:type="dxa"/>
            <w:vAlign w:val="bottom"/>
          </w:tcPr>
          <w:p>
            <w:pPr>
              <w:spacing w:after="0"/>
              <w:rPr>
                <w:sz w:val="18"/>
                <w:szCs w:val="18"/>
                <w:color w:val="auto"/>
              </w:rPr>
            </w:pPr>
          </w:p>
        </w:tc>
        <w:tc>
          <w:tcPr>
            <w:tcW w:w="920" w:type="dxa"/>
            <w:vAlign w:val="bottom"/>
            <w:shd w:val="clear" w:color="auto" w:fill="E7E7E2"/>
          </w:tcPr>
          <w:p>
            <w:pPr>
              <w:ind w:left="220"/>
              <w:spacing w:after="0"/>
              <w:rPr>
                <w:sz w:val="20"/>
                <w:szCs w:val="20"/>
                <w:color w:val="auto"/>
              </w:rPr>
            </w:pPr>
            <w:r>
              <w:rPr>
                <w:rFonts w:ascii="Arial" w:cs="Arial" w:eastAsia="Arial" w:hAnsi="Arial"/>
                <w:sz w:val="17"/>
                <w:szCs w:val="17"/>
                <w:color w:val="auto"/>
              </w:rPr>
              <w:t>457(o)</w:t>
            </w:r>
          </w:p>
        </w:tc>
        <w:tc>
          <w:tcPr>
            <w:tcW w:w="20" w:type="dxa"/>
            <w:vAlign w:val="bottom"/>
            <w:vMerge w:val="continue"/>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jc w:val="center"/>
              <w:spacing w:after="0"/>
              <w:rPr>
                <w:sz w:val="20"/>
                <w:szCs w:val="20"/>
                <w:color w:val="auto"/>
              </w:rPr>
            </w:pPr>
            <w:r>
              <w:rPr>
                <w:rFonts w:ascii="Arial" w:cs="Arial" w:eastAsia="Arial" w:hAnsi="Arial"/>
                <w:sz w:val="17"/>
                <w:szCs w:val="17"/>
                <w:color w:val="auto"/>
                <w:w w:val="98"/>
              </w:rPr>
              <w:t>Other</w:t>
            </w:r>
          </w:p>
        </w:tc>
        <w:tc>
          <w:tcPr>
            <w:tcW w:w="20" w:type="dxa"/>
            <w:vAlign w:val="bottom"/>
          </w:tcPr>
          <w:p>
            <w:pPr>
              <w:spacing w:after="0"/>
              <w:rPr>
                <w:sz w:val="18"/>
                <w:szCs w:val="18"/>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Rights</w:t>
            </w:r>
          </w:p>
        </w:tc>
        <w:tc>
          <w:tcPr>
            <w:tcW w:w="20" w:type="dxa"/>
            <w:vAlign w:val="bottom"/>
          </w:tcPr>
          <w:p>
            <w:pPr>
              <w:spacing w:after="0"/>
              <w:rPr>
                <w:sz w:val="18"/>
                <w:szCs w:val="18"/>
                <w:color w:val="auto"/>
              </w:rPr>
            </w:pPr>
          </w:p>
        </w:tc>
        <w:tc>
          <w:tcPr>
            <w:tcW w:w="920" w:type="dxa"/>
            <w:vAlign w:val="bottom"/>
            <w:shd w:val="clear" w:color="auto" w:fill="E7E7E2"/>
          </w:tcPr>
          <w:p>
            <w:pPr>
              <w:ind w:left="220"/>
              <w:spacing w:after="0"/>
              <w:rPr>
                <w:sz w:val="20"/>
                <w:szCs w:val="20"/>
                <w:color w:val="auto"/>
              </w:rPr>
            </w:pPr>
            <w:r>
              <w:rPr>
                <w:rFonts w:ascii="Arial" w:cs="Arial" w:eastAsia="Arial" w:hAnsi="Arial"/>
                <w:sz w:val="17"/>
                <w:szCs w:val="17"/>
                <w:color w:val="auto"/>
              </w:rPr>
              <w:t>457(o)</w:t>
            </w:r>
          </w:p>
        </w:tc>
        <w:tc>
          <w:tcPr>
            <w:tcW w:w="20" w:type="dxa"/>
            <w:vAlign w:val="bottom"/>
            <w:vMerge w:val="continue"/>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w w:val="97"/>
              </w:rPr>
              <w:t>Unallocated</w:t>
            </w: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4"/>
                <w:szCs w:val="14"/>
                <w:color w:val="auto"/>
              </w:rPr>
            </w:pPr>
          </w:p>
        </w:tc>
        <w:tc>
          <w:tcPr>
            <w:tcW w:w="900" w:type="dxa"/>
            <w:vAlign w:val="bottom"/>
            <w:shd w:val="clear" w:color="auto" w:fill="E7E7E2"/>
          </w:tcPr>
          <w:p>
            <w:pPr>
              <w:jc w:val="center"/>
              <w:spacing w:after="0" w:line="167" w:lineRule="exact"/>
              <w:rPr>
                <w:sz w:val="20"/>
                <w:szCs w:val="20"/>
                <w:color w:val="auto"/>
              </w:rPr>
            </w:pPr>
            <w:r>
              <w:rPr>
                <w:rFonts w:ascii="Arial" w:cs="Arial" w:eastAsia="Arial" w:hAnsi="Arial"/>
                <w:sz w:val="17"/>
                <w:szCs w:val="17"/>
                <w:color w:val="auto"/>
                <w:w w:val="99"/>
              </w:rPr>
              <w:t>(Universal)</w:t>
            </w: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ind w:left="220"/>
              <w:spacing w:after="0" w:line="167" w:lineRule="exact"/>
              <w:rPr>
                <w:sz w:val="20"/>
                <w:szCs w:val="20"/>
                <w:color w:val="auto"/>
              </w:rPr>
            </w:pPr>
            <w:r>
              <w:rPr>
                <w:rFonts w:ascii="Arial" w:cs="Arial" w:eastAsia="Arial" w:hAnsi="Arial"/>
                <w:sz w:val="17"/>
                <w:szCs w:val="17"/>
                <w:color w:val="auto"/>
              </w:rPr>
              <w:t>457(o)</w:t>
            </w: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4"/>
                <w:szCs w:val="14"/>
                <w:color w:val="auto"/>
              </w:rPr>
            </w:pPr>
          </w:p>
        </w:tc>
        <w:tc>
          <w:tcPr>
            <w:tcW w:w="100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rPr>
              <w:t>$ 6,905.00</w:t>
            </w:r>
          </w:p>
        </w:tc>
        <w:tc>
          <w:tcPr>
            <w:tcW w:w="0" w:type="dxa"/>
            <w:vAlign w:val="bottom"/>
          </w:tcPr>
          <w:p>
            <w:pPr>
              <w:spacing w:after="0"/>
              <w:rPr>
                <w:sz w:val="1"/>
                <w:szCs w:val="1"/>
                <w:color w:val="auto"/>
              </w:rPr>
            </w:pPr>
          </w:p>
        </w:tc>
      </w:tr>
      <w:tr>
        <w:trPr>
          <w:trHeight w:val="219"/>
        </w:trPr>
        <w:tc>
          <w:tcPr>
            <w:tcW w:w="780" w:type="dxa"/>
            <w:vAlign w:val="bottom"/>
            <w:tcBorders>
              <w:bottom w:val="single" w:sz="8" w:color="E7E7E2"/>
            </w:tcBorders>
            <w:shd w:val="clear" w:color="auto" w:fill="E7E7E2"/>
          </w:tcPr>
          <w:p>
            <w:pPr>
              <w:spacing w:after="0" w:line="187"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9"/>
                <w:szCs w:val="19"/>
                <w:color w:val="auto"/>
              </w:rPr>
            </w:pPr>
          </w:p>
        </w:tc>
        <w:tc>
          <w:tcPr>
            <w:tcW w:w="120" w:type="dxa"/>
            <w:vAlign w:val="bottom"/>
            <w:tcBorders>
              <w:bottom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bottom w:val="single" w:sz="8" w:color="E7E7E2"/>
            </w:tcBorders>
            <w:shd w:val="clear" w:color="auto" w:fill="E7E7E2"/>
          </w:tcPr>
          <w:p>
            <w:pPr>
              <w:spacing w:after="0"/>
              <w:rPr>
                <w:sz w:val="20"/>
                <w:szCs w:val="20"/>
                <w:color w:val="auto"/>
              </w:rPr>
            </w:pPr>
            <w:r>
              <w:rPr>
                <w:rFonts w:ascii="Arial" w:cs="Arial" w:eastAsia="Arial" w:hAnsi="Arial"/>
                <w:sz w:val="17"/>
                <w:szCs w:val="17"/>
                <w:color w:val="auto"/>
              </w:rPr>
              <w:t>Shelf</w:t>
            </w:r>
          </w:p>
        </w:tc>
        <w:tc>
          <w:tcPr>
            <w:tcW w:w="20" w:type="dxa"/>
            <w:vAlign w:val="bottom"/>
          </w:tcPr>
          <w:p>
            <w:pPr>
              <w:spacing w:after="0"/>
              <w:rPr>
                <w:sz w:val="19"/>
                <w:szCs w:val="19"/>
                <w:color w:val="auto"/>
              </w:rPr>
            </w:pPr>
          </w:p>
        </w:tc>
        <w:tc>
          <w:tcPr>
            <w:tcW w:w="720" w:type="dxa"/>
            <w:vAlign w:val="bottom"/>
            <w:tcBorders>
              <w:bottom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bottom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bottom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bottom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Borders>
              <w:bottom w:val="single" w:sz="8" w:color="E7E7E2"/>
            </w:tcBorders>
            <w:shd w:val="clear" w:color="auto" w:fill="E7E7E2"/>
          </w:tcPr>
          <w:p>
            <w:pPr>
              <w:jc w:val="right"/>
              <w:spacing w:after="0" w:line="187" w:lineRule="exact"/>
              <w:rPr>
                <w:sz w:val="20"/>
                <w:szCs w:val="20"/>
                <w:color w:val="auto"/>
              </w:rPr>
            </w:pPr>
            <w:r>
              <w:rPr>
                <w:rFonts w:ascii="Arial" w:cs="Arial" w:eastAsia="Arial" w:hAnsi="Arial"/>
                <w:sz w:val="17"/>
                <w:szCs w:val="17"/>
                <w:color w:val="auto"/>
                <w:w w:val="97"/>
              </w:rPr>
              <w:t>50,000,000.00</w:t>
            </w:r>
          </w:p>
        </w:tc>
        <w:tc>
          <w:tcPr>
            <w:tcW w:w="20" w:type="dxa"/>
            <w:vAlign w:val="bottom"/>
          </w:tcPr>
          <w:p>
            <w:pPr>
              <w:spacing w:after="0"/>
              <w:rPr>
                <w:sz w:val="19"/>
                <w:szCs w:val="19"/>
                <w:color w:val="auto"/>
              </w:rPr>
            </w:pPr>
          </w:p>
        </w:tc>
        <w:tc>
          <w:tcPr>
            <w:tcW w:w="820" w:type="dxa"/>
            <w:vAlign w:val="bottom"/>
            <w:tcBorders>
              <w:bottom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bottom w:val="single" w:sz="8" w:color="E7E7E2"/>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w w:val="96"/>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40" w:type="dxa"/>
            <w:vAlign w:val="bottom"/>
            <w:gridSpan w:val="5"/>
          </w:tcPr>
          <w:p>
            <w:pPr>
              <w:jc w:val="right"/>
              <w:ind w:right="457"/>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780" w:type="dxa"/>
            <w:vAlign w:val="bottom"/>
            <w:shd w:val="clear" w:color="auto" w:fill="E7E7E2"/>
          </w:tcPr>
          <w:p>
            <w:pPr>
              <w:spacing w:after="0" w:line="181"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192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$ 6,905.00</w:t>
            </w:r>
          </w:p>
        </w:tc>
        <w:tc>
          <w:tcPr>
            <w:tcW w:w="0" w:type="dxa"/>
            <w:vAlign w:val="bottom"/>
          </w:tcPr>
          <w:p>
            <w:pPr>
              <w:spacing w:after="0"/>
              <w:rPr>
                <w:sz w:val="1"/>
                <w:szCs w:val="1"/>
                <w:color w:val="auto"/>
              </w:rPr>
            </w:pPr>
          </w:p>
        </w:tc>
      </w:tr>
      <w:tr>
        <w:trPr>
          <w:trHeight w:val="218"/>
        </w:trPr>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20" w:type="dxa"/>
            <w:vAlign w:val="bottom"/>
            <w:gridSpan w:val="4"/>
          </w:tcPr>
          <w:p>
            <w:pPr>
              <w:jc w:val="right"/>
              <w:spacing w:after="0"/>
              <w:rPr>
                <w:sz w:val="20"/>
                <w:szCs w:val="20"/>
                <w:color w:val="auto"/>
              </w:rPr>
            </w:pPr>
            <w:r>
              <w:rPr>
                <w:rFonts w:ascii="Arial" w:cs="Arial" w:eastAsia="Arial" w:hAnsi="Arial"/>
                <w:sz w:val="17"/>
                <w:szCs w:val="17"/>
                <w:color w:val="auto"/>
              </w:rPr>
              <w:t>50,000,000.00</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6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$ 6,905.00</w:t>
            </w: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6" w:lineRule="exact"/>
        <w:rPr>
          <w:sz w:val="20"/>
          <w:szCs w:val="20"/>
          <w:color w:val="auto"/>
        </w:rPr>
      </w:pPr>
    </w:p>
    <w:p>
      <w:pPr>
        <w:ind w:left="220" w:right="120" w:hanging="186"/>
        <w:spacing w:after="0" w:line="228" w:lineRule="auto"/>
        <w:tabs>
          <w:tab w:leader="none" w:pos="220" w:val="left"/>
        </w:tabs>
        <w:numPr>
          <w:ilvl w:val="0"/>
          <w:numId w:val="22"/>
        </w:numPr>
        <w:rPr>
          <w:rFonts w:ascii="Arial" w:cs="Arial" w:eastAsia="Arial" w:hAnsi="Arial"/>
          <w:sz w:val="21"/>
          <w:szCs w:val="21"/>
          <w:color w:val="auto"/>
          <w:vertAlign w:val="superscript"/>
        </w:rPr>
      </w:pPr>
      <w:r>
        <w:rPr>
          <w:rFonts w:ascii="Arial" w:cs="Arial" w:eastAsia="Arial" w:hAnsi="Arial"/>
          <w:sz w:val="17"/>
          <w:szCs w:val="17"/>
          <w:color w:val="auto"/>
        </w:rPr>
        <w:t>The amount to be registered consists of up to $50,000,000 of an indeterminate amount of (a) common stock, (b) preferred stock, (c) warrants to purchase common stock or preferred stock in one or more series, (d) units consisting of common stock, preferred stock or warrants in any combination and (e) rights to purchase common stock, preferred stock, warrants, or units in any combination, as may be sold from time to time by the registrant. There are also being registered hereunder an indeterminate number of shares of common stock and preferred stock as shall be issuable upon conversion, exchange, or exercise of any securities that provide for such issuance. Any securities registered hereunder may be sold separately or together with other securities registered hereunder. Pursuant to Rule 416 under the Securities Act of 1933, as amended,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 The proposed maximum offering price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 or that are issued in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60325</wp:posOffset>
            </wp:positionV>
            <wp:extent cx="715010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7150100" cy="3873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40" w:type="dxa"/>
            <w:vAlign w:val="bottom"/>
            <w:tcBorders>
              <w:bottom w:val="single" w:sz="8" w:color="auto"/>
            </w:tcBorders>
          </w:tcPr>
          <w:p>
            <w:pPr>
              <w:spacing w:after="0"/>
              <w:rPr>
                <w:sz w:val="23"/>
                <w:szCs w:val="23"/>
                <w:color w:val="auto"/>
              </w:rPr>
            </w:pPr>
          </w:p>
        </w:tc>
        <w:tc>
          <w:tcPr>
            <w:tcW w:w="334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4"/>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4"/>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4"/>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0"/>
              </w:rPr>
              <w:t>Type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10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Registrant or Filer</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6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with</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10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4"/>
                <w:szCs w:val="14"/>
                <w:color w:val="auto"/>
              </w:rPr>
            </w:pPr>
          </w:p>
        </w:tc>
        <w:tc>
          <w:tcPr>
            <w:tcW w:w="64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4"/>
                <w:szCs w:val="14"/>
                <w:color w:val="auto"/>
              </w:rPr>
            </w:pPr>
          </w:p>
        </w:tc>
        <w:tc>
          <w:tcPr>
            <w:tcW w:w="9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4"/>
                <w:szCs w:val="14"/>
                <w:color w:val="auto"/>
              </w:rPr>
            </w:pPr>
          </w:p>
        </w:tc>
        <w:tc>
          <w:tcPr>
            <w:tcW w:w="96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rPr>
              <w:t>Fee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0"/>
              </w:rPr>
              <w:t>Type</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vMerge w:val="continue"/>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Source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7156450</wp:posOffset>
            </wp:positionH>
            <wp:positionV relativeFrom="paragraph">
              <wp:posOffset>-984250</wp:posOffset>
            </wp:positionV>
            <wp:extent cx="12700" cy="19900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12700" cy="19900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-984250</wp:posOffset>
            </wp:positionV>
            <wp:extent cx="12700" cy="19900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12700" cy="1990090"/>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17"/>
          <w:szCs w:val="17"/>
          <w:b w:val="1"/>
          <w:bCs w:val="1"/>
          <w:color w:val="auto"/>
        </w:rPr>
        <w:t>Rules 457(b) and 0-11(a)(2)</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-116840</wp:posOffset>
            </wp:positionV>
            <wp:extent cx="7111365" cy="2501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7111365" cy="2501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Claims</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-116840</wp:posOffset>
            </wp:positionV>
            <wp:extent cx="7111365" cy="2501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7111365" cy="2501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Sources</w:t>
      </w:r>
    </w:p>
    <w:p>
      <w:pPr>
        <w:spacing w:after="0" w:line="17"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Rule 457(p)</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-116840</wp:posOffset>
            </wp:positionV>
            <wp:extent cx="7111365" cy="1746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7111365" cy="174625"/>
                    </a:xfrm>
                    <a:prstGeom prst="rect">
                      <a:avLst/>
                    </a:prstGeom>
                    <a:noFill/>
                  </pic:spPr>
                </pic:pic>
              </a:graphicData>
            </a:graphic>
          </wp:anchor>
        </w:drawing>
      </w:r>
    </w:p>
    <w:p>
      <w:pPr>
        <w:sectPr>
          <w:pgSz w:w="11900" w:h="16838" w:orient="portrait"/>
          <w:cols w:equalWidth="0" w:num="1">
            <w:col w:w="11360"/>
          </w:cols>
          <w:pgMar w:left="300" w:top="141" w:right="239" w:bottom="0" w:gutter="0" w:footer="0" w:header="0"/>
        </w:sectPr>
      </w:pPr>
    </w:p>
    <w:bookmarkStart w:id="38" w:name="page39"/>
    <w:bookmarkEnd w:id="38"/>
    <w:p>
      <w:pPr>
        <w:ind w:left="40"/>
        <w:spacing w:after="0"/>
        <w:rPr>
          <w:sz w:val="20"/>
          <w:szCs w:val="20"/>
          <w:color w:val="auto"/>
        </w:rPr>
      </w:pPr>
      <w:r>
        <w:rPr>
          <w:rFonts w:ascii="Arial" w:cs="Arial" w:eastAsia="Arial" w:hAnsi="Arial"/>
          <w:sz w:val="17"/>
          <w:szCs w:val="17"/>
          <w:color w:val="auto"/>
        </w:rPr>
        <w:t>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170420" cy="411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7170420" cy="411480"/>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7"/>
          <w:szCs w:val="17"/>
          <w:color w:val="auto"/>
        </w:rPr>
        <w:t>Sources</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40" w:type="dxa"/>
            <w:vAlign w:val="bottom"/>
            <w:tcBorders>
              <w:bottom w:val="single" w:sz="8" w:color="auto"/>
            </w:tcBorders>
          </w:tcPr>
          <w:p>
            <w:pPr>
              <w:spacing w:after="0"/>
              <w:rPr>
                <w:sz w:val="23"/>
                <w:szCs w:val="23"/>
                <w:color w:val="auto"/>
              </w:rPr>
            </w:pPr>
          </w:p>
        </w:tc>
        <w:tc>
          <w:tcPr>
            <w:tcW w:w="264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w w:val="97"/>
              </w:rPr>
              <w:t>Table 3: Combined Prospectuses</w:t>
            </w:r>
          </w:p>
        </w:tc>
        <w:tc>
          <w:tcPr>
            <w:tcW w:w="2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gridSpan w:val="3"/>
          </w:tcPr>
          <w:p>
            <w:pPr>
              <w:ind w:left="72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ind w:left="360"/>
              <w:spacing w:after="0" w:line="192"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6"/>
              </w:rPr>
              <w:t>Maximum Aggregate</w:t>
            </w: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380"/>
              <w:spacing w:after="0" w:line="187"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Offering Price of</w:t>
            </w:r>
          </w:p>
        </w:tc>
        <w:tc>
          <w:tcPr>
            <w:tcW w:w="20" w:type="dxa"/>
            <w:vAlign w:val="bottom"/>
          </w:tcPr>
          <w:p>
            <w:pPr>
              <w:spacing w:after="0"/>
              <w:rPr>
                <w:sz w:val="8"/>
                <w:szCs w:val="8"/>
                <w:color w:val="auto"/>
              </w:rPr>
            </w:pPr>
          </w:p>
        </w:tc>
        <w:tc>
          <w:tcPr>
            <w:tcW w:w="680" w:type="dxa"/>
            <w:vAlign w:val="bottom"/>
            <w:vMerge w:val="restart"/>
            <w:shd w:val="clear" w:color="auto" w:fill="9ADAF6"/>
          </w:tcPr>
          <w:p>
            <w:pPr>
              <w:ind w:left="140"/>
              <w:spacing w:after="0" w:line="187"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1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240"/>
              <w:spacing w:after="0" w:line="187"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200" w:type="dxa"/>
            <w:vAlign w:val="bottom"/>
            <w:vMerge w:val="restart"/>
            <w:shd w:val="clear" w:color="auto" w:fill="9ADAF6"/>
          </w:tcPr>
          <w:p>
            <w:pPr>
              <w:ind w:left="40"/>
              <w:spacing w:after="0" w:line="187"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vMerge w:val="restart"/>
            <w:shd w:val="clear" w:color="auto" w:fill="9ADAF6"/>
          </w:tcPr>
          <w:p>
            <w:pPr>
              <w:ind w:left="80"/>
              <w:spacing w:after="0" w:line="187"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20" w:type="dxa"/>
            <w:vAlign w:val="bottom"/>
            <w:tcBorders>
              <w:right w:val="single" w:sz="8" w:color="auto"/>
            </w:tcBorders>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Effective</w:t>
            </w: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2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360"/>
              <w:spacing w:after="0" w:line="187"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680" w:type="dxa"/>
            <w:vAlign w:val="bottom"/>
            <w:vMerge w:val="restart"/>
            <w:shd w:val="clear" w:color="auto" w:fill="9ADAF6"/>
          </w:tcPr>
          <w:p>
            <w:pPr>
              <w:ind w:left="160"/>
              <w:spacing w:after="0" w:line="187"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shd w:val="clear" w:color="auto" w:fill="9ADAF6"/>
          </w:tcPr>
          <w:p>
            <w:pPr>
              <w:spacing w:after="0"/>
              <w:rPr>
                <w:sz w:val="11"/>
                <w:szCs w:val="11"/>
                <w:color w:val="auto"/>
              </w:rPr>
            </w:pPr>
          </w:p>
        </w:tc>
        <w:tc>
          <w:tcPr>
            <w:tcW w:w="22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Borders>
              <w:right w:val="single" w:sz="8" w:color="auto"/>
            </w:tcBorders>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2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E7E7E2"/>
            </w:tcBorders>
          </w:tcPr>
          <w:p>
            <w:pPr>
              <w:spacing w:after="0" w:line="20" w:lineRule="exact"/>
              <w:rPr>
                <w:sz w:val="1"/>
                <w:szCs w:val="1"/>
                <w:color w:val="auto"/>
              </w:rPr>
            </w:pPr>
          </w:p>
        </w:tc>
        <w:tc>
          <w:tcPr>
            <w:tcW w:w="22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2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7">
    <w:nsid w:val="62BBD95A"/>
    <w:multiLevelType w:val="hybridMultilevel"/>
    <w:lvl w:ilvl="0">
      <w:lvlJc w:val="left"/>
      <w:lvlText w:val="(%1)"/>
      <w:numFmt w:val="decimal"/>
      <w:start w:val="2"/>
    </w:lvl>
    <w:lvl w:ilvl="1">
      <w:lvlJc w:val="left"/>
      <w:lvlText w:val="(%2)"/>
      <w:numFmt w:val="lowerRoman"/>
      <w:start w:val="1"/>
    </w:lvl>
  </w:abstractNum>
  <w:abstractNum w:abstractNumId="18">
    <w:nsid w:val="436C6125"/>
    <w:multiLevelType w:val="hybridMultilevel"/>
    <w:lvl w:ilvl="0">
      <w:lvlJc w:val="left"/>
      <w:lvlText w:val="(%1)"/>
      <w:numFmt w:val="decimal"/>
      <w:start w:val="5"/>
    </w:lvl>
    <w:lvl w:ilvl="1">
      <w:lvlJc w:val="left"/>
      <w:lvlText w:val="(%2)"/>
      <w:numFmt w:val="lowerRoman"/>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jpe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jpe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46" Type="http://schemas.openxmlformats.org/officeDocument/2006/relationships/hyperlink" Target="http://www.sec.gov/Archives/edgar/data/1325702/000119312526108435/mx-20251231.htm" TargetMode="External"/><Relationship Id="rId47" Type="http://schemas.openxmlformats.org/officeDocument/2006/relationships/hyperlink" Target="http://www.sec.gov/Archives/edgar/data/1325702/000119312526214750/mx-20260331.htm" TargetMode="External"/><Relationship Id="rId48" Type="http://schemas.openxmlformats.org/officeDocument/2006/relationships/hyperlink" Target="http://www.sec.gov/Archives/edgar/data/1325702/000119312526197484/mx-20260430.htm" TargetMode="External"/><Relationship Id="rId49" Type="http://schemas.openxmlformats.org/officeDocument/2006/relationships/hyperlink" Target="http://www.sec.gov/Archives/edgar/data/1325702/000119312526012251/d25690d8k.htm" TargetMode="External"/><Relationship Id="rId50" Type="http://schemas.openxmlformats.org/officeDocument/2006/relationships/hyperlink" Target="http://www.sec.gov/Archives/edgar/data/1325702/000119312526015926/d75112d8k.htm" TargetMode="External"/><Relationship Id="rId51" Type="http://schemas.openxmlformats.org/officeDocument/2006/relationships/hyperlink" Target="http://www.sec.gov/Archives/edgar/data/1325702/000119312525054851/d920621dex41.htm" TargetMode="External"/><Relationship Id="rId63" Type="http://schemas.openxmlformats.org/officeDocument/2006/relationships/hyperlink" Target="http://www.sec.gov/Archives/edgar/data/1325702/000119312511062703/dex31.htm" TargetMode="External"/><Relationship Id="rId64" Type="http://schemas.openxmlformats.org/officeDocument/2006/relationships/hyperlink" Target="http://www.sec.gov/Archives/edgar/data/1325702/000119312511062703/dex32.htm" TargetMode="External"/><Relationship Id="rId65" Type="http://schemas.openxmlformats.org/officeDocument/2006/relationships/hyperlink" Target="http://www.sec.gov/Archives/edgar/data/1325702/000119312520329844/d85816dex31.htm" TargetMode="External"/><Relationship Id="rId66" Type="http://schemas.openxmlformats.org/officeDocument/2006/relationships/hyperlink" Target="http://www.sec.gov/Archives/edgar/data/1325702/000119312516582070/d161114dex31.htm" TargetMode="External"/><Relationship Id="rId67" Type="http://schemas.openxmlformats.org/officeDocument/2006/relationships/hyperlink" Target="http://www.sec.gov/Archives/edgar/data/1325702/000095012310047545/f54652a2exv3w6.htm" TargetMode="External"/><Relationship Id="rId68" Type="http://schemas.openxmlformats.org/officeDocument/2006/relationships/hyperlink" Target="http://www.sec.gov/Archives/edgar/data/1325702/000095014215000541/eh1500371_ex0301.htm" TargetMode="External"/><Relationship Id="rId69" Type="http://schemas.openxmlformats.org/officeDocument/2006/relationships/hyperlink" Target="http://www.sec.gov/Archives/edgar/data/1325702/000119312521355865/d152828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2026-06-12T15:37:55Z</dcterms:created>
  <dcterms:modified xsi:type="dcterms:W3CDTF">2026-06-12T15:37:55Z</dcterms:modified>
</cp:coreProperties>
</file>