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MARTINO CAMILLO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364,611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 in connection with his appointment as Interim Chief Executive Officer. The RSUs vest in full on the earliest of: (i) August 11, 2026 or (ii) a Change of Control (as defined in the Issuer's 2020 Equity and Incentive Compensation Plan).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Chairman and CEO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Camillo Martino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187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3385</Characters>
  <CharactersWithSpaces>3940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