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120" w:type="dxa"/>
            <w:vAlign w:val="bottom"/>
          </w:tcPr>
          <w:p>
            <w:pPr>
              <w:jc w:val="center"/>
              <w:ind w:right="2358"/>
              <w:spacing w:after="0"/>
              <w:rPr>
                <w:sz w:val="20"/>
                <w:szCs w:val="20"/>
                <w:color w:val="auto"/>
              </w:rPr>
            </w:pPr>
            <w:r>
              <w:rPr>
                <w:rFonts w:ascii="Arial" w:cs="Arial" w:eastAsia="Arial" w:hAnsi="Arial"/>
                <w:sz w:val="18"/>
                <w:szCs w:val="18"/>
                <w:b w:val="1"/>
                <w:bCs w:val="1"/>
                <w:color w:val="auto"/>
                <w:w w:val="91"/>
              </w:rPr>
              <w:t>Delaware</w:t>
            </w:r>
          </w:p>
        </w:tc>
        <w:tc>
          <w:tcPr>
            <w:tcW w:w="2220" w:type="dxa"/>
            <w:vAlign w:val="bottom"/>
          </w:tcPr>
          <w:p>
            <w:pPr>
              <w:ind w:left="80"/>
              <w:spacing w:after="0"/>
              <w:rPr>
                <w:sz w:val="20"/>
                <w:szCs w:val="20"/>
                <w:color w:val="auto"/>
              </w:rPr>
            </w:pPr>
            <w:r>
              <w:rPr>
                <w:rFonts w:ascii="Arial" w:cs="Arial" w:eastAsia="Arial" w:hAnsi="Arial"/>
                <w:sz w:val="18"/>
                <w:szCs w:val="18"/>
                <w:b w:val="1"/>
                <w:bCs w:val="1"/>
                <w:color w:val="auto"/>
              </w:rPr>
              <w:t>001-34791</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83-0406195</w:t>
            </w:r>
          </w:p>
        </w:tc>
      </w:tr>
      <w:tr>
        <w:trPr>
          <w:trHeight w:val="148"/>
        </w:trPr>
        <w:tc>
          <w:tcPr>
            <w:tcW w:w="4120" w:type="dxa"/>
            <w:vAlign w:val="bottom"/>
          </w:tcPr>
          <w:p>
            <w:pPr>
              <w:jc w:val="center"/>
              <w:ind w:right="23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120" w:type="dxa"/>
            <w:vAlign w:val="bottom"/>
          </w:tcPr>
          <w:p>
            <w:pPr>
              <w:jc w:val="center"/>
              <w:ind w:right="2338"/>
              <w:spacing w:after="0"/>
              <w:rPr>
                <w:sz w:val="20"/>
                <w:szCs w:val="20"/>
                <w:color w:val="auto"/>
              </w:rPr>
            </w:pPr>
            <w:r>
              <w:rPr>
                <w:rFonts w:ascii="Arial" w:cs="Arial" w:eastAsia="Arial" w:hAnsi="Arial"/>
                <w:sz w:val="14"/>
                <w:szCs w:val="14"/>
                <w:b w:val="1"/>
                <w:bCs w:val="1"/>
                <w:color w:val="auto"/>
                <w:w w:val="94"/>
              </w:rPr>
              <w:t>of Incorporation)</w:t>
            </w:r>
          </w:p>
        </w:tc>
        <w:tc>
          <w:tcPr>
            <w:tcW w:w="2220" w:type="dxa"/>
            <w:vAlign w:val="bottom"/>
          </w:tcPr>
          <w:p>
            <w:pPr>
              <w:ind w:left="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20" w:type="dxa"/>
            <w:vAlign w:val="bottom"/>
          </w:tcPr>
          <w:p>
            <w:pPr>
              <w:jc w:val="center"/>
              <w:ind w:left="1138"/>
              <w:spacing w:after="0"/>
              <w:rPr>
                <w:sz w:val="20"/>
                <w:szCs w:val="20"/>
                <w:color w:val="auto"/>
              </w:rPr>
            </w:pPr>
            <w:r>
              <w:rPr>
                <w:rFonts w:ascii="Arial" w:cs="Arial" w:eastAsia="Arial" w:hAnsi="Arial"/>
                <w:sz w:val="18"/>
                <w:szCs w:val="18"/>
                <w:b w:val="1"/>
                <w:bCs w:val="1"/>
                <w:color w:val="auto"/>
                <w:w w:val="90"/>
              </w:rPr>
              <w:t>c/o MagnaChip Semiconductor S.A.</w:t>
            </w:r>
          </w:p>
        </w:tc>
        <w:tc>
          <w:tcPr>
            <w:tcW w:w="2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4120" w:type="dxa"/>
            <w:vAlign w:val="bottom"/>
          </w:tcPr>
          <w:p>
            <w:pPr>
              <w:jc w:val="center"/>
              <w:ind w:left="1138"/>
              <w:spacing w:after="0"/>
              <w:rPr>
                <w:sz w:val="20"/>
                <w:szCs w:val="20"/>
                <w:color w:val="auto"/>
              </w:rPr>
            </w:pPr>
            <w:r>
              <w:rPr>
                <w:rFonts w:ascii="Arial" w:cs="Arial" w:eastAsia="Arial" w:hAnsi="Arial"/>
                <w:sz w:val="18"/>
                <w:szCs w:val="18"/>
                <w:b w:val="1"/>
                <w:bCs w:val="1"/>
                <w:color w:val="auto"/>
                <w:w w:val="89"/>
              </w:rPr>
              <w:t>1, Allée Scheffer, L-2520</w:t>
            </w:r>
          </w:p>
        </w:tc>
        <w:tc>
          <w:tcPr>
            <w:tcW w:w="22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5"/>
        </w:trPr>
        <w:tc>
          <w:tcPr>
            <w:tcW w:w="6340" w:type="dxa"/>
            <w:vAlign w:val="bottom"/>
            <w:gridSpan w:val="2"/>
          </w:tcPr>
          <w:p>
            <w:pPr>
              <w:jc w:val="center"/>
              <w:ind w:right="922"/>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4120" w:type="dxa"/>
            <w:vAlign w:val="bottom"/>
          </w:tcPr>
          <w:p>
            <w:pPr>
              <w:jc w:val="center"/>
              <w:ind w:left="11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right="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left="4" w:right="60" w:hanging="4"/>
        <w:spacing w:after="0" w:line="263"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11, 2020, the stockholders of MagnaChip Semiconductor Corporation (the “Company”), upon recommendation of the Company’s Board of Directors (the “Board”), approved the MagnaChip Semiconductor Corporation 2020 Equity and Incentive Compensation Plan (the “Plan”). The Company’s executive officers are eligible to participate in the Plan.</w:t>
      </w:r>
    </w:p>
    <w:p>
      <w:pPr>
        <w:spacing w:after="0" w:line="184"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 xml:space="preserve">The Plan authorizes the Compensation Committee of the Board to provide for cash awards and equity-based compensation in the form of stock options, stock appreciation rights, restricted stock, restricted stock units, performance shares, performance units, dividend equivalents, and certain other awards, including those denominated or payable in, or otherwise based on, the Company’s common stock. The purpose of these awards is to provide incentives and rewards for service and/or performance to the Company’s non-employee directors, officers and other employees of the Company and its subsidiaries, and certain consultants to the Company and its subsidiaries. Subject to adjustment as described in the Plan and subject to the Plan’s share counting rules, a total of 1,309,000 shares of the Company’s common stock are available for awards granted under the Plan,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total number of shares of the Company’s common stock remaining available for awards as of the effective date of the Plan under the MagnaChip Semiconductor Corporation 2011 Equity Incentive Plan, as amended or amended and restated (the “2011 Plan”),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shares of the Company’s common stock subject to any forfeitures (or similar events) that occur under the 2011 Plan, the MagnaChip Semiconductor LLC 2009 Common Unit Plan or the Plan after the effective date of the Plan.</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Board generally will be able to amend the Plan, subject to stockholder approval in certain circumstances as described in the Plan.</w:t>
      </w:r>
    </w:p>
    <w:p>
      <w:pPr>
        <w:spacing w:after="0" w:line="225"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The description of the Plan is qualified in its entirety by reference to the full text of the Plan, which is incorporated by reference as Exhibit 10.1 of this Current Report on Form 8-K.</w:t>
      </w:r>
    </w:p>
    <w:p>
      <w:pPr>
        <w:spacing w:after="0" w:line="315"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left="4" w:right="200"/>
        <w:spacing w:after="0" w:line="311" w:lineRule="auto"/>
        <w:rPr>
          <w:sz w:val="20"/>
          <w:szCs w:val="20"/>
          <w:color w:val="auto"/>
        </w:rPr>
      </w:pPr>
      <w:r>
        <w:rPr>
          <w:rFonts w:ascii="Arial" w:cs="Arial" w:eastAsia="Arial" w:hAnsi="Arial"/>
          <w:sz w:val="16"/>
          <w:szCs w:val="16"/>
          <w:color w:val="auto"/>
        </w:rPr>
        <w:t>The Company held its 2020 Annual Meeting of Stockholders on June 11, 2020. As of the close of business on the record date of April 15, 2020, there were 35,054,682 shares of the Company’s common stock outstanding and entitled to vote at the Annual Meeting. The number of shares of the Company’s common stock present at the meeting, in person or by proxy, was 28,740,805, or 82% of the outstanding shares entitled to vote.</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7"/>
          <w:szCs w:val="17"/>
          <w:color w:val="auto"/>
        </w:rPr>
        <w:t>At the meeting, the following proposals were submitted to a vote of the Company’s stockholders, with the final voting results indicated below:</w:t>
      </w:r>
    </w:p>
    <w:p>
      <w:pPr>
        <w:spacing w:after="0" w:line="129" w:lineRule="exact"/>
        <w:rPr>
          <w:sz w:val="20"/>
          <w:szCs w:val="20"/>
          <w:color w:val="auto"/>
        </w:rPr>
      </w:pPr>
    </w:p>
    <w:p>
      <w:pPr>
        <w:ind w:left="4" w:right="700"/>
        <w:spacing w:after="0" w:line="277" w:lineRule="auto"/>
        <w:rPr>
          <w:sz w:val="20"/>
          <w:szCs w:val="20"/>
          <w:color w:val="auto"/>
        </w:rPr>
      </w:pPr>
      <w:r>
        <w:rPr>
          <w:rFonts w:ascii="Arial" w:cs="Arial" w:eastAsia="Arial" w:hAnsi="Arial"/>
          <w:sz w:val="18"/>
          <w:szCs w:val="18"/>
          <w:u w:val="single" w:color="auto"/>
          <w:color w:val="auto"/>
        </w:rPr>
        <w:t>Proposal 1 – Election of Directors</w:t>
      </w:r>
      <w:r>
        <w:rPr>
          <w:rFonts w:ascii="Arial" w:cs="Arial" w:eastAsia="Arial" w:hAnsi="Arial"/>
          <w:sz w:val="18"/>
          <w:szCs w:val="18"/>
          <w:color w:val="auto"/>
        </w:rPr>
        <w:t>. The Company’s stockholders elected the following six directors to serve until the 2021 Annual Meetings of Stockholders and until their respective successors are elected and qualified.</w:t>
      </w:r>
    </w:p>
    <w:p>
      <w:pPr>
        <w:spacing w:after="0" w:line="176"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1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For</w:t>
            </w: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Withheld</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Broker Non-</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Votes</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Melvin L. Keating</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24,126,715</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410,613</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4,203,477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Young-Joon (YJ) Kim</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24,389,538</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147,790</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4,203,477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Ilbok Lee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22,601,799</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1,935,529</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4,203,477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Camillo Martino</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24,212,713</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324,615</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4,203,477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Gary Tanner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24,336,901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200,427</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4,203,477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Nader Tavakoli</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24,286,857</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250,471</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4,203,477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u w:val="single" w:color="auto"/>
          <w:color w:val="auto"/>
        </w:rPr>
        <w:t>Proposal 2 – Advisory Vote on the Compensation of the Named Executive Officers</w:t>
      </w:r>
      <w:r>
        <w:rPr>
          <w:rFonts w:ascii="Arial" w:cs="Arial" w:eastAsia="Arial" w:hAnsi="Arial"/>
          <w:sz w:val="18"/>
          <w:szCs w:val="18"/>
          <w:color w:val="auto"/>
        </w:rPr>
        <w:t>. The Company’s stockholders approved, on an advisory basis, the compensation of the Company’s named executive officers as disclosed in the Company’s 2020 proxy materials.</w:t>
      </w:r>
    </w:p>
    <w:p>
      <w:pPr>
        <w:spacing w:after="0" w:line="189" w:lineRule="exact"/>
        <w:rPr>
          <w:sz w:val="20"/>
          <w:szCs w:val="20"/>
          <w:color w:val="auto"/>
        </w:rPr>
      </w:pPr>
    </w:p>
    <w:tbl>
      <w:tblPr>
        <w:tblLayout w:type="fixed"/>
        <w:tblInd w:w="884" w:type="dxa"/>
        <w:tblCellMar>
          <w:top w:w="0" w:type="dxa"/>
          <w:left w:w="0" w:type="dxa"/>
          <w:bottom w:w="0" w:type="dxa"/>
          <w:right w:w="0" w:type="dxa"/>
        </w:tblCellMar>
      </w:tblPr>
      <w:tr>
        <w:trPr>
          <w:trHeight w:val="171"/>
        </w:trPr>
        <w:tc>
          <w:tcPr>
            <w:tcW w:w="2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7"/>
              </w:rPr>
              <w:t>For</w:t>
            </w:r>
          </w:p>
        </w:tc>
        <w:tc>
          <w:tcPr>
            <w:tcW w:w="1240" w:type="dxa"/>
            <w:vAlign w:val="bottom"/>
          </w:tcPr>
          <w:p>
            <w:pPr>
              <w:spacing w:after="0"/>
              <w:rPr>
                <w:sz w:val="14"/>
                <w:szCs w:val="14"/>
                <w:color w:val="auto"/>
              </w:rPr>
            </w:pPr>
          </w:p>
        </w:tc>
        <w:tc>
          <w:tcPr>
            <w:tcW w:w="12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Against</w:t>
            </w:r>
          </w:p>
        </w:tc>
        <w:tc>
          <w:tcPr>
            <w:tcW w:w="1340" w:type="dxa"/>
            <w:vAlign w:val="bottom"/>
            <w:gridSpan w:val="2"/>
          </w:tcPr>
          <w:p>
            <w:pPr>
              <w:jc w:val="center"/>
              <w:ind w:left="639"/>
              <w:spacing w:after="0"/>
              <w:rPr>
                <w:sz w:val="20"/>
                <w:szCs w:val="20"/>
                <w:color w:val="auto"/>
              </w:rPr>
            </w:pPr>
            <w:r>
              <w:rPr>
                <w:rFonts w:ascii="Arial" w:cs="Arial" w:eastAsia="Arial" w:hAnsi="Arial"/>
                <w:sz w:val="14"/>
                <w:szCs w:val="14"/>
                <w:b w:val="1"/>
                <w:bCs w:val="1"/>
                <w:color w:val="auto"/>
                <w:w w:val="91"/>
              </w:rPr>
              <w:t>Abstained</w:t>
            </w:r>
          </w:p>
        </w:tc>
        <w:tc>
          <w:tcPr>
            <w:tcW w:w="2540" w:type="dxa"/>
            <w:vAlign w:val="bottom"/>
            <w:gridSpan w:val="2"/>
          </w:tcPr>
          <w:p>
            <w:pPr>
              <w:jc w:val="center"/>
              <w:ind w:left="1319"/>
              <w:spacing w:after="0"/>
              <w:rPr>
                <w:sz w:val="20"/>
                <w:szCs w:val="20"/>
                <w:color w:val="auto"/>
              </w:rPr>
            </w:pPr>
            <w:r>
              <w:rPr>
                <w:rFonts w:ascii="Arial" w:cs="Arial" w:eastAsia="Arial" w:hAnsi="Arial"/>
                <w:sz w:val="14"/>
                <w:szCs w:val="14"/>
                <w:b w:val="1"/>
                <w:bCs w:val="1"/>
                <w:color w:val="auto"/>
                <w:w w:val="92"/>
              </w:rPr>
              <w:t>Broker Non-Votes</w:t>
            </w:r>
          </w:p>
        </w:tc>
      </w:tr>
      <w:tr>
        <w:trPr>
          <w:trHeight w:val="20"/>
        </w:trPr>
        <w:tc>
          <w:tcPr>
            <w:tcW w:w="1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10"/>
        </w:trPr>
        <w:tc>
          <w:tcPr>
            <w:tcW w:w="2900" w:type="dxa"/>
            <w:vAlign w:val="bottom"/>
            <w:gridSpan w:val="3"/>
            <w:shd w:val="clear" w:color="auto" w:fill="CCEEFF"/>
          </w:tcPr>
          <w:p>
            <w:pPr>
              <w:jc w:val="right"/>
              <w:ind w:right="1160"/>
              <w:spacing w:after="0"/>
              <w:rPr>
                <w:sz w:val="20"/>
                <w:szCs w:val="20"/>
                <w:color w:val="auto"/>
              </w:rPr>
            </w:pPr>
            <w:r>
              <w:rPr>
                <w:rFonts w:ascii="Arial" w:cs="Arial" w:eastAsia="Arial" w:hAnsi="Arial"/>
                <w:sz w:val="18"/>
                <w:szCs w:val="18"/>
                <w:color w:val="auto"/>
              </w:rPr>
              <w:t>24,293,215</w:t>
            </w:r>
          </w:p>
        </w:tc>
        <w:tc>
          <w:tcPr>
            <w:tcW w:w="24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198,251</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45,862</w:t>
            </w:r>
          </w:p>
        </w:tc>
        <w:tc>
          <w:tcPr>
            <w:tcW w:w="2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4,203,477</w:t>
            </w:r>
          </w:p>
        </w:tc>
      </w:tr>
    </w:tbl>
    <w:p>
      <w:pPr>
        <w:spacing w:after="0" w:line="202" w:lineRule="exact"/>
        <w:rPr>
          <w:sz w:val="20"/>
          <w:szCs w:val="20"/>
          <w:color w:val="auto"/>
        </w:rPr>
      </w:pPr>
    </w:p>
    <w:p>
      <w:pPr>
        <w:ind w:left="4" w:right="600"/>
        <w:spacing w:after="0" w:line="342" w:lineRule="auto"/>
        <w:rPr>
          <w:sz w:val="20"/>
          <w:szCs w:val="20"/>
          <w:color w:val="auto"/>
        </w:rPr>
      </w:pPr>
      <w:r>
        <w:rPr>
          <w:rFonts w:ascii="Arial" w:cs="Arial" w:eastAsia="Arial" w:hAnsi="Arial"/>
          <w:sz w:val="16"/>
          <w:szCs w:val="16"/>
          <w:u w:val="single" w:color="auto"/>
          <w:color w:val="auto"/>
        </w:rPr>
        <w:t>Proposal 3 – Ratification of the Appointment of Samil PricewaterhouseCoopers</w:t>
      </w:r>
      <w:r>
        <w:rPr>
          <w:rFonts w:ascii="Arial" w:cs="Arial" w:eastAsia="Arial" w:hAnsi="Arial"/>
          <w:sz w:val="16"/>
          <w:szCs w:val="16"/>
          <w:color w:val="auto"/>
        </w:rPr>
        <w:t>. The Company’s stockholders ratified the appointment of Samil PricewaterhouseCoopers as the Company’s independent registered public accounting firm for the fiscal year ending December 31, 2020.</w:t>
      </w:r>
    </w:p>
    <w:p>
      <w:pPr>
        <w:spacing w:after="0" w:line="142"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2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Against</w:t>
            </w:r>
          </w:p>
        </w:tc>
        <w:tc>
          <w:tcPr>
            <w:tcW w:w="21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Abstained</w:t>
            </w:r>
          </w:p>
        </w:tc>
      </w:tr>
      <w:tr>
        <w:trPr>
          <w:trHeight w:val="210"/>
        </w:trPr>
        <w:tc>
          <w:tcPr>
            <w:tcW w:w="1320" w:type="dxa"/>
            <w:vAlign w:val="bottom"/>
          </w:tcPr>
          <w:p>
            <w:pPr>
              <w:spacing w:after="0"/>
              <w:rPr>
                <w:sz w:val="18"/>
                <w:szCs w:val="18"/>
                <w:color w:val="auto"/>
              </w:rPr>
            </w:pPr>
          </w:p>
        </w:tc>
        <w:tc>
          <w:tcPr>
            <w:tcW w:w="4020" w:type="dxa"/>
            <w:vAlign w:val="bottom"/>
            <w:gridSpan w:val="3"/>
            <w:shd w:val="clear" w:color="auto" w:fill="CCEEFF"/>
          </w:tcPr>
          <w:p>
            <w:pPr>
              <w:jc w:val="right"/>
              <w:ind w:right="2120"/>
              <w:spacing w:after="0"/>
              <w:rPr>
                <w:sz w:val="20"/>
                <w:szCs w:val="20"/>
                <w:color w:val="auto"/>
              </w:rPr>
            </w:pPr>
            <w:r>
              <w:rPr>
                <w:rFonts w:ascii="Arial" w:cs="Arial" w:eastAsia="Arial" w:hAnsi="Arial"/>
                <w:sz w:val="18"/>
                <w:szCs w:val="18"/>
                <w:color w:val="auto"/>
              </w:rPr>
              <w:t>28,641,869</w:t>
            </w:r>
          </w:p>
        </w:tc>
        <w:tc>
          <w:tcPr>
            <w:tcW w:w="37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50,481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48,455</w:t>
            </w:r>
          </w:p>
        </w:tc>
      </w:tr>
      <w:tr>
        <w:trPr>
          <w:trHeight w:val="432"/>
        </w:trPr>
        <w:tc>
          <w:tcPr>
            <w:tcW w:w="5340" w:type="dxa"/>
            <w:vAlign w:val="bottom"/>
            <w:gridSpan w:val="4"/>
          </w:tcPr>
          <w:p>
            <w:pPr>
              <w:spacing w:after="0"/>
              <w:rPr>
                <w:sz w:val="20"/>
                <w:szCs w:val="20"/>
                <w:color w:val="auto"/>
              </w:rPr>
            </w:pPr>
            <w:r>
              <w:rPr>
                <w:rFonts w:ascii="Arial" w:cs="Arial" w:eastAsia="Arial" w:hAnsi="Arial"/>
                <w:sz w:val="18"/>
                <w:szCs w:val="18"/>
                <w:color w:val="auto"/>
              </w:rPr>
              <w:t>There were no broker non-votes with respect to Proposal 3.</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02" w:lineRule="exact"/>
        <w:rPr>
          <w:sz w:val="20"/>
          <w:szCs w:val="20"/>
          <w:color w:val="auto"/>
        </w:rPr>
      </w:pPr>
    </w:p>
    <w:p>
      <w:pPr>
        <w:ind w:left="4" w:right="340"/>
        <w:spacing w:after="0" w:line="263" w:lineRule="auto"/>
        <w:rPr>
          <w:sz w:val="20"/>
          <w:szCs w:val="20"/>
          <w:color w:val="auto"/>
        </w:rPr>
      </w:pPr>
      <w:r>
        <w:rPr>
          <w:rFonts w:ascii="Arial" w:cs="Arial" w:eastAsia="Arial" w:hAnsi="Arial"/>
          <w:sz w:val="18"/>
          <w:szCs w:val="18"/>
          <w:u w:val="single" w:color="auto"/>
          <w:color w:val="auto"/>
        </w:rPr>
        <w:t>Proposal 4 – Approval of the MagnaChip Semiconductor Corporation 2020 Equity and Incentive Compensation Plan</w:t>
      </w:r>
      <w:r>
        <w:rPr>
          <w:rFonts w:ascii="Arial" w:cs="Arial" w:eastAsia="Arial" w:hAnsi="Arial"/>
          <w:sz w:val="18"/>
          <w:szCs w:val="18"/>
          <w:color w:val="auto"/>
        </w:rPr>
        <w:t>. The Company’s stockholders approved the MagnaChip Semiconductor Corporation 2020 Equity and Incentive Compensation Plan as disclosed in the Company’s 2020 proxy materials.</w:t>
      </w:r>
    </w:p>
    <w:p>
      <w:pPr>
        <w:spacing w:after="0" w:line="202" w:lineRule="exact"/>
        <w:rPr>
          <w:sz w:val="20"/>
          <w:szCs w:val="20"/>
          <w:color w:val="auto"/>
        </w:rPr>
      </w:pPr>
    </w:p>
    <w:p>
      <w:pPr>
        <w:ind w:left="2024"/>
        <w:spacing w:after="0"/>
        <w:tabs>
          <w:tab w:leader="none" w:pos="4904" w:val="left"/>
          <w:tab w:leader="none" w:pos="6944" w:val="left"/>
          <w:tab w:leader="none" w:pos="9004" w:val="left"/>
        </w:tabs>
        <w:rPr>
          <w:sz w:val="20"/>
          <w:szCs w:val="20"/>
          <w:color w:val="auto"/>
        </w:rPr>
      </w:pPr>
      <w:r>
        <w:rPr>
          <w:rFonts w:ascii="Arial" w:cs="Arial" w:eastAsia="Arial" w:hAnsi="Arial"/>
          <w:sz w:val="14"/>
          <w:szCs w:val="14"/>
          <w:b w:val="1"/>
          <w:bCs w:val="1"/>
          <w:u w:val="single" w:color="auto"/>
          <w:color w:val="auto"/>
        </w:rPr>
        <w:t>For</w:t>
      </w:r>
      <w:r>
        <w:rPr>
          <w:sz w:val="20"/>
          <w:szCs w:val="20"/>
          <w:color w:val="auto"/>
        </w:rPr>
        <w:tab/>
      </w:r>
      <w:r>
        <w:rPr>
          <w:rFonts w:ascii="Arial" w:cs="Arial" w:eastAsia="Arial" w:hAnsi="Arial"/>
          <w:sz w:val="14"/>
          <w:szCs w:val="14"/>
          <w:b w:val="1"/>
          <w:bCs w:val="1"/>
          <w:u w:val="single" w:color="auto"/>
          <w:color w:val="auto"/>
        </w:rPr>
        <w:t>Against</w:t>
      </w:r>
      <w:r>
        <w:rPr>
          <w:sz w:val="20"/>
          <w:szCs w:val="20"/>
          <w:color w:val="auto"/>
        </w:rPr>
        <w:tab/>
      </w:r>
      <w:r>
        <w:rPr>
          <w:rFonts w:ascii="Arial" w:cs="Arial" w:eastAsia="Arial" w:hAnsi="Arial"/>
          <w:sz w:val="14"/>
          <w:szCs w:val="14"/>
          <w:b w:val="1"/>
          <w:bCs w:val="1"/>
          <w:u w:val="single" w:color="auto"/>
          <w:color w:val="auto"/>
        </w:rPr>
        <w:t>Abstained</w:t>
      </w:r>
      <w:r>
        <w:rPr>
          <w:sz w:val="20"/>
          <w:szCs w:val="20"/>
          <w:color w:val="auto"/>
        </w:rPr>
        <w:tab/>
      </w:r>
      <w:r>
        <w:rPr>
          <w:rFonts w:ascii="Arial" w:cs="Arial" w:eastAsia="Arial" w:hAnsi="Arial"/>
          <w:sz w:val="12"/>
          <w:szCs w:val="12"/>
          <w:b w:val="1"/>
          <w:bCs w:val="1"/>
          <w:u w:val="single" w:color="auto"/>
          <w:color w:val="auto"/>
        </w:rPr>
        <w:t>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15240</wp:posOffset>
            </wp:positionV>
            <wp:extent cx="587184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ectPr>
          <w:pgSz w:w="11900" w:h="16838" w:orient="portrait"/>
          <w:cols w:equalWidth="0" w:num="1">
            <w:col w:w="10964"/>
          </w:cols>
          <w:pgMar w:left="436" w:top="270" w:right="499" w:bottom="1440" w:gutter="0" w:footer="0" w:header="0"/>
        </w:sectPr>
      </w:pPr>
    </w:p>
    <w:p>
      <w:pPr>
        <w:spacing w:after="0" w:line="25" w:lineRule="exact"/>
        <w:rPr>
          <w:sz w:val="20"/>
          <w:szCs w:val="20"/>
          <w:color w:val="auto"/>
        </w:rPr>
      </w:pPr>
    </w:p>
    <w:p>
      <w:pPr>
        <w:ind w:left="1724"/>
        <w:spacing w:after="0"/>
        <w:tabs>
          <w:tab w:leader="none" w:pos="4784" w:val="left"/>
          <w:tab w:leader="none" w:pos="7004" w:val="left"/>
          <w:tab w:leader="none" w:pos="9204" w:val="left"/>
        </w:tabs>
        <w:rPr>
          <w:sz w:val="20"/>
          <w:szCs w:val="20"/>
          <w:color w:val="auto"/>
        </w:rPr>
      </w:pPr>
      <w:r>
        <w:rPr>
          <w:rFonts w:ascii="Arial" w:cs="Arial" w:eastAsia="Arial" w:hAnsi="Arial"/>
          <w:sz w:val="18"/>
          <w:szCs w:val="18"/>
          <w:color w:val="auto"/>
        </w:rPr>
        <w:t>22,529,610</w:t>
      </w:r>
      <w:r>
        <w:rPr>
          <w:sz w:val="20"/>
          <w:szCs w:val="20"/>
          <w:color w:val="auto"/>
        </w:rPr>
        <w:tab/>
      </w:r>
      <w:r>
        <w:rPr>
          <w:rFonts w:ascii="Arial" w:cs="Arial" w:eastAsia="Arial" w:hAnsi="Arial"/>
          <w:sz w:val="18"/>
          <w:szCs w:val="18"/>
          <w:color w:val="auto"/>
        </w:rPr>
        <w:t>1,964,366</w:t>
      </w:r>
      <w:r>
        <w:rPr>
          <w:sz w:val="20"/>
          <w:szCs w:val="20"/>
          <w:color w:val="auto"/>
        </w:rPr>
        <w:tab/>
      </w:r>
      <w:r>
        <w:rPr>
          <w:rFonts w:ascii="Arial" w:cs="Arial" w:eastAsia="Arial" w:hAnsi="Arial"/>
          <w:sz w:val="18"/>
          <w:szCs w:val="18"/>
          <w:color w:val="auto"/>
        </w:rPr>
        <w:t>43,352</w:t>
      </w:r>
      <w:r>
        <w:rPr>
          <w:sz w:val="20"/>
          <w:szCs w:val="20"/>
          <w:color w:val="auto"/>
        </w:rPr>
        <w:tab/>
      </w:r>
      <w:r>
        <w:rPr>
          <w:rFonts w:ascii="Arial" w:cs="Arial" w:eastAsia="Arial" w:hAnsi="Arial"/>
          <w:sz w:val="16"/>
          <w:szCs w:val="16"/>
          <w:color w:val="auto"/>
        </w:rPr>
        <w:t>4,203,477</w:t>
      </w:r>
    </w:p>
    <w:p>
      <w:pPr>
        <w:sectPr>
          <w:pgSz w:w="11900" w:h="16838" w:orient="portrait"/>
          <w:cols w:equalWidth="0" w:num="1">
            <w:col w:w="10964"/>
          </w:cols>
          <w:pgMar w:left="436" w:top="270" w:right="499" w:bottom="1440" w:gutter="0" w:footer="0" w:header="0"/>
          <w:type w:val="continuous"/>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10140" w:type="dxa"/>
            <w:vAlign w:val="bottom"/>
            <w:vMerge w:val="restart"/>
          </w:tcPr>
          <w:p>
            <w:pPr>
              <w:ind w:left="4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10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gridSpan w:val="2"/>
          </w:tcPr>
          <w:p>
            <w:pPr>
              <w:ind w:left="4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MagnaChip Semiconductor Corporation 2020 Equity and Incentive Compensation Plan.</w:t>
              </w:r>
            </w:hyperlink>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440" w:type="dxa"/>
            <w:vAlign w:val="bottom"/>
            <w:gridSpan w:val="2"/>
          </w:tcPr>
          <w:p>
            <w:pPr>
              <w:ind w:left="2040"/>
              <w:spacing w:after="0"/>
              <w:rPr>
                <w:sz w:val="20"/>
                <w:szCs w:val="20"/>
                <w:color w:val="auto"/>
              </w:rPr>
            </w:pPr>
            <w:r>
              <w:rPr>
                <w:rFonts w:ascii="Arial" w:cs="Arial" w:eastAsia="Arial" w:hAnsi="Arial"/>
                <w:sz w:val="18"/>
                <w:szCs w:val="18"/>
                <w:color w:val="auto"/>
              </w:rPr>
              <w:t>MAGNACHIP SEMICONDUCTOR CORPORATION</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Dated: June 17, 2020</w:t>
            </w:r>
          </w:p>
        </w:tc>
        <w:tc>
          <w:tcPr>
            <w:tcW w:w="7440" w:type="dxa"/>
            <w:vAlign w:val="bottom"/>
            <w:gridSpan w:val="2"/>
          </w:tcPr>
          <w:p>
            <w:pPr>
              <w:ind w:left="2040"/>
              <w:spacing w:after="0"/>
              <w:rPr>
                <w:sz w:val="20"/>
                <w:szCs w:val="20"/>
                <w:color w:val="auto"/>
              </w:rPr>
            </w:pPr>
            <w:r>
              <w:rPr>
                <w:rFonts w:ascii="Arial" w:cs="Arial" w:eastAsia="Arial" w:hAnsi="Arial"/>
                <w:sz w:val="18"/>
                <w:szCs w:val="18"/>
                <w:color w:val="auto"/>
              </w:rPr>
              <w:t>By:  /s/ Theodore Kim</w:t>
            </w:r>
          </w:p>
        </w:tc>
      </w:tr>
      <w:tr>
        <w:trPr>
          <w:trHeight w:val="195"/>
        </w:trPr>
        <w:tc>
          <w:tcPr>
            <w:tcW w:w="35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Theodore Kim</w:t>
            </w:r>
          </w:p>
        </w:tc>
      </w:tr>
      <w:tr>
        <w:trPr>
          <w:trHeight w:val="216"/>
        </w:trPr>
        <w:tc>
          <w:tcPr>
            <w:tcW w:w="35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Chief Compliance Officer, Executive Vice President, General</w:t>
            </w:r>
          </w:p>
        </w:tc>
      </w:tr>
      <w:tr>
        <w:trPr>
          <w:trHeight w:val="230"/>
        </w:trPr>
        <w:tc>
          <w:tcPr>
            <w:tcW w:w="3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Counsel and Secretary</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 2020 EQUITY AND INCENTIVE COMPENSATION PLAN</w:t>
      </w:r>
    </w:p>
    <w:p>
      <w:pPr>
        <w:spacing w:after="0" w:line="225" w:lineRule="exact"/>
        <w:rPr>
          <w:sz w:val="20"/>
          <w:szCs w:val="20"/>
          <w:color w:val="auto"/>
        </w:rPr>
      </w:pPr>
    </w:p>
    <w:p>
      <w:pPr>
        <w:ind w:right="440" w:firstLine="436"/>
        <w:spacing w:after="0" w:line="312"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Purpose. </w:t>
      </w:r>
      <w:r>
        <w:rPr>
          <w:rFonts w:ascii="Arial" w:cs="Arial" w:eastAsia="Arial" w:hAnsi="Arial"/>
          <w:sz w:val="17"/>
          <w:szCs w:val="17"/>
          <w:color w:val="auto"/>
        </w:rPr>
        <w:t>The purpose of this Plan is to permit award grants to non-employee Directors, Officers, other Employees, and Consultants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Participating Company Group, and to provide to such persons incentives and rewards for Service and/or performance.</w:t>
      </w:r>
    </w:p>
    <w:p>
      <w:pPr>
        <w:spacing w:after="0" w:line="139" w:lineRule="exact"/>
        <w:rPr>
          <w:rFonts w:ascii="Arial" w:cs="Arial" w:eastAsia="Arial" w:hAnsi="Arial"/>
          <w:sz w:val="17"/>
          <w:szCs w:val="17"/>
          <w:color w:val="auto"/>
        </w:rPr>
      </w:pPr>
    </w:p>
    <w:p>
      <w:pPr>
        <w:ind w:left="620" w:hanging="184"/>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this Plan:</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Appreciation Right</w:t>
      </w:r>
      <w:r>
        <w:rPr>
          <w:rFonts w:ascii="Arial" w:cs="Arial" w:eastAsia="Arial" w:hAnsi="Arial"/>
          <w:sz w:val="18"/>
          <w:szCs w:val="18"/>
          <w:color w:val="auto"/>
        </w:rPr>
        <w:t xml:space="preserve">” means a right granted pursuant to </w:t>
      </w:r>
      <w:r>
        <w:rPr>
          <w:rFonts w:ascii="Arial" w:cs="Arial" w:eastAsia="Arial" w:hAnsi="Arial"/>
          <w:sz w:val="18"/>
          <w:szCs w:val="18"/>
          <w:b w:val="1"/>
          <w:bCs w:val="1"/>
          <w:u w:val="single" w:color="auto"/>
          <w:color w:val="auto"/>
        </w:rPr>
        <w:t>Section 5</w:t>
      </w:r>
      <w:r>
        <w:rPr>
          <w:rFonts w:ascii="Arial" w:cs="Arial" w:eastAsia="Arial" w:hAnsi="Arial"/>
          <w:sz w:val="18"/>
          <w:szCs w:val="18"/>
          <w:color w:val="auto"/>
        </w:rPr>
        <w:t xml:space="preserve"> of this Plan.</w:t>
      </w:r>
    </w:p>
    <w:p>
      <w:pPr>
        <w:spacing w:after="0" w:line="229" w:lineRule="exact"/>
        <w:rPr>
          <w:rFonts w:ascii="Arial" w:cs="Arial" w:eastAsia="Arial" w:hAnsi="Arial"/>
          <w:sz w:val="18"/>
          <w:szCs w:val="18"/>
          <w:color w:val="auto"/>
        </w:rPr>
      </w:pPr>
    </w:p>
    <w:p>
      <w:pPr>
        <w:ind w:right="120" w:firstLine="987"/>
        <w:spacing w:after="0" w:line="277" w:lineRule="auto"/>
        <w:tabs>
          <w:tab w:leader="none" w:pos="1246"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any Option, Appreciation Right, Restricted Stock, Restricted Stock Unit, Performance Share, Performance Unit, Cash Incentive Award or other award granted under this Plan.</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1"/>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Price</w:t>
      </w:r>
      <w:r>
        <w:rPr>
          <w:rFonts w:ascii="Arial" w:cs="Arial" w:eastAsia="Arial" w:hAnsi="Arial"/>
          <w:sz w:val="17"/>
          <w:szCs w:val="17"/>
          <w:color w:val="auto"/>
        </w:rPr>
        <w:t>” means the price to be used as the basis for determining the Spread upon the exercise of an Appreciation Right.</w:t>
      </w:r>
    </w:p>
    <w:p>
      <w:pPr>
        <w:spacing w:after="0" w:line="236" w:lineRule="exact"/>
        <w:rPr>
          <w:rFonts w:ascii="Arial" w:cs="Arial" w:eastAsia="Arial" w:hAnsi="Arial"/>
          <w:sz w:val="17"/>
          <w:szCs w:val="17"/>
          <w:color w:val="auto"/>
        </w:rPr>
      </w:pPr>
    </w:p>
    <w:p>
      <w:pPr>
        <w:ind w:left="1240" w:hanging="253"/>
        <w:spacing w:after="0"/>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1" w:lineRule="exact"/>
        <w:rPr>
          <w:rFonts w:ascii="Arial" w:cs="Arial" w:eastAsia="Arial" w:hAnsi="Arial"/>
          <w:sz w:val="18"/>
          <w:szCs w:val="18"/>
          <w:color w:val="auto"/>
        </w:rPr>
      </w:pPr>
    </w:p>
    <w:p>
      <w:pPr>
        <w:ind w:left="1240" w:hanging="253"/>
        <w:spacing w:after="0"/>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Incentive Award</w:t>
      </w:r>
      <w:r>
        <w:rPr>
          <w:rFonts w:ascii="Arial" w:cs="Arial" w:eastAsia="Arial" w:hAnsi="Arial"/>
          <w:sz w:val="18"/>
          <w:szCs w:val="18"/>
          <w:color w:val="auto"/>
        </w:rPr>
        <w:t xml:space="preserve">” means a cash award granted pursuant to </w:t>
      </w:r>
      <w:r>
        <w:rPr>
          <w:rFonts w:ascii="Arial" w:cs="Arial" w:eastAsia="Arial" w:hAnsi="Arial"/>
          <w:sz w:val="18"/>
          <w:szCs w:val="18"/>
          <w:b w:val="1"/>
          <w:bCs w:val="1"/>
          <w:u w:val="single" w:color="auto"/>
          <w:color w:val="auto"/>
        </w:rPr>
        <w:t>Section 8</w:t>
      </w:r>
      <w:r>
        <w:rPr>
          <w:rFonts w:ascii="Arial" w:cs="Arial" w:eastAsia="Arial" w:hAnsi="Arial"/>
          <w:sz w:val="18"/>
          <w:szCs w:val="18"/>
          <w:color w:val="auto"/>
        </w:rPr>
        <w:t xml:space="preserve"> of this Plan.</w:t>
      </w:r>
    </w:p>
    <w:p>
      <w:pPr>
        <w:spacing w:after="0" w:line="229" w:lineRule="exact"/>
        <w:rPr>
          <w:rFonts w:ascii="Arial" w:cs="Arial" w:eastAsia="Arial" w:hAnsi="Arial"/>
          <w:sz w:val="18"/>
          <w:szCs w:val="18"/>
          <w:color w:val="auto"/>
        </w:rPr>
      </w:pPr>
    </w:p>
    <w:p>
      <w:pPr>
        <w:ind w:right="40" w:firstLine="987"/>
        <w:spacing w:after="0" w:line="287" w:lineRule="auto"/>
        <w:tabs>
          <w:tab w:leader="none" w:pos="1216" w:val="left"/>
        </w:tabs>
        <w:numPr>
          <w:ilvl w:val="1"/>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unless such term or an equivalent term is otherwise defined by the applicable Evidence of Award or other written agreement between a Participant and a Participating Company applicable to an Award, any of the following: (i) the Participant’s failure to substantially perform the Participant’s customary duties with a Participating Company in the ordinary course (other than such failure resulting from the Participant’s incapacity due to physical or mental illness) that, if susceptible to cure, has not been cured as determined by the Participating Company within 30 days after a written demand for substantial performance is delivered to the Participant by the Participating Company, which demand specifically identifies the manner in which such entity believes that the Participant has not substantially performed the Participant’s duties; (ii) the Participant’s gross negligence, intentional misconduct or fraud in the performance of his or her Service; (iii) the Participant’s indictment (or equivalent) for a felony or to a crime involving fraud or dishonesty; (iv) a judicial determination that the Participant committed fraud or dishonesty against any natural person, firm, partnership, limited liability company, association, corporation, company, trust, business trust, governmental authority or other entity; (v) the Participant’s material violation of one or more of the Participating Company Group’s policies applicable to the Participant’s Service as may be in effect from time to time; or (vi) the Participant’s conduct that brings or could reasonably be expected to bring the Participating Company Group into public disgrace or disrepute and that has a material adverse effect on the business of the Participating Company Group.</w:t>
      </w:r>
    </w:p>
    <w:p>
      <w:pPr>
        <w:spacing w:after="0" w:line="163" w:lineRule="exact"/>
        <w:rPr>
          <w:rFonts w:ascii="Arial" w:cs="Arial" w:eastAsia="Arial" w:hAnsi="Arial"/>
          <w:sz w:val="16"/>
          <w:szCs w:val="16"/>
          <w:color w:val="auto"/>
        </w:rPr>
      </w:pPr>
    </w:p>
    <w:p>
      <w:pPr>
        <w:ind w:left="1240" w:hanging="253"/>
        <w:spacing w:after="0"/>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has the meaning set forth in </w:t>
      </w:r>
      <w:r>
        <w:rPr>
          <w:rFonts w:ascii="Arial" w:cs="Arial" w:eastAsia="Arial" w:hAnsi="Arial"/>
          <w:sz w:val="18"/>
          <w:szCs w:val="18"/>
          <w:b w:val="1"/>
          <w:bCs w:val="1"/>
          <w:u w:val="single" w:color="auto"/>
          <w:color w:val="auto"/>
        </w:rPr>
        <w:t>Section 12</w:t>
      </w:r>
      <w:r>
        <w:rPr>
          <w:rFonts w:ascii="Arial" w:cs="Arial" w:eastAsia="Arial" w:hAnsi="Arial"/>
          <w:sz w:val="18"/>
          <w:szCs w:val="18"/>
          <w:color w:val="auto"/>
        </w:rPr>
        <w:t xml:space="preserve"> of this Plan.</w:t>
      </w:r>
    </w:p>
    <w:p>
      <w:pPr>
        <w:spacing w:after="0" w:line="229" w:lineRule="exact"/>
        <w:rPr>
          <w:rFonts w:ascii="Arial" w:cs="Arial" w:eastAsia="Arial" w:hAnsi="Arial"/>
          <w:sz w:val="18"/>
          <w:szCs w:val="18"/>
          <w:color w:val="auto"/>
        </w:rPr>
      </w:pPr>
    </w:p>
    <w:p>
      <w:pPr>
        <w:ind w:left="1240" w:hanging="253"/>
        <w:spacing w:after="0"/>
        <w:tabs>
          <w:tab w:leader="none" w:pos="1240" w:val="left"/>
        </w:tabs>
        <w:numPr>
          <w:ilvl w:val="1"/>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and the regulations thereunder, as such law and regulations may be amended from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 to time.</w:t>
      </w:r>
    </w:p>
    <w:p>
      <w:pPr>
        <w:spacing w:after="0" w:line="210" w:lineRule="exact"/>
        <w:rPr>
          <w:rFonts w:ascii="Arial" w:cs="Arial" w:eastAsia="Arial" w:hAnsi="Arial"/>
          <w:sz w:val="16"/>
          <w:szCs w:val="16"/>
          <w:color w:val="auto"/>
        </w:rPr>
      </w:pPr>
    </w:p>
    <w:p>
      <w:pPr>
        <w:ind w:right="20" w:firstLine="987"/>
        <w:spacing w:after="0" w:line="277" w:lineRule="auto"/>
        <w:tabs>
          <w:tab w:leader="none" w:pos="1206"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means the Compensation Committee of the Board (or its successor(s)), or any other committee of the Board designated by the Board to administer this Plan pursuant to </w:t>
      </w:r>
      <w:r>
        <w:rPr>
          <w:rFonts w:ascii="Arial" w:cs="Arial" w:eastAsia="Arial" w:hAnsi="Arial"/>
          <w:sz w:val="18"/>
          <w:szCs w:val="18"/>
          <w:b w:val="1"/>
          <w:bCs w:val="1"/>
          <w:u w:val="single" w:color="auto"/>
          <w:color w:val="auto"/>
        </w:rPr>
        <w:t>Section 10</w:t>
      </w:r>
      <w:r>
        <w:rPr>
          <w:rFonts w:ascii="Arial" w:cs="Arial" w:eastAsia="Arial" w:hAnsi="Arial"/>
          <w:sz w:val="18"/>
          <w:szCs w:val="18"/>
          <w:color w:val="auto"/>
        </w:rPr>
        <w:t xml:space="preserve"> of this Plan.</w:t>
      </w:r>
    </w:p>
    <w:p>
      <w:pPr>
        <w:spacing w:after="0" w:line="170" w:lineRule="exact"/>
        <w:rPr>
          <w:rFonts w:ascii="Arial" w:cs="Arial" w:eastAsia="Arial" w:hAnsi="Arial"/>
          <w:sz w:val="18"/>
          <w:szCs w:val="18"/>
          <w:color w:val="auto"/>
        </w:rPr>
      </w:pPr>
    </w:p>
    <w:p>
      <w:pPr>
        <w:ind w:left="1200" w:hanging="213"/>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MagnaChip Semiconductor Corporation, a Delaware corporation, and its successors.</w:t>
      </w:r>
    </w:p>
    <w:p>
      <w:pPr>
        <w:spacing w:after="0" w:line="225" w:lineRule="exact"/>
        <w:rPr>
          <w:rFonts w:ascii="Arial" w:cs="Arial" w:eastAsia="Arial" w:hAnsi="Arial"/>
          <w:sz w:val="18"/>
          <w:szCs w:val="18"/>
          <w:color w:val="auto"/>
        </w:rPr>
      </w:pPr>
    </w:p>
    <w:p>
      <w:pPr>
        <w:jc w:val="both"/>
        <w:ind w:firstLine="987"/>
        <w:spacing w:after="0" w:line="259" w:lineRule="auto"/>
        <w:tabs>
          <w:tab w:leader="none" w:pos="1246"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 person engaged to provide consulting or advisory services (other than as an Employee or a member of the Board) to a Participating Company, provided that the identity of such person, the nature of such services or the entity to which such services are provided would not preclude the Company from offering or selling securities to such person pursuant to this Plan in reliance on registration on Form S-8 under the Securities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 w:name="page6"/>
    <w:bookmarkEnd w:id="5"/>
    <w:p>
      <w:pPr>
        <w:ind w:left="-20" w:right="60" w:firstLine="987"/>
        <w:spacing w:after="0" w:line="259" w:lineRule="auto"/>
        <w:tabs>
          <w:tab w:leader="none" w:pos="1186"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Date of Grant</w:t>
      </w:r>
      <w:r>
        <w:rPr>
          <w:rFonts w:ascii="Arial" w:cs="Arial" w:eastAsia="Arial" w:hAnsi="Arial"/>
          <w:sz w:val="18"/>
          <w:szCs w:val="18"/>
          <w:color w:val="auto"/>
        </w:rPr>
        <w:t xml:space="preserve">” means the date provided for by the Committee on which a grant of Options, Appreciation Rights, Performance Shares, Performance Units, Cash Incentive Awards, or other awards contemplated by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of this Plan, or a grant or sale of Restricted Stock, Restricted Stock Units, or other awards contemplated by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of this Plan, will become effective (which date will not be earlier than the date on which the Committee takes action with respect thereto).</w:t>
      </w:r>
    </w:p>
    <w:p>
      <w:pPr>
        <w:spacing w:after="0" w:line="186" w:lineRule="exact"/>
        <w:rPr>
          <w:rFonts w:ascii="Arial" w:cs="Arial" w:eastAsia="Arial" w:hAnsi="Arial"/>
          <w:sz w:val="18"/>
          <w:szCs w:val="18"/>
          <w:color w:val="auto"/>
        </w:rPr>
      </w:pPr>
    </w:p>
    <w:p>
      <w:pPr>
        <w:ind w:left="1280" w:hanging="313"/>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left="-20" w:right="140" w:firstLine="987"/>
        <w:spacing w:after="0" w:line="263" w:lineRule="auto"/>
        <w:tabs>
          <w:tab w:leader="none" w:pos="1226"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unless such term or an equivalent term is otherwise defined by the applicable Evidence of Award or other written agreement between a Participant and a Participating Company applicable to an Award, the permanent and total disability of the Participant, within the meaning of Section 22(e)(3) of the Code.</w:t>
      </w:r>
    </w:p>
    <w:p>
      <w:pPr>
        <w:spacing w:after="0" w:line="183" w:lineRule="exact"/>
        <w:rPr>
          <w:rFonts w:ascii="Arial" w:cs="Arial" w:eastAsia="Arial" w:hAnsi="Arial"/>
          <w:sz w:val="18"/>
          <w:szCs w:val="18"/>
          <w:color w:val="auto"/>
        </w:rPr>
      </w:pPr>
    </w:p>
    <w:p>
      <w:pPr>
        <w:ind w:left="-20" w:right="160" w:firstLine="987"/>
        <w:spacing w:after="0" w:line="263" w:lineRule="auto"/>
        <w:tabs>
          <w:tab w:leader="none" w:pos="1226"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Equivalent Right</w:t>
      </w:r>
      <w:r>
        <w:rPr>
          <w:rFonts w:ascii="Arial" w:cs="Arial" w:eastAsia="Arial" w:hAnsi="Arial"/>
          <w:sz w:val="18"/>
          <w:szCs w:val="18"/>
          <w:color w:val="auto"/>
        </w:rPr>
        <w:t>” means the right of a Participant, granted at the discretion of the Committee or as otherwise provided by this Plan, to receive a credit for the account of such Participant in an amount equal to the cash dividends paid on one share of Stock for each share of Stock represented by an Award held by such Participant.</w:t>
      </w:r>
    </w:p>
    <w:p>
      <w:pPr>
        <w:spacing w:after="0" w:line="183" w:lineRule="exact"/>
        <w:rPr>
          <w:rFonts w:ascii="Arial" w:cs="Arial" w:eastAsia="Arial" w:hAnsi="Arial"/>
          <w:sz w:val="18"/>
          <w:szCs w:val="18"/>
          <w:color w:val="auto"/>
        </w:rPr>
      </w:pPr>
    </w:p>
    <w:p>
      <w:pPr>
        <w:ind w:left="1220" w:hanging="253"/>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this Plan is approved by the Stockholders, which is June 11, 2020.</w:t>
      </w:r>
    </w:p>
    <w:p>
      <w:pPr>
        <w:spacing w:after="0" w:line="225" w:lineRule="exact"/>
        <w:rPr>
          <w:rFonts w:ascii="Arial" w:cs="Arial" w:eastAsia="Arial" w:hAnsi="Arial"/>
          <w:sz w:val="18"/>
          <w:szCs w:val="18"/>
          <w:color w:val="auto"/>
        </w:rPr>
      </w:pPr>
    </w:p>
    <w:p>
      <w:pPr>
        <w:ind w:left="-20" w:firstLine="987"/>
        <w:spacing w:after="0" w:line="255" w:lineRule="auto"/>
        <w:tabs>
          <w:tab w:leader="none" w:pos="1226"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means any person treated as an employee (including an Officer or a member of the Board who is also treated as an employee) in the records of a Participating Company and, with respect to any Incentive Stock Option granted to such person, who is an “employee” as defined under Section 3401(c)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service as a member of the Board nor payment of a Director’s fee shall be sufficient to constitute employment for purposes of this Plan. The Company shall determine in good faith and in the exercise of its discretion whether an individual has become or has ceased to be an Employee and the effective date of such individual’s employment or termination of employment, as the case may be.</w:t>
      </w:r>
    </w:p>
    <w:p>
      <w:pPr>
        <w:spacing w:after="0" w:line="192" w:lineRule="exact"/>
        <w:rPr>
          <w:rFonts w:ascii="Arial" w:cs="Arial" w:eastAsia="Arial" w:hAnsi="Arial"/>
          <w:sz w:val="18"/>
          <w:szCs w:val="18"/>
          <w:color w:val="auto"/>
        </w:rPr>
      </w:pPr>
    </w:p>
    <w:p>
      <w:pPr>
        <w:ind w:left="-20" w:right="100" w:firstLine="987"/>
        <w:spacing w:after="0" w:line="259" w:lineRule="auto"/>
        <w:tabs>
          <w:tab w:leader="none" w:pos="1196"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Evidence of Award</w:t>
      </w:r>
      <w:r>
        <w:rPr>
          <w:rFonts w:ascii="Arial" w:cs="Arial" w:eastAsia="Arial" w:hAnsi="Arial"/>
          <w:sz w:val="18"/>
          <w:szCs w:val="18"/>
          <w:color w:val="auto"/>
        </w:rPr>
        <w:t>” means an agreement, certificate, resolution or other type or form of writing or other evidence approved by the Committee that sets forth the terms and conditions of the Awards granted under this Plan. An Evidence of Award may be in an electronic medium, may be limited to notation on the books and records of the Company and, unless otherwise determined by the Committee, need not be signed by a representative of the Company or a Participant.</w:t>
      </w:r>
    </w:p>
    <w:p>
      <w:pPr>
        <w:spacing w:after="0" w:line="186" w:lineRule="exact"/>
        <w:rPr>
          <w:rFonts w:ascii="Arial" w:cs="Arial" w:eastAsia="Arial" w:hAnsi="Arial"/>
          <w:sz w:val="18"/>
          <w:szCs w:val="18"/>
          <w:color w:val="auto"/>
        </w:rPr>
      </w:pPr>
    </w:p>
    <w:p>
      <w:pPr>
        <w:ind w:left="-20" w:right="140" w:firstLine="987"/>
        <w:spacing w:after="0" w:line="277" w:lineRule="auto"/>
        <w:tabs>
          <w:tab w:leader="none" w:pos="1206"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and the rules and regulations thereunder, as such law, rules and regulations may be amended from time to time.</w:t>
      </w:r>
    </w:p>
    <w:p>
      <w:pPr>
        <w:spacing w:after="0" w:line="170" w:lineRule="exact"/>
        <w:rPr>
          <w:rFonts w:ascii="Arial" w:cs="Arial" w:eastAsia="Arial" w:hAnsi="Arial"/>
          <w:sz w:val="18"/>
          <w:szCs w:val="18"/>
          <w:color w:val="auto"/>
        </w:rPr>
      </w:pPr>
    </w:p>
    <w:p>
      <w:pPr>
        <w:ind w:left="1180" w:hanging="213"/>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means the purchase price payable on exercise of an Option.</w:t>
      </w:r>
    </w:p>
    <w:p>
      <w:pPr>
        <w:spacing w:after="0" w:line="225" w:lineRule="exact"/>
        <w:rPr>
          <w:rFonts w:ascii="Arial" w:cs="Arial" w:eastAsia="Arial" w:hAnsi="Arial"/>
          <w:sz w:val="18"/>
          <w:szCs w:val="18"/>
          <w:color w:val="auto"/>
        </w:rPr>
      </w:pPr>
    </w:p>
    <w:p>
      <w:pPr>
        <w:ind w:left="-20" w:right="160" w:firstLine="987"/>
        <w:spacing w:after="0" w:line="273" w:lineRule="auto"/>
        <w:tabs>
          <w:tab w:leader="none" w:pos="1226"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as of any particular date, the closing price of a share of Stock as reported for that date on the New York Stock Exchange or, if the Stock is not then listed on the New York Stock Exchange, on any other national securities exchange on which the Stock is listed, or if there are no sales on such date, on the next preceding trading day during which a sale occurred. If there is no regular public trading market for the Stock, then the Fair Market Value shall be the fair market value as determined in good faith by the Committee. The Committee is authorized to adopt another fair market value pricing method, provided such method is stated in the applicable Evidence of Award and is in compliance with the fair market value pricing rules set forth in Section 409A.</w:t>
      </w:r>
    </w:p>
    <w:p>
      <w:pPr>
        <w:spacing w:after="0" w:line="177" w:lineRule="exact"/>
        <w:rPr>
          <w:rFonts w:ascii="Arial" w:cs="Arial" w:eastAsia="Arial" w:hAnsi="Arial"/>
          <w:sz w:val="17"/>
          <w:szCs w:val="17"/>
          <w:color w:val="auto"/>
        </w:rPr>
      </w:pPr>
    </w:p>
    <w:p>
      <w:pPr>
        <w:ind w:left="-20" w:right="120" w:firstLine="987"/>
        <w:spacing w:after="0" w:line="277" w:lineRule="auto"/>
        <w:tabs>
          <w:tab w:leader="none" w:pos="1226"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is intended to qualify as an “incentive stock option” under Section 422 of the Code or any successor provision.</w:t>
      </w:r>
    </w:p>
    <w:p>
      <w:pPr>
        <w:spacing w:after="0" w:line="170" w:lineRule="exact"/>
        <w:rPr>
          <w:rFonts w:ascii="Arial" w:cs="Arial" w:eastAsia="Arial" w:hAnsi="Arial"/>
          <w:sz w:val="18"/>
          <w:szCs w:val="18"/>
          <w:color w:val="auto"/>
        </w:rPr>
      </w:pPr>
    </w:p>
    <w:p>
      <w:pPr>
        <w:ind w:left="-20" w:firstLine="987"/>
        <w:spacing w:after="0" w:line="277" w:lineRule="auto"/>
        <w:tabs>
          <w:tab w:leader="none" w:pos="1266"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Incumbent Director</w:t>
      </w:r>
      <w:r>
        <w:rPr>
          <w:rFonts w:ascii="Arial" w:cs="Arial" w:eastAsia="Arial" w:hAnsi="Arial"/>
          <w:sz w:val="18"/>
          <w:szCs w:val="18"/>
          <w:color w:val="auto"/>
        </w:rPr>
        <w:t>” means a Director who either (i) is a member of the Board as of the Effective Date or (ii) is elected, or nominated for election, to the Board with the affirmative votes of at least a majority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4" w:right="479" w:bottom="1440" w:gutter="0" w:footer="0" w:header="0"/>
        </w:sectPr>
      </w:pPr>
    </w:p>
    <w:bookmarkStart w:id="6" w:name="page7"/>
    <w:bookmarkEnd w:id="6"/>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Incumbent Directors at the time of such election or nomination (but excluding a Director who was elected or nominated in connection with an actual or threatened proxy contest relating to the election of Directors of the Company).</w:t>
      </w:r>
    </w:p>
    <w:p>
      <w:pPr>
        <w:spacing w:after="0" w:line="170" w:lineRule="exact"/>
        <w:rPr>
          <w:sz w:val="20"/>
          <w:szCs w:val="20"/>
          <w:color w:val="auto"/>
        </w:rPr>
      </w:pPr>
    </w:p>
    <w:p>
      <w:pPr>
        <w:ind w:right="20" w:firstLine="987"/>
        <w:spacing w:after="0" w:line="272" w:lineRule="auto"/>
        <w:tabs>
          <w:tab w:leader="none" w:pos="1246"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Management Objectives</w:t>
      </w:r>
      <w:r>
        <w:rPr>
          <w:rFonts w:ascii="Arial" w:cs="Arial" w:eastAsia="Arial" w:hAnsi="Arial"/>
          <w:sz w:val="17"/>
          <w:szCs w:val="17"/>
          <w:color w:val="auto"/>
        </w:rPr>
        <w:t>” means the measurable performance objective or objectives established pursuant to this Plan for Participants who have received grants of Performance Shares, Performance Units or Cash Incentive Awards or, when so determined by the Committee, Options, Appreciation Rights, Restricted Stock, Restricted Stock Units, Dividend Equivalent Rights or other awards pursuant to this Plan. If the Committee determines that a change in the business, operations, corporate structure or capital structure of the Company, or the manner in which it conducts its business, or other events or circumstances render the Management Objectives unsuitable, the Committee may in its discretion modify such Management Objectives or the goals or actual levels of achievement regarding the Management Objectives, in whole or in part, as the Committee deems appropriate and equitable, to the extent permitted by applicable law.</w:t>
      </w:r>
    </w:p>
    <w:p>
      <w:pPr>
        <w:spacing w:after="0" w:line="177" w:lineRule="exact"/>
        <w:rPr>
          <w:rFonts w:ascii="Arial" w:cs="Arial" w:eastAsia="Arial" w:hAnsi="Arial"/>
          <w:sz w:val="17"/>
          <w:szCs w:val="17"/>
          <w:color w:val="auto"/>
        </w:rPr>
      </w:pPr>
    </w:p>
    <w:p>
      <w:pPr>
        <w:ind w:right="120" w:firstLine="987"/>
        <w:spacing w:after="0" w:line="277" w:lineRule="auto"/>
        <w:tabs>
          <w:tab w:leader="none" w:pos="1246"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Nonstatutory Stock Option</w:t>
      </w:r>
      <w:r>
        <w:rPr>
          <w:rFonts w:ascii="Arial" w:cs="Arial" w:eastAsia="Arial" w:hAnsi="Arial"/>
          <w:sz w:val="18"/>
          <w:szCs w:val="18"/>
          <w:color w:val="auto"/>
        </w:rPr>
        <w:t>” means an Option not intended to be (as set forth in the Evidence of Award) or which does not qualify as an incentive stock option within the meaning of Section 422(b) of the Code.</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any person designated by the Board as an officer of the Company.</w:t>
      </w:r>
    </w:p>
    <w:p>
      <w:pPr>
        <w:spacing w:after="0" w:line="225" w:lineRule="exact"/>
        <w:rPr>
          <w:sz w:val="20"/>
          <w:szCs w:val="20"/>
          <w:color w:val="auto"/>
        </w:rPr>
      </w:pPr>
    </w:p>
    <w:p>
      <w:pPr>
        <w:ind w:left="1320" w:hanging="333"/>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means the optionee named in an Evidence of Award evidencing an outstanding Option.</w:t>
      </w:r>
    </w:p>
    <w:p>
      <w:pPr>
        <w:spacing w:after="0" w:line="221" w:lineRule="exact"/>
        <w:rPr>
          <w:rFonts w:ascii="Arial" w:cs="Arial" w:eastAsia="Arial" w:hAnsi="Arial"/>
          <w:sz w:val="18"/>
          <w:szCs w:val="18"/>
          <w:color w:val="auto"/>
        </w:rPr>
      </w:pPr>
    </w:p>
    <w:p>
      <w:pPr>
        <w:ind w:left="1340" w:hanging="353"/>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the right to purchase Stock upon exercise of an Award granted pursuant to </w:t>
      </w:r>
      <w:r>
        <w:rPr>
          <w:rFonts w:ascii="Arial" w:cs="Arial" w:eastAsia="Arial" w:hAnsi="Arial"/>
          <w:sz w:val="18"/>
          <w:szCs w:val="18"/>
          <w:b w:val="1"/>
          <w:bCs w:val="1"/>
          <w:u w:val="single" w:color="auto"/>
          <w:color w:val="auto"/>
        </w:rPr>
        <w:t>Section 4</w:t>
      </w:r>
      <w:r>
        <w:rPr>
          <w:rFonts w:ascii="Arial" w:cs="Arial" w:eastAsia="Arial" w:hAnsi="Arial"/>
          <w:sz w:val="18"/>
          <w:szCs w:val="18"/>
          <w:color w:val="auto"/>
        </w:rPr>
        <w:t xml:space="preserve"> of this Plan.</w:t>
      </w:r>
    </w:p>
    <w:p>
      <w:pPr>
        <w:spacing w:after="0" w:line="229" w:lineRule="exact"/>
        <w:rPr>
          <w:rFonts w:ascii="Arial" w:cs="Arial" w:eastAsia="Arial" w:hAnsi="Arial"/>
          <w:sz w:val="18"/>
          <w:szCs w:val="18"/>
          <w:color w:val="auto"/>
        </w:rPr>
      </w:pPr>
    </w:p>
    <w:p>
      <w:pPr>
        <w:ind w:firstLine="987"/>
        <w:spacing w:after="0" w:line="257" w:lineRule="auto"/>
        <w:tabs>
          <w:tab w:leader="none" w:pos="1316"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Ownership Change Event</w:t>
      </w:r>
      <w:r>
        <w:rPr>
          <w:rFonts w:ascii="Arial" w:cs="Arial" w:eastAsia="Arial" w:hAnsi="Arial"/>
          <w:sz w:val="18"/>
          <w:szCs w:val="18"/>
          <w:color w:val="auto"/>
        </w:rPr>
        <w:t>” means the occurrence of any of the following with respect to the Company: (i) the direct or indirect sale or exchange in a single or series of related transactions by the Stockholders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spacing w:after="0" w:line="187" w:lineRule="exact"/>
        <w:rPr>
          <w:rFonts w:ascii="Arial" w:cs="Arial" w:eastAsia="Arial" w:hAnsi="Arial"/>
          <w:sz w:val="18"/>
          <w:szCs w:val="18"/>
          <w:color w:val="auto"/>
        </w:rPr>
      </w:pPr>
    </w:p>
    <w:p>
      <w:pPr>
        <w:ind w:left="1340" w:hanging="353"/>
        <w:spacing w:after="0"/>
        <w:tabs>
          <w:tab w:leader="none" w:pos="1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means a person who is selected by the Committee to receive benefits under this Plan and who is at the time (i) a</w:t>
      </w:r>
    </w:p>
    <w:p>
      <w:pPr>
        <w:spacing w:after="0" w:line="3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non-employee Director, (ii) an Officer or other Employee, including a person who has agreed to commence serving in such capacity within 90 days of the Date of Grant, or (iii) a Consultant.</w:t>
      </w:r>
    </w:p>
    <w:p>
      <w:pPr>
        <w:spacing w:after="0" w:line="185" w:lineRule="exact"/>
        <w:rPr>
          <w:sz w:val="20"/>
          <w:szCs w:val="20"/>
          <w:color w:val="auto"/>
        </w:rPr>
      </w:pPr>
    </w:p>
    <w:p>
      <w:pPr>
        <w:ind w:left="1320" w:hanging="333"/>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or any Subsidiary.</w:t>
      </w:r>
    </w:p>
    <w:p>
      <w:pPr>
        <w:spacing w:after="0" w:line="225" w:lineRule="exact"/>
        <w:rPr>
          <w:rFonts w:ascii="Arial" w:cs="Arial" w:eastAsia="Arial" w:hAnsi="Arial"/>
          <w:sz w:val="18"/>
          <w:szCs w:val="18"/>
          <w:color w:val="auto"/>
        </w:rPr>
      </w:pPr>
    </w:p>
    <w:p>
      <w:pPr>
        <w:ind w:right="840" w:firstLine="987"/>
        <w:spacing w:after="0" w:line="277" w:lineRule="auto"/>
        <w:tabs>
          <w:tab w:leader="none" w:pos="1273"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 Group</w:t>
      </w:r>
      <w:r>
        <w:rPr>
          <w:rFonts w:ascii="Arial" w:cs="Arial" w:eastAsia="Arial" w:hAnsi="Arial"/>
          <w:sz w:val="18"/>
          <w:szCs w:val="18"/>
          <w:color w:val="auto"/>
        </w:rPr>
        <w:t>” means, at any point in time, the Company and all other entities collectively which are then Participating Companies.</w:t>
      </w:r>
    </w:p>
    <w:p>
      <w:pPr>
        <w:spacing w:after="0" w:line="170" w:lineRule="exact"/>
        <w:rPr>
          <w:rFonts w:ascii="Arial" w:cs="Arial" w:eastAsia="Arial" w:hAnsi="Arial"/>
          <w:sz w:val="18"/>
          <w:szCs w:val="18"/>
          <w:color w:val="auto"/>
        </w:rPr>
      </w:pPr>
    </w:p>
    <w:p>
      <w:pPr>
        <w:ind w:right="260" w:firstLine="987"/>
        <w:spacing w:after="0" w:line="277" w:lineRule="auto"/>
        <w:tabs>
          <w:tab w:leader="none" w:pos="1336"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in respect of any Award with Management Objectives, a period of time established within which the Management Objectives relating to such Award are to be achieved.</w:t>
      </w:r>
    </w:p>
    <w:p>
      <w:pPr>
        <w:spacing w:after="0" w:line="166" w:lineRule="exact"/>
        <w:rPr>
          <w:rFonts w:ascii="Arial" w:cs="Arial" w:eastAsia="Arial" w:hAnsi="Arial"/>
          <w:sz w:val="18"/>
          <w:szCs w:val="18"/>
          <w:color w:val="auto"/>
        </w:rPr>
      </w:pPr>
    </w:p>
    <w:p>
      <w:pPr>
        <w:ind w:left="1340" w:hanging="353"/>
        <w:spacing w:after="0"/>
        <w:tabs>
          <w:tab w:leader="none" w:pos="1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Share</w:t>
      </w:r>
      <w:r>
        <w:rPr>
          <w:rFonts w:ascii="Arial" w:cs="Arial" w:eastAsia="Arial" w:hAnsi="Arial"/>
          <w:sz w:val="16"/>
          <w:szCs w:val="16"/>
          <w:color w:val="auto"/>
        </w:rPr>
        <w:t xml:space="preserve">” means a bookkeeping entry that records the equivalent of one share of Stock awarded pursuant to </w:t>
      </w:r>
      <w:r>
        <w:rPr>
          <w:rFonts w:ascii="Arial" w:cs="Arial" w:eastAsia="Arial" w:hAnsi="Arial"/>
          <w:sz w:val="16"/>
          <w:szCs w:val="16"/>
          <w:b w:val="1"/>
          <w:bCs w:val="1"/>
          <w:u w:val="single" w:color="auto"/>
          <w:color w:val="auto"/>
        </w:rPr>
        <w:t>Section 8</w:t>
      </w:r>
      <w:r>
        <w:rPr>
          <w:rFonts w:ascii="Arial" w:cs="Arial" w:eastAsia="Arial" w:hAnsi="Arial"/>
          <w:sz w:val="16"/>
          <w:szCs w:val="16"/>
          <w:color w:val="auto"/>
        </w:rPr>
        <w:t xml:space="preserve">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Plan.</w:t>
      </w:r>
    </w:p>
    <w:p>
      <w:pPr>
        <w:spacing w:after="0" w:line="206" w:lineRule="exact"/>
        <w:rPr>
          <w:rFonts w:ascii="Arial" w:cs="Arial" w:eastAsia="Arial" w:hAnsi="Arial"/>
          <w:sz w:val="16"/>
          <w:szCs w:val="16"/>
          <w:color w:val="auto"/>
        </w:rPr>
      </w:pPr>
    </w:p>
    <w:p>
      <w:pPr>
        <w:ind w:right="200" w:firstLine="987"/>
        <w:spacing w:after="0" w:line="282" w:lineRule="auto"/>
        <w:tabs>
          <w:tab w:leader="none" w:pos="1256"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w:t>
      </w:r>
      <w:r>
        <w:rPr>
          <w:rFonts w:ascii="Arial" w:cs="Arial" w:eastAsia="Arial" w:hAnsi="Arial"/>
          <w:sz w:val="18"/>
          <w:szCs w:val="18"/>
          <w:color w:val="auto"/>
        </w:rPr>
        <w:t xml:space="preserve">” means a bookkeeping entry awarded pursuant to </w:t>
      </w:r>
      <w:r>
        <w:rPr>
          <w:rFonts w:ascii="Arial" w:cs="Arial" w:eastAsia="Arial" w:hAnsi="Arial"/>
          <w:sz w:val="18"/>
          <w:szCs w:val="18"/>
          <w:b w:val="1"/>
          <w:bCs w:val="1"/>
          <w:u w:val="single" w:color="auto"/>
          <w:color w:val="auto"/>
        </w:rPr>
        <w:t>Section 8</w:t>
      </w:r>
      <w:r>
        <w:rPr>
          <w:rFonts w:ascii="Arial" w:cs="Arial" w:eastAsia="Arial" w:hAnsi="Arial"/>
          <w:sz w:val="18"/>
          <w:szCs w:val="18"/>
          <w:color w:val="auto"/>
        </w:rPr>
        <w:t xml:space="preserve"> of this Plan that records a unit equivalent to $1.00 or such other value as is determined by the Committee.</w:t>
      </w:r>
    </w:p>
    <w:p>
      <w:pPr>
        <w:spacing w:after="0" w:line="165" w:lineRule="exact"/>
        <w:rPr>
          <w:rFonts w:ascii="Arial" w:cs="Arial" w:eastAsia="Arial" w:hAnsi="Arial"/>
          <w:sz w:val="18"/>
          <w:szCs w:val="18"/>
          <w:color w:val="auto"/>
        </w:rPr>
      </w:pPr>
    </w:p>
    <w:p>
      <w:pPr>
        <w:ind w:right="400" w:firstLine="987"/>
        <w:spacing w:after="0" w:line="277" w:lineRule="auto"/>
        <w:tabs>
          <w:tab w:leader="none" w:pos="1256"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MagnaChip Semiconductor Corporation 2020 Equity and Incentive Compensation Plan, as may be amended or amended and restated from time to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7" w:name="page8"/>
    <w:bookmarkEnd w:id="7"/>
    <w:p>
      <w:pPr>
        <w:ind w:right="180" w:firstLine="987"/>
        <w:spacing w:after="0" w:line="342" w:lineRule="auto"/>
        <w:tabs>
          <w:tab w:leader="none" w:pos="1336"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Predecessor Plans</w:t>
      </w:r>
      <w:r>
        <w:rPr>
          <w:rFonts w:ascii="Arial" w:cs="Arial" w:eastAsia="Arial" w:hAnsi="Arial"/>
          <w:sz w:val="16"/>
          <w:szCs w:val="16"/>
          <w:color w:val="auto"/>
        </w:rPr>
        <w:t>” means the MagnaChip Semiconductor Corporation 2011 Equity Incentive Plan, as amended or amended and restated from time to time, and the MagnaChip Semiconductor LLC 2009 Common Unit Plan, as amended or amended and restated from time to time.</w:t>
      </w:r>
    </w:p>
    <w:p>
      <w:pPr>
        <w:spacing w:after="0" w:line="119" w:lineRule="exact"/>
        <w:rPr>
          <w:rFonts w:ascii="Arial" w:cs="Arial" w:eastAsia="Arial" w:hAnsi="Arial"/>
          <w:sz w:val="16"/>
          <w:szCs w:val="16"/>
          <w:color w:val="auto"/>
        </w:rPr>
      </w:pPr>
    </w:p>
    <w:p>
      <w:pPr>
        <w:ind w:right="140" w:firstLine="987"/>
        <w:spacing w:after="0" w:line="282" w:lineRule="auto"/>
        <w:tabs>
          <w:tab w:leader="none" w:pos="125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xml:space="preserve">” means Stock granted or sold pursuant to </w:t>
      </w:r>
      <w:r>
        <w:rPr>
          <w:rFonts w:ascii="Arial" w:cs="Arial" w:eastAsia="Arial" w:hAnsi="Arial"/>
          <w:sz w:val="18"/>
          <w:szCs w:val="18"/>
          <w:b w:val="1"/>
          <w:bCs w:val="1"/>
          <w:u w:val="single" w:color="auto"/>
          <w:color w:val="auto"/>
        </w:rPr>
        <w:t>Section 6</w:t>
      </w:r>
      <w:r>
        <w:rPr>
          <w:rFonts w:ascii="Arial" w:cs="Arial" w:eastAsia="Arial" w:hAnsi="Arial"/>
          <w:sz w:val="18"/>
          <w:szCs w:val="18"/>
          <w:color w:val="auto"/>
        </w:rPr>
        <w:t xml:space="preserve"> of this Plan as to which neither the substantial risk of forfeiture nor the prohibition on transfers has expired.</w:t>
      </w:r>
    </w:p>
    <w:p>
      <w:pPr>
        <w:spacing w:after="0" w:line="161" w:lineRule="exact"/>
        <w:rPr>
          <w:rFonts w:ascii="Arial" w:cs="Arial" w:eastAsia="Arial" w:hAnsi="Arial"/>
          <w:sz w:val="18"/>
          <w:szCs w:val="18"/>
          <w:color w:val="auto"/>
        </w:rPr>
      </w:pPr>
    </w:p>
    <w:p>
      <w:pPr>
        <w:ind w:right="880" w:firstLine="987"/>
        <w:spacing w:after="0" w:line="282" w:lineRule="auto"/>
        <w:tabs>
          <w:tab w:leader="none" w:pos="143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xml:space="preserve">” means an Award made pursuant to </w:t>
      </w:r>
      <w:r>
        <w:rPr>
          <w:rFonts w:ascii="Arial" w:cs="Arial" w:eastAsia="Arial" w:hAnsi="Arial"/>
          <w:sz w:val="18"/>
          <w:szCs w:val="18"/>
          <w:b w:val="1"/>
          <w:bCs w:val="1"/>
          <w:u w:val="single" w:color="auto"/>
          <w:color w:val="auto"/>
        </w:rPr>
        <w:t>Section 7</w:t>
      </w:r>
      <w:r>
        <w:rPr>
          <w:rFonts w:ascii="Arial" w:cs="Arial" w:eastAsia="Arial" w:hAnsi="Arial"/>
          <w:sz w:val="18"/>
          <w:szCs w:val="18"/>
          <w:color w:val="auto"/>
        </w:rPr>
        <w:t xml:space="preserve"> of this Plan of the right to receive Stock, cash or a combination thereof at the end of the applicable Restriction Period.</w:t>
      </w:r>
    </w:p>
    <w:p>
      <w:pPr>
        <w:spacing w:after="0" w:line="161" w:lineRule="exact"/>
        <w:rPr>
          <w:rFonts w:ascii="Arial" w:cs="Arial" w:eastAsia="Arial" w:hAnsi="Arial"/>
          <w:sz w:val="18"/>
          <w:szCs w:val="18"/>
          <w:color w:val="auto"/>
        </w:rPr>
      </w:pPr>
    </w:p>
    <w:p>
      <w:pPr>
        <w:ind w:left="1340" w:hanging="353"/>
        <w:spacing w:after="0"/>
        <w:tabs>
          <w:tab w:leader="none" w:pos="1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Restriction Period</w:t>
      </w:r>
      <w:r>
        <w:rPr>
          <w:rFonts w:ascii="Arial" w:cs="Arial" w:eastAsia="Arial" w:hAnsi="Arial"/>
          <w:sz w:val="16"/>
          <w:szCs w:val="16"/>
          <w:color w:val="auto"/>
        </w:rPr>
        <w:t xml:space="preserve">” means the period of time during which Restricted Stock Units are subject to restrictions, as provided in </w:t>
      </w:r>
      <w:r>
        <w:rPr>
          <w:rFonts w:ascii="Arial" w:cs="Arial" w:eastAsia="Arial" w:hAnsi="Arial"/>
          <w:sz w:val="16"/>
          <w:szCs w:val="16"/>
          <w:b w:val="1"/>
          <w:bCs w:val="1"/>
          <w:u w:val="single" w:color="auto"/>
          <w:color w:val="auto"/>
        </w:rPr>
        <w:t>Section 7</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this Plan.</w:t>
      </w:r>
    </w:p>
    <w:p>
      <w:pPr>
        <w:spacing w:after="0" w:line="210" w:lineRule="exact"/>
        <w:rPr>
          <w:rFonts w:ascii="Arial" w:cs="Arial" w:eastAsia="Arial" w:hAnsi="Arial"/>
          <w:sz w:val="16"/>
          <w:szCs w:val="16"/>
          <w:color w:val="auto"/>
        </w:rPr>
      </w:pPr>
    </w:p>
    <w:p>
      <w:pPr>
        <w:ind w:left="1340" w:hanging="353"/>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409A</w:t>
      </w:r>
      <w:r>
        <w:rPr>
          <w:rFonts w:ascii="Arial" w:cs="Arial" w:eastAsia="Arial" w:hAnsi="Arial"/>
          <w:sz w:val="18"/>
          <w:szCs w:val="18"/>
          <w:color w:val="auto"/>
        </w:rPr>
        <w:t>” means Section 409A of the Code.</w:t>
      </w:r>
    </w:p>
    <w:p>
      <w:pPr>
        <w:spacing w:after="0" w:line="225" w:lineRule="exact"/>
        <w:rPr>
          <w:rFonts w:ascii="Arial" w:cs="Arial" w:eastAsia="Arial" w:hAnsi="Arial"/>
          <w:sz w:val="18"/>
          <w:szCs w:val="18"/>
          <w:color w:val="auto"/>
        </w:rPr>
      </w:pPr>
    </w:p>
    <w:p>
      <w:pPr>
        <w:ind w:right="220" w:firstLine="987"/>
        <w:spacing w:after="0" w:line="277" w:lineRule="auto"/>
        <w:tabs>
          <w:tab w:leader="none" w:pos="133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409A Deferred Compensation</w:t>
      </w:r>
      <w:r>
        <w:rPr>
          <w:rFonts w:ascii="Arial" w:cs="Arial" w:eastAsia="Arial" w:hAnsi="Arial"/>
          <w:sz w:val="18"/>
          <w:szCs w:val="18"/>
          <w:color w:val="auto"/>
        </w:rPr>
        <w:t>” means compensation provided pursuant to an Award that constitutes nonqualified deferred compensation within the meaning of Section 409A.</w:t>
      </w:r>
    </w:p>
    <w:p>
      <w:pPr>
        <w:spacing w:after="0" w:line="170" w:lineRule="exact"/>
        <w:rPr>
          <w:rFonts w:ascii="Arial" w:cs="Arial" w:eastAsia="Arial" w:hAnsi="Arial"/>
          <w:sz w:val="18"/>
          <w:szCs w:val="18"/>
          <w:color w:val="auto"/>
        </w:rPr>
      </w:pPr>
    </w:p>
    <w:p>
      <w:pPr>
        <w:ind w:left="1340" w:hanging="353"/>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firstLine="987"/>
        <w:spacing w:after="0" w:line="288" w:lineRule="auto"/>
        <w:tabs>
          <w:tab w:leader="none" w:pos="1276"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Service</w:t>
      </w:r>
      <w:r>
        <w:rPr>
          <w:rFonts w:ascii="Arial" w:cs="Arial" w:eastAsia="Arial" w:hAnsi="Arial"/>
          <w:sz w:val="16"/>
          <w:szCs w:val="16"/>
          <w:color w:val="auto"/>
        </w:rPr>
        <w:t xml:space="preserve">” means, unless such term or an equivalent term is otherwise defined by the applicable Evidence of Award or other written agreement between a Participant and a Participating Company applicable to an Award, Participant’s employment or service with the Participating Company Group, whether as an Employee, a Director or a Consultant. Unless otherwise provided by the Committee, a Participant’s Service shall not be deemed to have terminated merely because of a change in the capacity in which the Participant renders such Service or a change in the Participating Company for which the Participant renders such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is no interruption or termination of the Participant’s Service. Furthermore, a Participant’s Service shall not be deemed to have been interrupted or terminated if the Participant takes any military leave, sick leave or other bona fide leave of absence approved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have discretion to determine the length of any such leave for the purposes of this definition.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168" w:lineRule="exact"/>
        <w:rPr>
          <w:rFonts w:ascii="Arial" w:cs="Arial" w:eastAsia="Arial" w:hAnsi="Arial"/>
          <w:sz w:val="16"/>
          <w:szCs w:val="16"/>
          <w:color w:val="auto"/>
        </w:rPr>
      </w:pPr>
    </w:p>
    <w:p>
      <w:pPr>
        <w:ind w:right="20" w:firstLine="987"/>
        <w:spacing w:after="0" w:line="277" w:lineRule="auto"/>
        <w:tabs>
          <w:tab w:leader="none" w:pos="129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Spread</w:t>
      </w:r>
      <w:r>
        <w:rPr>
          <w:rFonts w:ascii="Arial" w:cs="Arial" w:eastAsia="Arial" w:hAnsi="Arial"/>
          <w:sz w:val="18"/>
          <w:szCs w:val="18"/>
          <w:color w:val="auto"/>
        </w:rPr>
        <w:t>” means the excess of the Fair Market Value on the date when an Appreciation Right is exercised over the Base Price provided for with respect to the Appreciation Right.</w:t>
      </w:r>
    </w:p>
    <w:p>
      <w:pPr>
        <w:spacing w:after="0" w:line="170" w:lineRule="exact"/>
        <w:rPr>
          <w:rFonts w:ascii="Arial" w:cs="Arial" w:eastAsia="Arial" w:hAnsi="Arial"/>
          <w:sz w:val="18"/>
          <w:szCs w:val="18"/>
          <w:color w:val="auto"/>
        </w:rPr>
      </w:pPr>
    </w:p>
    <w:p>
      <w:pPr>
        <w:ind w:right="180" w:firstLine="987"/>
        <w:spacing w:after="0" w:line="277" w:lineRule="auto"/>
        <w:tabs>
          <w:tab w:leader="none" w:pos="125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xml:space="preserve">” means the common stock, par value $0.01 per share, of the Company or any security into which such common stock may be changed by reason of any transaction or event of the type referred to in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xml:space="preserve"> of this Plan.</w:t>
      </w:r>
    </w:p>
    <w:p>
      <w:pPr>
        <w:spacing w:after="0" w:line="170" w:lineRule="exact"/>
        <w:rPr>
          <w:rFonts w:ascii="Arial" w:cs="Arial" w:eastAsia="Arial" w:hAnsi="Arial"/>
          <w:sz w:val="18"/>
          <w:szCs w:val="18"/>
          <w:color w:val="auto"/>
        </w:rPr>
      </w:pPr>
    </w:p>
    <w:p>
      <w:pPr>
        <w:ind w:left="1340" w:hanging="353"/>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w:t>
      </w:r>
      <w:r>
        <w:rPr>
          <w:rFonts w:ascii="Arial" w:cs="Arial" w:eastAsia="Arial" w:hAnsi="Arial"/>
          <w:sz w:val="18"/>
          <w:szCs w:val="18"/>
          <w:color w:val="auto"/>
        </w:rPr>
        <w:t>” means an individual or entity that owns one or more shares of Stock.</w:t>
      </w:r>
    </w:p>
    <w:p>
      <w:pPr>
        <w:spacing w:after="0" w:line="225" w:lineRule="exact"/>
        <w:rPr>
          <w:rFonts w:ascii="Arial" w:cs="Arial" w:eastAsia="Arial" w:hAnsi="Arial"/>
          <w:sz w:val="18"/>
          <w:szCs w:val="18"/>
          <w:color w:val="auto"/>
        </w:rPr>
      </w:pPr>
    </w:p>
    <w:p>
      <w:pPr>
        <w:ind w:right="60" w:firstLine="987"/>
        <w:spacing w:after="0" w:line="293" w:lineRule="auto"/>
        <w:tabs>
          <w:tab w:leader="none" w:pos="1336"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xml:space="preserve">” 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now or hereafter, owned or controlled, directly or indirectly,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determining whether any person may be a Participant for purposes of any grant of Incentive Stock Options, “Subsidiary” means any corporation in which the Company at the time owns or controls, directly or indirectly,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8" w:name="page9"/>
    <w:bookmarkEnd w:id="8"/>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more than 50% of the total combined voting power of the then outstanding securities entitled to vote generally in the election of Directors in the case of the Company or members of the board of directors or similar body in the case of another entity represented by all classes of stock issued by such corporation.</w:t>
      </w:r>
    </w:p>
    <w:p>
      <w:pPr>
        <w:spacing w:after="0" w:line="180" w:lineRule="exact"/>
        <w:rPr>
          <w:sz w:val="20"/>
          <w:szCs w:val="20"/>
          <w:color w:val="auto"/>
        </w:rPr>
      </w:pPr>
    </w:p>
    <w:p>
      <w:pPr>
        <w:ind w:left="620" w:hanging="184"/>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Shares Available Under this Plan.</w:t>
      </w:r>
    </w:p>
    <w:p>
      <w:pPr>
        <w:spacing w:after="0" w:line="229" w:lineRule="exact"/>
        <w:rPr>
          <w:rFonts w:ascii="Arial" w:cs="Arial" w:eastAsia="Arial" w:hAnsi="Arial"/>
          <w:sz w:val="18"/>
          <w:szCs w:val="18"/>
          <w:color w:val="auto"/>
        </w:rPr>
      </w:pPr>
    </w:p>
    <w:p>
      <w:pPr>
        <w:ind w:left="1240" w:hanging="253"/>
        <w:spacing w:after="0"/>
        <w:tabs>
          <w:tab w:leader="none" w:pos="124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Maximum Shares Available Under this Plan</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1960" w:right="360" w:hanging="533"/>
        <w:spacing w:after="0" w:line="293" w:lineRule="auto"/>
        <w:tabs>
          <w:tab w:leader="none" w:pos="1960" w:val="left"/>
        </w:tabs>
        <w:numPr>
          <w:ilvl w:val="2"/>
          <w:numId w:val="9"/>
        </w:numPr>
        <w:rPr>
          <w:rFonts w:ascii="Arial" w:cs="Arial" w:eastAsia="Arial" w:hAnsi="Arial"/>
          <w:sz w:val="16"/>
          <w:szCs w:val="16"/>
          <w:color w:val="auto"/>
        </w:rPr>
      </w:pPr>
      <w:r>
        <w:rPr>
          <w:rFonts w:ascii="Arial" w:cs="Arial" w:eastAsia="Arial" w:hAnsi="Arial"/>
          <w:sz w:val="16"/>
          <w:szCs w:val="16"/>
          <w:color w:val="auto"/>
        </w:rPr>
        <w:t xml:space="preserve">Subject to adjustment as provided in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of this Plan and the share counting rules set forth in </w:t>
      </w:r>
      <w:r>
        <w:rPr>
          <w:rFonts w:ascii="Arial" w:cs="Arial" w:eastAsia="Arial" w:hAnsi="Arial"/>
          <w:sz w:val="16"/>
          <w:szCs w:val="16"/>
          <w:b w:val="1"/>
          <w:bCs w:val="1"/>
          <w:u w:val="single" w:color="auto"/>
          <w:color w:val="auto"/>
        </w:rPr>
        <w:t>Section 3(b)</w:t>
      </w:r>
      <w:r>
        <w:rPr>
          <w:rFonts w:ascii="Arial" w:cs="Arial" w:eastAsia="Arial" w:hAnsi="Arial"/>
          <w:sz w:val="16"/>
          <w:szCs w:val="16"/>
          <w:color w:val="auto"/>
        </w:rPr>
        <w:t xml:space="preserve"> of this Plan, the number of shares of Stock available under this Plan for Awards of (A) Options or Appreciation Rights,</w:t>
      </w:r>
    </w:p>
    <w:p>
      <w:pPr>
        <w:spacing w:after="0" w:line="1" w:lineRule="exact"/>
        <w:rPr>
          <w:rFonts w:ascii="Arial" w:cs="Arial" w:eastAsia="Arial" w:hAnsi="Arial"/>
          <w:sz w:val="16"/>
          <w:szCs w:val="16"/>
          <w:color w:val="auto"/>
        </w:rPr>
      </w:pPr>
    </w:p>
    <w:p>
      <w:pPr>
        <w:ind w:left="1960"/>
        <w:spacing w:after="0" w:line="251" w:lineRule="auto"/>
        <w:rPr>
          <w:rFonts w:ascii="Arial" w:cs="Arial" w:eastAsia="Arial" w:hAnsi="Arial"/>
          <w:sz w:val="16"/>
          <w:szCs w:val="16"/>
          <w:color w:val="auto"/>
        </w:rPr>
      </w:pPr>
      <w:r>
        <w:rPr>
          <w:rFonts w:ascii="Arial" w:cs="Arial" w:eastAsia="Arial" w:hAnsi="Arial"/>
          <w:sz w:val="18"/>
          <w:szCs w:val="18"/>
          <w:color w:val="auto"/>
        </w:rPr>
        <w:t xml:space="preserve">(B) Restricted Stock, (C) Restricted Stock Units, (D) Performance Shares or Performance Units, (E) Awards contemplated by </w:t>
      </w:r>
      <w:r>
        <w:rPr>
          <w:rFonts w:ascii="Arial" w:cs="Arial" w:eastAsia="Arial" w:hAnsi="Arial"/>
          <w:sz w:val="18"/>
          <w:szCs w:val="18"/>
          <w:b w:val="1"/>
          <w:bCs w:val="1"/>
          <w:u w:val="single" w:color="auto"/>
          <w:color w:val="auto"/>
        </w:rPr>
        <w:t>Section 9</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Plan, or (F) Dividend Equivalent Rights with respect to Awards made under this Plan will not exceed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aggregate (x) 1,309,000 shares of Stock, plus (y) the total number of shares remaining available for Awards under the MagnaChip Semiconductor Corporation 2011 Equity Incentive Plan, as amended or amended and restated from time to time, as of the Effective Date, plus (z) the Stock that is subject to Awards granted under this Plan or the Predecessor Plans that is added (or added back, as applicable) to the aggregate number of shares of Stock available under this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pursuant to the share counting rules of this Plan. Such shares may be shares of original issuance or treasury shares or a combination of the foregoing.</w:t>
      </w:r>
    </w:p>
    <w:p>
      <w:pPr>
        <w:spacing w:after="0" w:line="99" w:lineRule="exact"/>
        <w:rPr>
          <w:rFonts w:ascii="Arial" w:cs="Arial" w:eastAsia="Arial" w:hAnsi="Arial"/>
          <w:sz w:val="16"/>
          <w:szCs w:val="16"/>
          <w:color w:val="auto"/>
        </w:rPr>
      </w:pPr>
    </w:p>
    <w:p>
      <w:pPr>
        <w:ind w:left="1960" w:right="200" w:hanging="533"/>
        <w:spacing w:after="0" w:line="266"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 xml:space="preserve">Subject to the share counting rules set forth in </w:t>
      </w:r>
      <w:r>
        <w:rPr>
          <w:rFonts w:ascii="Arial" w:cs="Arial" w:eastAsia="Arial" w:hAnsi="Arial"/>
          <w:sz w:val="18"/>
          <w:szCs w:val="18"/>
          <w:b w:val="1"/>
          <w:bCs w:val="1"/>
          <w:u w:val="single" w:color="auto"/>
          <w:color w:val="auto"/>
        </w:rPr>
        <w:t>Section 3(b)</w:t>
      </w:r>
      <w:r>
        <w:rPr>
          <w:rFonts w:ascii="Arial" w:cs="Arial" w:eastAsia="Arial" w:hAnsi="Arial"/>
          <w:sz w:val="18"/>
          <w:szCs w:val="18"/>
          <w:color w:val="auto"/>
        </w:rPr>
        <w:t xml:space="preserve"> of this Plan, the aggregate number of shares of Stock available under </w:t>
      </w:r>
      <w:r>
        <w:rPr>
          <w:rFonts w:ascii="Arial" w:cs="Arial" w:eastAsia="Arial" w:hAnsi="Arial"/>
          <w:sz w:val="18"/>
          <w:szCs w:val="18"/>
          <w:b w:val="1"/>
          <w:bCs w:val="1"/>
          <w:u w:val="single" w:color="auto"/>
          <w:color w:val="auto"/>
        </w:rPr>
        <w:t>Section 3(a)(i)</w:t>
      </w:r>
      <w:r>
        <w:rPr>
          <w:rFonts w:ascii="Arial" w:cs="Arial" w:eastAsia="Arial" w:hAnsi="Arial"/>
          <w:sz w:val="18"/>
          <w:szCs w:val="18"/>
          <w:color w:val="auto"/>
        </w:rPr>
        <w:t xml:space="preserve"> of this Plan will be reduced by one share of Stock for every one share of Stock subject to an Award granted under this Plan.</w:t>
      </w:r>
    </w:p>
    <w:p>
      <w:pPr>
        <w:spacing w:after="0" w:line="179" w:lineRule="exact"/>
        <w:rPr>
          <w:rFonts w:ascii="Arial" w:cs="Arial" w:eastAsia="Arial" w:hAnsi="Arial"/>
          <w:sz w:val="18"/>
          <w:szCs w:val="18"/>
          <w:color w:val="auto"/>
        </w:rPr>
      </w:pPr>
    </w:p>
    <w:p>
      <w:pPr>
        <w:ind w:left="1240" w:hanging="253"/>
        <w:spacing w:after="0"/>
        <w:tabs>
          <w:tab w:leader="none" w:pos="124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Share Counting Rules</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1960" w:right="100" w:hanging="533"/>
        <w:spacing w:after="0" w:line="314" w:lineRule="auto"/>
        <w:tabs>
          <w:tab w:leader="none" w:pos="1960" w:val="left"/>
        </w:tabs>
        <w:numPr>
          <w:ilvl w:val="2"/>
          <w:numId w:val="9"/>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b w:val="1"/>
          <w:bCs w:val="1"/>
          <w:u w:val="single" w:color="auto"/>
          <w:color w:val="auto"/>
        </w:rPr>
        <w:t>Section 22</w:t>
      </w:r>
      <w:r>
        <w:rPr>
          <w:rFonts w:ascii="Arial" w:cs="Arial" w:eastAsia="Arial" w:hAnsi="Arial"/>
          <w:sz w:val="16"/>
          <w:szCs w:val="16"/>
          <w:color w:val="auto"/>
        </w:rPr>
        <w:t xml:space="preserve"> of this Plan, if any Award granted under this Plan (in whole or in part) is cancelled or forfeited, expires, is settled for cash, or is unearned, the Stock subject to such Award will, to the extent of such cancellation, forfeiture, expiration, cash settlement, or unearned amount, again be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above.</w:t>
      </w:r>
    </w:p>
    <w:p>
      <w:pPr>
        <w:spacing w:after="0" w:line="51" w:lineRule="exact"/>
        <w:rPr>
          <w:rFonts w:ascii="Arial" w:cs="Arial" w:eastAsia="Arial" w:hAnsi="Arial"/>
          <w:sz w:val="16"/>
          <w:szCs w:val="16"/>
          <w:color w:val="auto"/>
        </w:rPr>
      </w:pPr>
    </w:p>
    <w:p>
      <w:pPr>
        <w:ind w:left="1960" w:right="60" w:hanging="533"/>
        <w:spacing w:after="0" w:line="259"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If, after the Effective Date, any Stock subject to an award granted under the Predecessor Plans is forfeited, or an award granted under the Predecessor Plans (in whole or in part) is cancelled or forfeited, expires, is settled for cash, or is unearned, the Stock subject to such award will, to the extent of such cancellation, forfeiture, expiration, cash settlement, or unearned amount, be available for Awards under this Plan.</w:t>
      </w:r>
    </w:p>
    <w:p>
      <w:pPr>
        <w:spacing w:after="0" w:line="92" w:lineRule="exact"/>
        <w:rPr>
          <w:rFonts w:ascii="Arial" w:cs="Arial" w:eastAsia="Arial" w:hAnsi="Arial"/>
          <w:sz w:val="18"/>
          <w:szCs w:val="18"/>
          <w:color w:val="auto"/>
        </w:rPr>
      </w:pPr>
    </w:p>
    <w:p>
      <w:pPr>
        <w:ind w:left="1960" w:right="20" w:hanging="533"/>
        <w:spacing w:after="0" w:line="289" w:lineRule="auto"/>
        <w:tabs>
          <w:tab w:leader="none" w:pos="1960" w:val="left"/>
        </w:tabs>
        <w:numPr>
          <w:ilvl w:val="2"/>
          <w:numId w:val="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Plan: (A) Stock withheld by the Company, tendered or otherwise used in payment of the Exercise Price of an Option will not be added (or added back, as applicable) to the aggregate number of shares of Stock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 (B) Stock withheld by the Company, tendered or otherwise used to satisfy tax withholding will not be added (or added back, as applicable) to the aggregate number of shares of Stock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 (C) Stock subject to a share-settled Appreciation Right that is not actually issued in connection with the settlement of such Appreciation Right on the exercise thereof will not be added back to the aggregate number of shares of Stock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 and (D) Stock reacquired by the Company on the open market or otherwise using cash proceeds from the exercise of Options will not be added (or added back, as applicable) to the aggregate number of shares of Stock available under </w:t>
      </w:r>
      <w:r>
        <w:rPr>
          <w:rFonts w:ascii="Arial" w:cs="Arial" w:eastAsia="Arial" w:hAnsi="Arial"/>
          <w:sz w:val="16"/>
          <w:szCs w:val="16"/>
          <w:b w:val="1"/>
          <w:bCs w:val="1"/>
          <w:u w:val="single" w:color="auto"/>
          <w:color w:val="auto"/>
        </w:rPr>
        <w:t>Section 3(a)(i)</w:t>
      </w:r>
      <w:r>
        <w:rPr>
          <w:rFonts w:ascii="Arial" w:cs="Arial" w:eastAsia="Arial" w:hAnsi="Arial"/>
          <w:sz w:val="16"/>
          <w:szCs w:val="16"/>
          <w:color w:val="auto"/>
        </w:rPr>
        <w:t xml:space="preserve"> of this Plan.</w:t>
      </w:r>
    </w:p>
    <w:p>
      <w:pPr>
        <w:spacing w:after="0" w:line="71" w:lineRule="exact"/>
        <w:rPr>
          <w:rFonts w:ascii="Arial" w:cs="Arial" w:eastAsia="Arial" w:hAnsi="Arial"/>
          <w:sz w:val="16"/>
          <w:szCs w:val="16"/>
          <w:color w:val="auto"/>
        </w:rPr>
      </w:pPr>
    </w:p>
    <w:p>
      <w:pPr>
        <w:ind w:left="1960" w:right="40" w:hanging="533"/>
        <w:spacing w:after="0" w:line="308" w:lineRule="auto"/>
        <w:tabs>
          <w:tab w:leader="none" w:pos="1960" w:val="left"/>
        </w:tabs>
        <w:numPr>
          <w:ilvl w:val="2"/>
          <w:numId w:val="9"/>
        </w:numPr>
        <w:rPr>
          <w:rFonts w:ascii="Arial" w:cs="Arial" w:eastAsia="Arial" w:hAnsi="Arial"/>
          <w:sz w:val="17"/>
          <w:szCs w:val="17"/>
          <w:color w:val="auto"/>
        </w:rPr>
      </w:pPr>
      <w:r>
        <w:rPr>
          <w:rFonts w:ascii="Arial" w:cs="Arial" w:eastAsia="Arial" w:hAnsi="Arial"/>
          <w:sz w:val="17"/>
          <w:szCs w:val="17"/>
          <w:color w:val="auto"/>
        </w:rPr>
        <w:t xml:space="preserve">If, under this Plan, a Participant has elected to give up the right to receive compensation in exchange for Stock based on Fair Market Value, such Stock will not count against the aggregate limit under </w:t>
      </w:r>
      <w:r>
        <w:rPr>
          <w:rFonts w:ascii="Arial" w:cs="Arial" w:eastAsia="Arial" w:hAnsi="Arial"/>
          <w:sz w:val="17"/>
          <w:szCs w:val="17"/>
          <w:b w:val="1"/>
          <w:bCs w:val="1"/>
          <w:u w:val="single" w:color="auto"/>
          <w:color w:val="auto"/>
        </w:rPr>
        <w:t>Section 3(a)(i)</w:t>
      </w:r>
      <w:r>
        <w:rPr>
          <w:rFonts w:ascii="Arial" w:cs="Arial" w:eastAsia="Arial" w:hAnsi="Arial"/>
          <w:sz w:val="17"/>
          <w:szCs w:val="17"/>
          <w:color w:val="auto"/>
        </w:rPr>
        <w:t xml:space="preserve"> of this Plan.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9" w:name="page10"/>
    <w:bookmarkEnd w:id="9"/>
    <w:p>
      <w:pPr>
        <w:ind w:left="4" w:right="560" w:firstLine="987"/>
        <w:spacing w:after="0" w:line="263" w:lineRule="auto"/>
        <w:tabs>
          <w:tab w:leader="none" w:pos="1240" w:val="left"/>
        </w:tabs>
        <w:numPr>
          <w:ilvl w:val="2"/>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Limit on Incentive Stock Options</w:t>
      </w:r>
      <w:r>
        <w:rPr>
          <w:rFonts w:ascii="Arial" w:cs="Arial" w:eastAsia="Arial" w:hAnsi="Arial"/>
          <w:sz w:val="18"/>
          <w:szCs w:val="18"/>
          <w:color w:val="auto"/>
        </w:rPr>
        <w:t xml:space="preserve">. Notwithstanding anything to the contrary contained in this Plan, and subject to adjustment as provided in </w:t>
      </w:r>
      <w:r>
        <w:rPr>
          <w:rFonts w:ascii="Arial" w:cs="Arial" w:eastAsia="Arial" w:hAnsi="Arial"/>
          <w:sz w:val="18"/>
          <w:szCs w:val="18"/>
          <w:b w:val="1"/>
          <w:bCs w:val="1"/>
          <w:u w:val="single" w:color="auto"/>
          <w:color w:val="auto"/>
        </w:rPr>
        <w:t>Section 11</w:t>
      </w:r>
      <w:r>
        <w:rPr>
          <w:rFonts w:ascii="Arial" w:cs="Arial" w:eastAsia="Arial" w:hAnsi="Arial"/>
          <w:sz w:val="18"/>
          <w:szCs w:val="18"/>
          <w:color w:val="auto"/>
        </w:rPr>
        <w:t xml:space="preserve"> of this Plan, the aggregate number of shares of Stock actually issued or transferred by the Company upon the exercise of Incentive Stock Options will not exceed 1,309,000 shares of Stock.</w:t>
      </w:r>
    </w:p>
    <w:p>
      <w:pPr>
        <w:spacing w:after="0" w:line="183" w:lineRule="exact"/>
        <w:rPr>
          <w:rFonts w:ascii="Arial" w:cs="Arial" w:eastAsia="Arial" w:hAnsi="Arial"/>
          <w:sz w:val="18"/>
          <w:szCs w:val="18"/>
          <w:color w:val="auto"/>
        </w:rPr>
      </w:pPr>
    </w:p>
    <w:p>
      <w:pPr>
        <w:ind w:left="4" w:right="120" w:firstLine="987"/>
        <w:spacing w:after="0" w:line="259" w:lineRule="auto"/>
        <w:tabs>
          <w:tab w:leader="none" w:pos="1250" w:val="left"/>
        </w:tabs>
        <w:numPr>
          <w:ilvl w:val="2"/>
          <w:numId w:val="10"/>
        </w:numPr>
        <w:rPr>
          <w:rFonts w:ascii="Arial" w:cs="Arial" w:eastAsia="Arial" w:hAnsi="Arial"/>
          <w:sz w:val="18"/>
          <w:szCs w:val="18"/>
          <w:color w:val="auto"/>
        </w:rPr>
      </w:pPr>
      <w:r>
        <w:rPr>
          <w:rFonts w:ascii="Arial" w:cs="Arial" w:eastAsia="Arial" w:hAnsi="Arial"/>
          <w:sz w:val="18"/>
          <w:szCs w:val="18"/>
          <w:u w:val="single" w:color="auto"/>
          <w:color w:val="auto"/>
        </w:rPr>
        <w:t>Non-Employee Director Compensation Limit</w:t>
      </w:r>
      <w:r>
        <w:rPr>
          <w:rFonts w:ascii="Arial" w:cs="Arial" w:eastAsia="Arial" w:hAnsi="Arial"/>
          <w:sz w:val="18"/>
          <w:szCs w:val="18"/>
          <w:color w:val="auto"/>
        </w:rPr>
        <w:t>. Notwithstanding anything to the contrary contained in this Plan, in no event will any non-employee Director in any one calendar year be granted compensation for such Service having an aggregate maximum value (measured at the Date of Grant as applicable, and calculating the value of any Awards based on the grant date fair value for financial reporting purposes) in excess of $650,000.</w:t>
      </w:r>
    </w:p>
    <w:p>
      <w:pPr>
        <w:spacing w:after="0" w:line="182" w:lineRule="exact"/>
        <w:rPr>
          <w:rFonts w:ascii="Arial" w:cs="Arial" w:eastAsia="Arial" w:hAnsi="Arial"/>
          <w:sz w:val="18"/>
          <w:szCs w:val="18"/>
          <w:color w:val="auto"/>
        </w:rPr>
      </w:pPr>
    </w:p>
    <w:p>
      <w:pPr>
        <w:ind w:left="4" w:firstLine="436"/>
        <w:spacing w:after="0" w:line="266" w:lineRule="auto"/>
        <w:tabs>
          <w:tab w:leader="none" w:pos="624"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Options. </w:t>
      </w:r>
      <w:r>
        <w:rPr>
          <w:rFonts w:ascii="Arial" w:cs="Arial" w:eastAsia="Arial" w:hAnsi="Arial"/>
          <w:sz w:val="18"/>
          <w:szCs w:val="18"/>
          <w:color w:val="auto"/>
        </w:rPr>
        <w:t>The Committee may, from time to time and upon such terms and conditions as it may determine, authorize the granting to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of Options. Each such grant may utilize any or all of the authorizations, and will be subject to all of the requirements, contained in the following provisions:</w:t>
      </w:r>
    </w:p>
    <w:p>
      <w:pPr>
        <w:spacing w:after="0" w:line="67" w:lineRule="exact"/>
        <w:rPr>
          <w:rFonts w:ascii="Arial" w:cs="Arial" w:eastAsia="Arial" w:hAnsi="Arial"/>
          <w:sz w:val="18"/>
          <w:szCs w:val="18"/>
          <w:color w:val="auto"/>
        </w:rPr>
      </w:pPr>
    </w:p>
    <w:p>
      <w:pPr>
        <w:ind w:left="1244" w:hanging="253"/>
        <w:spacing w:after="0"/>
        <w:tabs>
          <w:tab w:leader="none" w:pos="1244" w:val="left"/>
        </w:tabs>
        <w:numPr>
          <w:ilvl w:val="2"/>
          <w:numId w:val="11"/>
        </w:numPr>
        <w:rPr>
          <w:rFonts w:ascii="Arial" w:cs="Arial" w:eastAsia="Arial" w:hAnsi="Arial"/>
          <w:sz w:val="16"/>
          <w:szCs w:val="16"/>
          <w:color w:val="auto"/>
        </w:rPr>
      </w:pPr>
      <w:r>
        <w:rPr>
          <w:rFonts w:ascii="Arial" w:cs="Arial" w:eastAsia="Arial" w:hAnsi="Arial"/>
          <w:sz w:val="16"/>
          <w:szCs w:val="16"/>
          <w:color w:val="auto"/>
        </w:rPr>
        <w:t xml:space="preserve">Each grant will specify the number of shares of Stock to which it pertains subject to the limitations set forth in </w:t>
      </w:r>
      <w:r>
        <w:rPr>
          <w:rFonts w:ascii="Arial" w:cs="Arial" w:eastAsia="Arial" w:hAnsi="Arial"/>
          <w:sz w:val="16"/>
          <w:szCs w:val="16"/>
          <w:b w:val="1"/>
          <w:bCs w:val="1"/>
          <w:u w:val="single" w:color="auto"/>
          <w:color w:val="auto"/>
        </w:rPr>
        <w:t>Section 3</w:t>
      </w:r>
      <w:r>
        <w:rPr>
          <w:rFonts w:ascii="Arial" w:cs="Arial" w:eastAsia="Arial" w:hAnsi="Arial"/>
          <w:sz w:val="16"/>
          <w:szCs w:val="16"/>
          <w:color w:val="auto"/>
        </w:rPr>
        <w:t xml:space="preserve"> of this Plan.</w:t>
      </w:r>
    </w:p>
    <w:p>
      <w:pPr>
        <w:spacing w:after="0" w:line="248" w:lineRule="exact"/>
        <w:rPr>
          <w:rFonts w:ascii="Arial" w:cs="Arial" w:eastAsia="Arial" w:hAnsi="Arial"/>
          <w:sz w:val="16"/>
          <w:szCs w:val="16"/>
          <w:color w:val="auto"/>
        </w:rPr>
      </w:pPr>
    </w:p>
    <w:p>
      <w:pPr>
        <w:ind w:left="4" w:right="80" w:firstLine="987"/>
        <w:spacing w:after="0" w:line="282" w:lineRule="auto"/>
        <w:tabs>
          <w:tab w:leader="none" w:pos="1250" w:val="left"/>
        </w:tabs>
        <w:numPr>
          <w:ilvl w:val="2"/>
          <w:numId w:val="11"/>
        </w:numPr>
        <w:rPr>
          <w:rFonts w:ascii="Arial" w:cs="Arial" w:eastAsia="Arial" w:hAnsi="Arial"/>
          <w:sz w:val="18"/>
          <w:szCs w:val="18"/>
          <w:color w:val="auto"/>
        </w:rPr>
      </w:pPr>
      <w:r>
        <w:rPr>
          <w:rFonts w:ascii="Arial" w:cs="Arial" w:eastAsia="Arial" w:hAnsi="Arial"/>
          <w:sz w:val="18"/>
          <w:szCs w:val="18"/>
          <w:color w:val="auto"/>
        </w:rPr>
        <w:t xml:space="preserve">Each grant will specify an Exercise Price per share of Stock, which Exercise Price (except with respect to Awards under </w:t>
      </w:r>
      <w:r>
        <w:rPr>
          <w:rFonts w:ascii="Arial" w:cs="Arial" w:eastAsia="Arial" w:hAnsi="Arial"/>
          <w:sz w:val="18"/>
          <w:szCs w:val="18"/>
          <w:b w:val="1"/>
          <w:bCs w:val="1"/>
          <w:u w:val="single" w:color="auto"/>
          <w:color w:val="auto"/>
        </w:rPr>
        <w:t>Section 22</w:t>
      </w:r>
      <w:r>
        <w:rPr>
          <w:rFonts w:ascii="Arial" w:cs="Arial" w:eastAsia="Arial" w:hAnsi="Arial"/>
          <w:sz w:val="18"/>
          <w:szCs w:val="18"/>
          <w:color w:val="auto"/>
        </w:rPr>
        <w:t xml:space="preserve"> of this Plan) may not be less than the Fair Market Value on the Date of Grant.</w:t>
      </w:r>
    </w:p>
    <w:p>
      <w:pPr>
        <w:spacing w:after="0" w:line="165" w:lineRule="exact"/>
        <w:rPr>
          <w:rFonts w:ascii="Arial" w:cs="Arial" w:eastAsia="Arial" w:hAnsi="Arial"/>
          <w:sz w:val="18"/>
          <w:szCs w:val="18"/>
          <w:color w:val="auto"/>
        </w:rPr>
      </w:pPr>
    </w:p>
    <w:p>
      <w:pPr>
        <w:ind w:left="4" w:right="40" w:firstLine="987"/>
        <w:spacing w:after="0" w:line="285" w:lineRule="auto"/>
        <w:tabs>
          <w:tab w:leader="none" w:pos="1240" w:val="left"/>
        </w:tabs>
        <w:numPr>
          <w:ilvl w:val="2"/>
          <w:numId w:val="11"/>
        </w:numPr>
        <w:rPr>
          <w:rFonts w:ascii="Arial" w:cs="Arial" w:eastAsia="Arial" w:hAnsi="Arial"/>
          <w:sz w:val="16"/>
          <w:szCs w:val="16"/>
          <w:color w:val="auto"/>
        </w:rPr>
      </w:pPr>
      <w:r>
        <w:rPr>
          <w:rFonts w:ascii="Arial" w:cs="Arial" w:eastAsia="Arial" w:hAnsi="Arial"/>
          <w:sz w:val="16"/>
          <w:szCs w:val="16"/>
          <w:color w:val="auto"/>
        </w:rPr>
        <w:t>Each grant will specify whether the Exercise Price will be payable (i) in cash, by check acceptable to the Company or by wire transfer of immediately available funds, (ii) by the actual or constructive transfer to the Company of Stock owned by the Optionee having a value at the time of exercise equal to the total Exercise Price, (iii) subject to any conditions or limitations established by the Committee, by the withholding of Stock otherwise issuable upon exercise of an Option pursuant to a “net exercise” arrangement (it being understood that, solely for purposes of determining the number of treasury shares held by the Company, the Stock so withheld will not be treated as issued and acquired by the Company upon such exercise),</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a combination of such methods of payment, or (v) by such other methods as may be approved by the Committee.</w:t>
      </w:r>
    </w:p>
    <w:p>
      <w:pPr>
        <w:spacing w:after="0" w:line="210" w:lineRule="exact"/>
        <w:rPr>
          <w:rFonts w:ascii="Arial" w:cs="Arial" w:eastAsia="Arial" w:hAnsi="Arial"/>
          <w:sz w:val="18"/>
          <w:szCs w:val="18"/>
          <w:color w:val="auto"/>
        </w:rPr>
      </w:pPr>
    </w:p>
    <w:p>
      <w:pPr>
        <w:ind w:left="4" w:right="140" w:firstLine="987"/>
        <w:spacing w:after="0" w:line="277" w:lineRule="auto"/>
        <w:tabs>
          <w:tab w:leader="none" w:pos="125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the extent permitted by law, any grant may provide for deferred payment of the Exercise Price from the proceeds of sale through a bank or broker on a date satisfactory to the Company of some or all of the Stock to which such exercise relates.</w:t>
      </w:r>
    </w:p>
    <w:p>
      <w:pPr>
        <w:spacing w:after="0" w:line="170" w:lineRule="exact"/>
        <w:rPr>
          <w:rFonts w:ascii="Arial" w:cs="Arial" w:eastAsia="Arial" w:hAnsi="Arial"/>
          <w:sz w:val="18"/>
          <w:szCs w:val="18"/>
          <w:color w:val="auto"/>
        </w:rPr>
      </w:pPr>
    </w:p>
    <w:p>
      <w:pPr>
        <w:ind w:left="4" w:right="40" w:firstLine="987"/>
        <w:spacing w:after="0" w:line="286" w:lineRule="auto"/>
        <w:tabs>
          <w:tab w:leader="none" w:pos="1240" w:val="left"/>
        </w:tabs>
        <w:numPr>
          <w:ilvl w:val="2"/>
          <w:numId w:val="12"/>
        </w:numPr>
        <w:rPr>
          <w:rFonts w:ascii="Arial" w:cs="Arial" w:eastAsia="Arial" w:hAnsi="Arial"/>
          <w:sz w:val="17"/>
          <w:szCs w:val="17"/>
          <w:color w:val="auto"/>
        </w:rPr>
      </w:pPr>
      <w:r>
        <w:rPr>
          <w:rFonts w:ascii="Arial" w:cs="Arial" w:eastAsia="Arial" w:hAnsi="Arial"/>
          <w:sz w:val="17"/>
          <w:szCs w:val="17"/>
          <w:color w:val="auto"/>
        </w:rPr>
        <w:t>Each grant will specify the period or periods of continuous Service by the Optionee with the Participating Company Group, if any, that is necessary before any Options or installments thereof will vest. Options may provide for continued vesting or the earlier vesting of such Options, including in the event of the retirement, death, Disability or termination of Service of a Participant or in the event of a Change in Control.</w:t>
      </w:r>
    </w:p>
    <w:p>
      <w:pPr>
        <w:spacing w:after="0" w:line="165" w:lineRule="exact"/>
        <w:rPr>
          <w:rFonts w:ascii="Arial" w:cs="Arial" w:eastAsia="Arial" w:hAnsi="Arial"/>
          <w:sz w:val="17"/>
          <w:szCs w:val="17"/>
          <w:color w:val="auto"/>
        </w:rPr>
      </w:pPr>
    </w:p>
    <w:p>
      <w:pPr>
        <w:ind w:left="1224" w:hanging="233"/>
        <w:spacing w:after="0"/>
        <w:tabs>
          <w:tab w:leader="none" w:pos="1224"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Any grant of Options may specify Management Objectives regarding the vesting of such rights.</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2"/>
          <w:numId w:val="12"/>
        </w:numPr>
        <w:rPr>
          <w:rFonts w:ascii="Arial" w:cs="Arial" w:eastAsia="Arial" w:hAnsi="Arial"/>
          <w:sz w:val="17"/>
          <w:szCs w:val="17"/>
          <w:color w:val="auto"/>
        </w:rPr>
      </w:pPr>
      <w:r>
        <w:rPr>
          <w:rFonts w:ascii="Arial" w:cs="Arial" w:eastAsia="Arial" w:hAnsi="Arial"/>
          <w:sz w:val="17"/>
          <w:szCs w:val="17"/>
          <w:color w:val="auto"/>
        </w:rPr>
        <w:t>Options granted under this Plan may be (i) Incentive Stock Options (ii) Nonstatutory Stock Options or (iii) combinations of the</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foregoing.</w:t>
      </w:r>
    </w:p>
    <w:p>
      <w:pPr>
        <w:spacing w:after="0" w:line="210" w:lineRule="exact"/>
        <w:rPr>
          <w:rFonts w:ascii="Arial" w:cs="Arial" w:eastAsia="Arial" w:hAnsi="Arial"/>
          <w:sz w:val="17"/>
          <w:szCs w:val="17"/>
          <w:color w:val="auto"/>
        </w:rPr>
      </w:pPr>
    </w:p>
    <w:p>
      <w:pPr>
        <w:ind w:left="4" w:right="140" w:firstLine="987"/>
        <w:spacing w:after="0" w:line="277" w:lineRule="auto"/>
        <w:tabs>
          <w:tab w:leader="none" w:pos="1250" w:val="left"/>
        </w:tabs>
        <w:numPr>
          <w:ilvl w:val="2"/>
          <w:numId w:val="12"/>
        </w:numPr>
        <w:rPr>
          <w:rFonts w:ascii="Arial" w:cs="Arial" w:eastAsia="Arial" w:hAnsi="Arial"/>
          <w:sz w:val="18"/>
          <w:szCs w:val="18"/>
          <w:color w:val="auto"/>
        </w:rPr>
      </w:pPr>
      <w:r>
        <w:rPr>
          <w:rFonts w:ascii="Arial" w:cs="Arial" w:eastAsia="Arial" w:hAnsi="Arial"/>
          <w:sz w:val="18"/>
          <w:szCs w:val="18"/>
          <w:color w:val="auto"/>
        </w:rPr>
        <w:t>No Option will be exercisable more than 10 years from the Date of Grant. The Committee may provide in any Evidence of Award for the automatic exercise of an Option upon such terms and conditions as established by the Committee.</w:t>
      </w:r>
    </w:p>
    <w:p>
      <w:pPr>
        <w:spacing w:after="0" w:line="170" w:lineRule="exact"/>
        <w:rPr>
          <w:rFonts w:ascii="Arial" w:cs="Arial" w:eastAsia="Arial" w:hAnsi="Arial"/>
          <w:sz w:val="18"/>
          <w:szCs w:val="18"/>
          <w:color w:val="auto"/>
        </w:rPr>
      </w:pPr>
    </w:p>
    <w:p>
      <w:pPr>
        <w:ind w:left="1204" w:hanging="213"/>
        <w:spacing w:after="0"/>
        <w:tabs>
          <w:tab w:leader="none" w:pos="1204" w:val="left"/>
        </w:tabs>
        <w:numPr>
          <w:ilvl w:val="2"/>
          <w:numId w:val="12"/>
        </w:numPr>
        <w:rPr>
          <w:rFonts w:ascii="Arial" w:cs="Arial" w:eastAsia="Arial" w:hAnsi="Arial"/>
          <w:sz w:val="18"/>
          <w:szCs w:val="18"/>
          <w:color w:val="auto"/>
        </w:rPr>
      </w:pPr>
      <w:r>
        <w:rPr>
          <w:rFonts w:ascii="Arial" w:cs="Arial" w:eastAsia="Arial" w:hAnsi="Arial"/>
          <w:sz w:val="18"/>
          <w:szCs w:val="18"/>
          <w:color w:val="auto"/>
        </w:rPr>
        <w:t>Options granted under this Plan may not provide for any dividends or Dividend Equivalent Rights thereon.</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10" w:name="page11"/>
    <w:bookmarkEnd w:id="10"/>
    <w:p>
      <w:pPr>
        <w:ind w:left="-20" w:firstLine="987"/>
        <w:spacing w:after="0" w:line="277" w:lineRule="auto"/>
        <w:tabs>
          <w:tab w:leader="none" w:pos="1186" w:val="left"/>
        </w:tabs>
        <w:numPr>
          <w:ilvl w:val="1"/>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grant of Options will be evidenced by an Evidence of Award. Each Evidence of Award will be subject to this Plan and will contain such terms and provisions, consistent with this Plan, as the Committee may approve.</w:t>
      </w:r>
    </w:p>
    <w:p>
      <w:pPr>
        <w:spacing w:after="0" w:line="166" w:lineRule="exact"/>
        <w:rPr>
          <w:rFonts w:ascii="Arial" w:cs="Arial" w:eastAsia="Arial" w:hAnsi="Arial"/>
          <w:sz w:val="18"/>
          <w:szCs w:val="18"/>
          <w:color w:val="auto"/>
        </w:rPr>
      </w:pPr>
    </w:p>
    <w:p>
      <w:pPr>
        <w:ind w:left="600" w:hanging="184"/>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Appreciation Rights.</w:t>
      </w:r>
    </w:p>
    <w:p>
      <w:pPr>
        <w:spacing w:after="0" w:line="229" w:lineRule="exact"/>
        <w:rPr>
          <w:rFonts w:ascii="Arial" w:cs="Arial" w:eastAsia="Arial" w:hAnsi="Arial"/>
          <w:sz w:val="18"/>
          <w:szCs w:val="18"/>
          <w:color w:val="auto"/>
        </w:rPr>
      </w:pPr>
    </w:p>
    <w:p>
      <w:pPr>
        <w:ind w:left="-20" w:right="20" w:firstLine="987"/>
        <w:spacing w:after="0" w:line="263" w:lineRule="auto"/>
        <w:tabs>
          <w:tab w:leader="none" w:pos="1216"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Committee may, from time to time and upon such terms and conditions as it may determine, authorize the granting to any Participant of Appreciation Rights. An Appreciation Right will be the right of the Participant to receive from the Company an amount determined by the Committee, which will be expressed as a percentage of the Spread (not exceeding 100%) at the time of exercise.</w:t>
      </w:r>
    </w:p>
    <w:p>
      <w:pPr>
        <w:spacing w:after="0" w:line="183" w:lineRule="exact"/>
        <w:rPr>
          <w:rFonts w:ascii="Arial" w:cs="Arial" w:eastAsia="Arial" w:hAnsi="Arial"/>
          <w:sz w:val="18"/>
          <w:szCs w:val="18"/>
          <w:color w:val="auto"/>
        </w:rPr>
      </w:pPr>
    </w:p>
    <w:p>
      <w:pPr>
        <w:ind w:left="-20" w:right="100" w:firstLine="987"/>
        <w:spacing w:after="0" w:line="277" w:lineRule="auto"/>
        <w:tabs>
          <w:tab w:leader="none" w:pos="1226" w:val="left"/>
        </w:tabs>
        <w:numPr>
          <w:ilvl w:val="1"/>
          <w:numId w:val="14"/>
        </w:numPr>
        <w:rPr>
          <w:rFonts w:ascii="Arial" w:cs="Arial" w:eastAsia="Arial" w:hAnsi="Arial"/>
          <w:sz w:val="18"/>
          <w:szCs w:val="18"/>
          <w:color w:val="auto"/>
        </w:rPr>
      </w:pPr>
      <w:r>
        <w:rPr>
          <w:rFonts w:ascii="Arial" w:cs="Arial" w:eastAsia="Arial" w:hAnsi="Arial"/>
          <w:sz w:val="18"/>
          <w:szCs w:val="18"/>
          <w:color w:val="auto"/>
        </w:rPr>
        <w:t>Each grant of Appreciation Rights may utilize any or all of the authorizations, and will be subject to all of the requirements, contained in the following provisions:</w:t>
      </w:r>
    </w:p>
    <w:p>
      <w:pPr>
        <w:spacing w:after="0" w:line="75" w:lineRule="exact"/>
        <w:rPr>
          <w:rFonts w:ascii="Arial" w:cs="Arial" w:eastAsia="Arial" w:hAnsi="Arial"/>
          <w:sz w:val="18"/>
          <w:szCs w:val="18"/>
          <w:color w:val="auto"/>
        </w:rPr>
      </w:pPr>
    </w:p>
    <w:p>
      <w:pPr>
        <w:ind w:left="1940" w:right="140" w:hanging="533"/>
        <w:spacing w:after="0" w:line="277" w:lineRule="auto"/>
        <w:tabs>
          <w:tab w:leader="none" w:pos="1940" w:val="left"/>
        </w:tabs>
        <w:numPr>
          <w:ilvl w:val="2"/>
          <w:numId w:val="14"/>
        </w:numPr>
        <w:rPr>
          <w:rFonts w:ascii="Arial" w:cs="Arial" w:eastAsia="Arial" w:hAnsi="Arial"/>
          <w:sz w:val="18"/>
          <w:szCs w:val="18"/>
          <w:color w:val="auto"/>
        </w:rPr>
      </w:pPr>
      <w:r>
        <w:rPr>
          <w:rFonts w:ascii="Arial" w:cs="Arial" w:eastAsia="Arial" w:hAnsi="Arial"/>
          <w:sz w:val="18"/>
          <w:szCs w:val="18"/>
          <w:color w:val="auto"/>
        </w:rPr>
        <w:t>Each grant may specify that the amount payable on exercise of an Appreciation Right will be paid by the Company in cash, Stock or any combination thereof.</w:t>
      </w:r>
    </w:p>
    <w:p>
      <w:pPr>
        <w:spacing w:after="0" w:line="75" w:lineRule="exact"/>
        <w:rPr>
          <w:rFonts w:ascii="Arial" w:cs="Arial" w:eastAsia="Arial" w:hAnsi="Arial"/>
          <w:sz w:val="18"/>
          <w:szCs w:val="18"/>
          <w:color w:val="auto"/>
        </w:rPr>
      </w:pPr>
    </w:p>
    <w:p>
      <w:pPr>
        <w:ind w:left="1940" w:right="20" w:hanging="533"/>
        <w:spacing w:after="0" w:line="279" w:lineRule="auto"/>
        <w:tabs>
          <w:tab w:leader="none" w:pos="1940" w:val="left"/>
        </w:tabs>
        <w:numPr>
          <w:ilvl w:val="2"/>
          <w:numId w:val="14"/>
        </w:numPr>
        <w:rPr>
          <w:rFonts w:ascii="Arial" w:cs="Arial" w:eastAsia="Arial" w:hAnsi="Arial"/>
          <w:sz w:val="17"/>
          <w:szCs w:val="17"/>
          <w:color w:val="auto"/>
        </w:rPr>
      </w:pPr>
      <w:r>
        <w:rPr>
          <w:rFonts w:ascii="Arial" w:cs="Arial" w:eastAsia="Arial" w:hAnsi="Arial"/>
          <w:sz w:val="17"/>
          <w:szCs w:val="17"/>
          <w:color w:val="auto"/>
        </w:rPr>
        <w:t>Each grant will specify the period or periods of continuous Service by the Participant with the Participating Company Group, if any, that is necessary before the Appreciation Rights or installments thereof will vest. Appreciation Rights may provide for continued vesting or the earlier vesting of such Appreciation Rights, including in the event of the retirement, death, Disability or termination of Service of a Participant or in the event of a Change in Control.</w:t>
      </w:r>
    </w:p>
    <w:p>
      <w:pPr>
        <w:spacing w:after="0" w:line="76" w:lineRule="exact"/>
        <w:rPr>
          <w:rFonts w:ascii="Arial" w:cs="Arial" w:eastAsia="Arial" w:hAnsi="Arial"/>
          <w:sz w:val="17"/>
          <w:szCs w:val="17"/>
          <w:color w:val="auto"/>
        </w:rPr>
      </w:pPr>
    </w:p>
    <w:p>
      <w:pPr>
        <w:ind w:left="1940" w:hanging="533"/>
        <w:spacing w:after="0"/>
        <w:tabs>
          <w:tab w:leader="none" w:pos="1940" w:val="left"/>
        </w:tabs>
        <w:numPr>
          <w:ilvl w:val="2"/>
          <w:numId w:val="14"/>
        </w:numPr>
        <w:rPr>
          <w:rFonts w:ascii="Arial" w:cs="Arial" w:eastAsia="Arial" w:hAnsi="Arial"/>
          <w:sz w:val="16"/>
          <w:szCs w:val="16"/>
          <w:color w:val="auto"/>
        </w:rPr>
      </w:pPr>
      <w:r>
        <w:rPr>
          <w:rFonts w:ascii="Arial" w:cs="Arial" w:eastAsia="Arial" w:hAnsi="Arial"/>
          <w:sz w:val="16"/>
          <w:szCs w:val="16"/>
          <w:color w:val="auto"/>
        </w:rPr>
        <w:t>Any grant of Appreciation Rights may specify Management Objectives regarding the vesting of such Appreciation Rights.</w:t>
      </w:r>
    </w:p>
    <w:p>
      <w:pPr>
        <w:spacing w:after="0" w:line="153" w:lineRule="exact"/>
        <w:rPr>
          <w:rFonts w:ascii="Arial" w:cs="Arial" w:eastAsia="Arial" w:hAnsi="Arial"/>
          <w:sz w:val="16"/>
          <w:szCs w:val="16"/>
          <w:color w:val="auto"/>
        </w:rPr>
      </w:pPr>
    </w:p>
    <w:p>
      <w:pPr>
        <w:ind w:left="1940" w:hanging="533"/>
        <w:spacing w:after="0"/>
        <w:tabs>
          <w:tab w:leader="none" w:pos="1940" w:val="left"/>
        </w:tabs>
        <w:numPr>
          <w:ilvl w:val="2"/>
          <w:numId w:val="14"/>
        </w:numPr>
        <w:rPr>
          <w:rFonts w:ascii="Arial" w:cs="Arial" w:eastAsia="Arial" w:hAnsi="Arial"/>
          <w:sz w:val="17"/>
          <w:szCs w:val="17"/>
          <w:color w:val="auto"/>
        </w:rPr>
      </w:pPr>
      <w:r>
        <w:rPr>
          <w:rFonts w:ascii="Arial" w:cs="Arial" w:eastAsia="Arial" w:hAnsi="Arial"/>
          <w:sz w:val="17"/>
          <w:szCs w:val="17"/>
          <w:color w:val="auto"/>
        </w:rPr>
        <w:t>Appreciation Rights granted under this Plan may not provide for any dividends or Dividend Equivalent Rights thereon.</w:t>
      </w:r>
    </w:p>
    <w:p>
      <w:pPr>
        <w:spacing w:after="0" w:line="142" w:lineRule="exact"/>
        <w:rPr>
          <w:rFonts w:ascii="Arial" w:cs="Arial" w:eastAsia="Arial" w:hAnsi="Arial"/>
          <w:sz w:val="17"/>
          <w:szCs w:val="17"/>
          <w:color w:val="auto"/>
        </w:rPr>
      </w:pPr>
    </w:p>
    <w:p>
      <w:pPr>
        <w:ind w:left="1940" w:right="220" w:hanging="533"/>
        <w:spacing w:after="0" w:line="342" w:lineRule="auto"/>
        <w:tabs>
          <w:tab w:leader="none" w:pos="1940" w:val="left"/>
        </w:tabs>
        <w:numPr>
          <w:ilvl w:val="2"/>
          <w:numId w:val="14"/>
        </w:numPr>
        <w:rPr>
          <w:rFonts w:ascii="Arial" w:cs="Arial" w:eastAsia="Arial" w:hAnsi="Arial"/>
          <w:sz w:val="16"/>
          <w:szCs w:val="16"/>
          <w:color w:val="auto"/>
        </w:rPr>
      </w:pPr>
      <w:r>
        <w:rPr>
          <w:rFonts w:ascii="Arial" w:cs="Arial" w:eastAsia="Arial" w:hAnsi="Arial"/>
          <w:sz w:val="16"/>
          <w:szCs w:val="16"/>
          <w:color w:val="auto"/>
        </w:rPr>
        <w:t>Each grant of Appreciation Rights will be evidenced by an Evidence of Award. Each Evidence of Award will be subject to this Plan and will contain such terms and provisions, consistent with this Plan, as the Committee may approve.</w:t>
      </w:r>
    </w:p>
    <w:p>
      <w:pPr>
        <w:spacing w:after="0" w:line="29" w:lineRule="exact"/>
        <w:rPr>
          <w:rFonts w:ascii="Arial" w:cs="Arial" w:eastAsia="Arial" w:hAnsi="Arial"/>
          <w:sz w:val="16"/>
          <w:szCs w:val="16"/>
          <w:color w:val="auto"/>
        </w:rPr>
      </w:pPr>
    </w:p>
    <w:p>
      <w:pPr>
        <w:ind w:left="1940" w:right="540" w:hanging="533"/>
        <w:spacing w:after="0" w:line="342" w:lineRule="auto"/>
        <w:tabs>
          <w:tab w:leader="none" w:pos="1940" w:val="left"/>
        </w:tabs>
        <w:numPr>
          <w:ilvl w:val="2"/>
          <w:numId w:val="14"/>
        </w:numPr>
        <w:rPr>
          <w:rFonts w:ascii="Arial" w:cs="Arial" w:eastAsia="Arial" w:hAnsi="Arial"/>
          <w:sz w:val="16"/>
          <w:szCs w:val="16"/>
          <w:color w:val="auto"/>
        </w:rPr>
      </w:pPr>
      <w:r>
        <w:rPr>
          <w:rFonts w:ascii="Arial" w:cs="Arial" w:eastAsia="Arial" w:hAnsi="Arial"/>
          <w:sz w:val="16"/>
          <w:szCs w:val="16"/>
          <w:color w:val="auto"/>
        </w:rPr>
        <w:t xml:space="preserve">Each grant of Appreciation Rights will specify in respect of each Appreciation Right a Base Price, which (except with respect to Awards under </w:t>
      </w:r>
      <w:r>
        <w:rPr>
          <w:rFonts w:ascii="Arial" w:cs="Arial" w:eastAsia="Arial" w:hAnsi="Arial"/>
          <w:sz w:val="16"/>
          <w:szCs w:val="16"/>
          <w:b w:val="1"/>
          <w:bCs w:val="1"/>
          <w:u w:val="single" w:color="auto"/>
          <w:color w:val="auto"/>
        </w:rPr>
        <w:t>Section 22</w:t>
      </w:r>
      <w:r>
        <w:rPr>
          <w:rFonts w:ascii="Arial" w:cs="Arial" w:eastAsia="Arial" w:hAnsi="Arial"/>
          <w:sz w:val="16"/>
          <w:szCs w:val="16"/>
          <w:color w:val="auto"/>
        </w:rPr>
        <w:t xml:space="preserve"> of this Plan) may not be less than the Fair Market Value on the Date of Grant.</w:t>
      </w:r>
    </w:p>
    <w:p>
      <w:pPr>
        <w:spacing w:after="0" w:line="29" w:lineRule="exact"/>
        <w:rPr>
          <w:rFonts w:ascii="Arial" w:cs="Arial" w:eastAsia="Arial" w:hAnsi="Arial"/>
          <w:sz w:val="16"/>
          <w:szCs w:val="16"/>
          <w:color w:val="auto"/>
        </w:rPr>
      </w:pPr>
    </w:p>
    <w:p>
      <w:pPr>
        <w:ind w:left="1940" w:right="60" w:hanging="533"/>
        <w:spacing w:after="0" w:line="263" w:lineRule="auto"/>
        <w:tabs>
          <w:tab w:leader="none" w:pos="1940" w:val="left"/>
        </w:tabs>
        <w:numPr>
          <w:ilvl w:val="2"/>
          <w:numId w:val="14"/>
        </w:numPr>
        <w:rPr>
          <w:rFonts w:ascii="Arial" w:cs="Arial" w:eastAsia="Arial" w:hAnsi="Arial"/>
          <w:sz w:val="18"/>
          <w:szCs w:val="18"/>
          <w:color w:val="auto"/>
        </w:rPr>
      </w:pPr>
      <w:r>
        <w:rPr>
          <w:rFonts w:ascii="Arial" w:cs="Arial" w:eastAsia="Arial" w:hAnsi="Arial"/>
          <w:sz w:val="18"/>
          <w:szCs w:val="18"/>
          <w:color w:val="auto"/>
        </w:rPr>
        <w:t>No Appreciation Right granted under this Plan may be exercised more than 10 years from the Date of Grant. The Committee may provide in any Evidence of Award for the automatic exercise of an Appreciation Right upon such terms and conditions as established by the Committee.</w:t>
      </w:r>
    </w:p>
    <w:p>
      <w:pPr>
        <w:spacing w:after="0" w:line="179" w:lineRule="exact"/>
        <w:rPr>
          <w:rFonts w:ascii="Arial" w:cs="Arial" w:eastAsia="Arial" w:hAnsi="Arial"/>
          <w:sz w:val="18"/>
          <w:szCs w:val="18"/>
          <w:color w:val="auto"/>
        </w:rPr>
      </w:pPr>
    </w:p>
    <w:p>
      <w:pPr>
        <w:ind w:left="-20" w:right="160" w:firstLine="436"/>
        <w:spacing w:after="0" w:line="266"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The Committee may, from time to time and upon such terms and conditions as it may determine, authorize the grant or sale</w:t>
      </w:r>
      <w:r>
        <w:rPr>
          <w:rFonts w:ascii="Arial" w:cs="Arial" w:eastAsia="Arial" w:hAnsi="Arial"/>
          <w:sz w:val="18"/>
          <w:szCs w:val="18"/>
          <w:b w:val="1"/>
          <w:bCs w:val="1"/>
          <w:color w:val="auto"/>
        </w:rPr>
        <w:t xml:space="preserve"> </w:t>
      </w:r>
      <w:r>
        <w:rPr>
          <w:rFonts w:ascii="Arial" w:cs="Arial" w:eastAsia="Arial" w:hAnsi="Arial"/>
          <w:sz w:val="18"/>
          <w:szCs w:val="18"/>
          <w:color w:val="auto"/>
        </w:rPr>
        <w:t>of Restricted Stock to Participants. Each such grant or sale may utilize any or all of the authorizations, and will be subject to all of the requirements, contained in the following provisions:</w:t>
      </w:r>
    </w:p>
    <w:p>
      <w:pPr>
        <w:spacing w:after="0" w:line="71" w:lineRule="exact"/>
        <w:rPr>
          <w:rFonts w:ascii="Arial" w:cs="Arial" w:eastAsia="Arial" w:hAnsi="Arial"/>
          <w:sz w:val="18"/>
          <w:szCs w:val="18"/>
          <w:color w:val="auto"/>
        </w:rPr>
      </w:pPr>
    </w:p>
    <w:p>
      <w:pPr>
        <w:ind w:left="-20" w:right="100" w:firstLine="987"/>
        <w:spacing w:after="0" w:line="263" w:lineRule="auto"/>
        <w:tabs>
          <w:tab w:leader="none" w:pos="1216"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Each such grant or sale will constitute an immediate transfer of the ownership of Stock to the Participant in consideration of the performance of services, entitling such Participant to voting, dividend and other ownership rights (subject in particular to </w:t>
      </w:r>
      <w:r>
        <w:rPr>
          <w:rFonts w:ascii="Arial" w:cs="Arial" w:eastAsia="Arial" w:hAnsi="Arial"/>
          <w:sz w:val="18"/>
          <w:szCs w:val="18"/>
          <w:b w:val="1"/>
          <w:bCs w:val="1"/>
          <w:u w:val="single" w:color="auto"/>
          <w:color w:val="auto"/>
        </w:rPr>
        <w:t>Section 6(g)</w:t>
      </w:r>
      <w:r>
        <w:rPr>
          <w:rFonts w:ascii="Arial" w:cs="Arial" w:eastAsia="Arial" w:hAnsi="Arial"/>
          <w:sz w:val="18"/>
          <w:szCs w:val="18"/>
          <w:color w:val="auto"/>
        </w:rPr>
        <w:t xml:space="preserve"> of this Plan), but subject to the substantial risk of forfeiture and restrictions on transfer hereinafter described.</w:t>
      </w:r>
    </w:p>
    <w:p>
      <w:pPr>
        <w:spacing w:after="0" w:line="183" w:lineRule="exact"/>
        <w:rPr>
          <w:rFonts w:ascii="Arial" w:cs="Arial" w:eastAsia="Arial" w:hAnsi="Arial"/>
          <w:sz w:val="18"/>
          <w:szCs w:val="18"/>
          <w:color w:val="auto"/>
        </w:rPr>
      </w:pPr>
    </w:p>
    <w:p>
      <w:pPr>
        <w:ind w:left="-20" w:right="120" w:firstLine="987"/>
        <w:spacing w:after="0" w:line="277" w:lineRule="auto"/>
        <w:tabs>
          <w:tab w:leader="none" w:pos="1226" w:val="left"/>
        </w:tabs>
        <w:numPr>
          <w:ilvl w:val="1"/>
          <w:numId w:val="14"/>
        </w:numPr>
        <w:rPr>
          <w:rFonts w:ascii="Arial" w:cs="Arial" w:eastAsia="Arial" w:hAnsi="Arial"/>
          <w:sz w:val="18"/>
          <w:szCs w:val="18"/>
          <w:color w:val="auto"/>
        </w:rPr>
      </w:pPr>
      <w:r>
        <w:rPr>
          <w:rFonts w:ascii="Arial" w:cs="Arial" w:eastAsia="Arial" w:hAnsi="Arial"/>
          <w:sz w:val="18"/>
          <w:szCs w:val="18"/>
          <w:color w:val="auto"/>
        </w:rPr>
        <w:t>Each such grant or sale may be made without additional consideration or in consideration of a payment by such Participant that is less than the Fair Market Value on the Date of Grant.</w:t>
      </w:r>
    </w:p>
    <w:p>
      <w:pPr>
        <w:spacing w:after="0" w:line="170" w:lineRule="exact"/>
        <w:rPr>
          <w:rFonts w:ascii="Arial" w:cs="Arial" w:eastAsia="Arial" w:hAnsi="Arial"/>
          <w:sz w:val="18"/>
          <w:szCs w:val="18"/>
          <w:color w:val="auto"/>
        </w:rPr>
      </w:pPr>
    </w:p>
    <w:p>
      <w:pPr>
        <w:ind w:left="-20" w:right="200" w:firstLine="987"/>
        <w:spacing w:after="0" w:line="263" w:lineRule="auto"/>
        <w:tabs>
          <w:tab w:leader="none" w:pos="1216"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Each such grant or sale will provide that the Restricted Stock covered by such grant or sale will be subject to a “substantial risk of forfeiture” within the meaning of Section 83 of the Code for a period to be determined by the Committee on the Date of Grant or until achievement of Management Objectives referred to in </w:t>
      </w:r>
      <w:r>
        <w:rPr>
          <w:rFonts w:ascii="Arial" w:cs="Arial" w:eastAsia="Arial" w:hAnsi="Arial"/>
          <w:sz w:val="18"/>
          <w:szCs w:val="18"/>
          <w:b w:val="1"/>
          <w:bCs w:val="1"/>
          <w:u w:val="single" w:color="auto"/>
          <w:color w:val="auto"/>
        </w:rPr>
        <w:t>Section 6(e)</w:t>
      </w:r>
      <w:r>
        <w:rPr>
          <w:rFonts w:ascii="Arial" w:cs="Arial" w:eastAsia="Arial" w:hAnsi="Arial"/>
          <w:sz w:val="18"/>
          <w:szCs w:val="18"/>
          <w:color w:val="auto"/>
        </w:rPr>
        <w:t xml:space="preserve"> of this Plan.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11" w:name="page12"/>
    <w:bookmarkEnd w:id="11"/>
    <w:p>
      <w:pPr>
        <w:ind w:left="4" w:right="140" w:firstLine="987"/>
        <w:spacing w:after="0" w:line="259" w:lineRule="auto"/>
        <w:tabs>
          <w:tab w:leader="none" w:pos="1250" w:val="left"/>
        </w:tabs>
        <w:numPr>
          <w:ilvl w:val="2"/>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such grant or sale will provide that during or after the period for which such substantial risk of forfeiture is to continue, the transferability of the Restricted Stock will be prohibited or restricted in the manner and to the extent prescribed by the Committee on the Date of Grant (which restrictions may include rights of repurchase or first refusal of the Company or provisions subjecting the Restricted Stock to a continuing substantial risk of forfeiture while held by any transferee).</w:t>
      </w:r>
    </w:p>
    <w:p>
      <w:pPr>
        <w:spacing w:after="0" w:line="186" w:lineRule="exact"/>
        <w:rPr>
          <w:rFonts w:ascii="Arial" w:cs="Arial" w:eastAsia="Arial" w:hAnsi="Arial"/>
          <w:sz w:val="18"/>
          <w:szCs w:val="18"/>
          <w:color w:val="auto"/>
        </w:rPr>
      </w:pPr>
    </w:p>
    <w:p>
      <w:pPr>
        <w:ind w:left="1244" w:hanging="253"/>
        <w:spacing w:after="0"/>
        <w:tabs>
          <w:tab w:leader="none" w:pos="1244" w:val="left"/>
        </w:tabs>
        <w:numPr>
          <w:ilvl w:val="2"/>
          <w:numId w:val="15"/>
        </w:numPr>
        <w:rPr>
          <w:rFonts w:ascii="Arial" w:cs="Arial" w:eastAsia="Arial" w:hAnsi="Arial"/>
          <w:sz w:val="18"/>
          <w:szCs w:val="18"/>
          <w:color w:val="auto"/>
        </w:rPr>
      </w:pPr>
      <w:r>
        <w:rPr>
          <w:rFonts w:ascii="Arial" w:cs="Arial" w:eastAsia="Arial" w:hAnsi="Arial"/>
          <w:sz w:val="18"/>
          <w:szCs w:val="18"/>
          <w:color w:val="auto"/>
        </w:rPr>
        <w:t>Any grant of Restricted Stock may specify Management Objectives regarding the vesting of such Restricted Stock.</w:t>
      </w:r>
    </w:p>
    <w:p>
      <w:pPr>
        <w:spacing w:after="0" w:line="225" w:lineRule="exact"/>
        <w:rPr>
          <w:rFonts w:ascii="Arial" w:cs="Arial" w:eastAsia="Arial" w:hAnsi="Arial"/>
          <w:sz w:val="18"/>
          <w:szCs w:val="18"/>
          <w:color w:val="auto"/>
        </w:rPr>
      </w:pPr>
    </w:p>
    <w:p>
      <w:pPr>
        <w:ind w:left="4" w:right="120" w:firstLine="987"/>
        <w:spacing w:after="0" w:line="263" w:lineRule="auto"/>
        <w:tabs>
          <w:tab w:leader="none" w:pos="1220" w:val="left"/>
        </w:tabs>
        <w:numPr>
          <w:ilvl w:val="2"/>
          <w:numId w:val="1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Plan, Restricted Stock may provide for continued vesting or the earlier vesting of such Restricted Stock, including in the event of the retirement, death, Disability or termination of Service of a Participant or in the event of a Change in Control.</w:t>
      </w:r>
    </w:p>
    <w:p>
      <w:pPr>
        <w:spacing w:after="0" w:line="183" w:lineRule="exact"/>
        <w:rPr>
          <w:rFonts w:ascii="Arial" w:cs="Arial" w:eastAsia="Arial" w:hAnsi="Arial"/>
          <w:sz w:val="18"/>
          <w:szCs w:val="18"/>
          <w:color w:val="auto"/>
        </w:rPr>
      </w:pPr>
    </w:p>
    <w:p>
      <w:pPr>
        <w:ind w:left="4" w:right="140" w:firstLine="987"/>
        <w:spacing w:after="0" w:line="259" w:lineRule="auto"/>
        <w:tabs>
          <w:tab w:leader="none" w:pos="1250" w:val="left"/>
        </w:tabs>
        <w:numPr>
          <w:ilvl w:val="2"/>
          <w:numId w:val="15"/>
        </w:numPr>
        <w:rPr>
          <w:rFonts w:ascii="Arial" w:cs="Arial" w:eastAsia="Arial" w:hAnsi="Arial"/>
          <w:sz w:val="18"/>
          <w:szCs w:val="18"/>
          <w:color w:val="auto"/>
        </w:rPr>
      </w:pPr>
      <w:r>
        <w:rPr>
          <w:rFonts w:ascii="Arial" w:cs="Arial" w:eastAsia="Arial" w:hAnsi="Arial"/>
          <w:sz w:val="18"/>
          <w:szCs w:val="18"/>
          <w:color w:val="auto"/>
        </w:rPr>
        <w:t>Any such grant or sale of Restricted Stock may require that any and all dividends or other distributions paid thereon during the period of such restrictions be automatically deferred and/or reinvested in additional Restricted Stock, which will be subject to the same restrictions as the underlying Award. For the avoidance of doubt, any such dividends or other distributions on Restricted Stock will be deferred until, and paid contingent upon, the vesting of such Restricted Stock.</w:t>
      </w:r>
    </w:p>
    <w:p>
      <w:pPr>
        <w:spacing w:after="0" w:line="186" w:lineRule="exact"/>
        <w:rPr>
          <w:rFonts w:ascii="Arial" w:cs="Arial" w:eastAsia="Arial" w:hAnsi="Arial"/>
          <w:sz w:val="18"/>
          <w:szCs w:val="18"/>
          <w:color w:val="auto"/>
        </w:rPr>
      </w:pPr>
    </w:p>
    <w:p>
      <w:pPr>
        <w:ind w:left="4" w:right="40" w:firstLine="987"/>
        <w:spacing w:after="0" w:line="291" w:lineRule="auto"/>
        <w:tabs>
          <w:tab w:leader="none" w:pos="1250" w:val="left"/>
        </w:tabs>
        <w:numPr>
          <w:ilvl w:val="2"/>
          <w:numId w:val="15"/>
        </w:numPr>
        <w:rPr>
          <w:rFonts w:ascii="Arial" w:cs="Arial" w:eastAsia="Arial" w:hAnsi="Arial"/>
          <w:sz w:val="16"/>
          <w:szCs w:val="16"/>
          <w:color w:val="auto"/>
        </w:rPr>
      </w:pPr>
      <w:r>
        <w:rPr>
          <w:rFonts w:ascii="Arial" w:cs="Arial" w:eastAsia="Arial" w:hAnsi="Arial"/>
          <w:sz w:val="16"/>
          <w:szCs w:val="16"/>
          <w:color w:val="auto"/>
        </w:rPr>
        <w:t>Each grant or sale of Restricted Stock will be evidenced by an Evidence of Award. Each Evidence of Award will be subject to this Plan and will contain such terms and provisions, consistent with this Plan, as the Committee may approve. Unless otherwise directed by the Committee,</w:t>
      </w:r>
    </w:p>
    <w:p>
      <w:pPr>
        <w:ind w:left="4" w:right="120" w:hanging="4"/>
        <w:spacing w:after="0" w:line="253" w:lineRule="auto"/>
        <w:tabs>
          <w:tab w:leader="none" w:pos="2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certificates representing Restricted Stock will be held in custody by the Company until all restrictions thereon will have lapsed, together with a stock power or powers executed by the Participant in whose name such certificates are registered, endorsed in blank and covering such shares or (ii) all Restricted Stock will be held at the Company’s transfer agent in book entry form with appropriate restrictions relating to the transfer of such Restricted Stock.</w:t>
      </w:r>
    </w:p>
    <w:p>
      <w:pPr>
        <w:spacing w:after="0" w:line="188" w:lineRule="exact"/>
        <w:rPr>
          <w:rFonts w:ascii="Arial" w:cs="Arial" w:eastAsia="Arial" w:hAnsi="Arial"/>
          <w:sz w:val="18"/>
          <w:szCs w:val="18"/>
          <w:color w:val="auto"/>
        </w:rPr>
      </w:pPr>
    </w:p>
    <w:p>
      <w:pPr>
        <w:ind w:left="4" w:firstLine="436"/>
        <w:spacing w:after="0" w:line="266" w:lineRule="auto"/>
        <w:tabs>
          <w:tab w:leader="none" w:pos="624"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The Committee may, from time to time and upon such terms and conditions as it may determine, authorize the granting</w:t>
      </w:r>
      <w:r>
        <w:rPr>
          <w:rFonts w:ascii="Arial" w:cs="Arial" w:eastAsia="Arial" w:hAnsi="Arial"/>
          <w:sz w:val="18"/>
          <w:szCs w:val="18"/>
          <w:b w:val="1"/>
          <w:bCs w:val="1"/>
          <w:color w:val="auto"/>
        </w:rPr>
        <w:t xml:space="preserve"> </w:t>
      </w:r>
      <w:r>
        <w:rPr>
          <w:rFonts w:ascii="Arial" w:cs="Arial" w:eastAsia="Arial" w:hAnsi="Arial"/>
          <w:sz w:val="18"/>
          <w:szCs w:val="18"/>
          <w:color w:val="auto"/>
        </w:rPr>
        <w:t>or sale of Restricted Stock Units to Participants. Each such grant or sale may utilize any or all of the authorizations, and will be subject to all of the requirements, contained in the following provisions:</w:t>
      </w:r>
    </w:p>
    <w:p>
      <w:pPr>
        <w:spacing w:after="0" w:line="71" w:lineRule="exact"/>
        <w:rPr>
          <w:rFonts w:ascii="Arial" w:cs="Arial" w:eastAsia="Arial" w:hAnsi="Arial"/>
          <w:sz w:val="18"/>
          <w:szCs w:val="18"/>
          <w:color w:val="auto"/>
        </w:rPr>
      </w:pPr>
    </w:p>
    <w:p>
      <w:pPr>
        <w:ind w:left="4" w:right="640" w:firstLine="987"/>
        <w:spacing w:after="0" w:line="286" w:lineRule="auto"/>
        <w:tabs>
          <w:tab w:leader="none" w:pos="1240" w:val="left"/>
        </w:tabs>
        <w:numPr>
          <w:ilvl w:val="2"/>
          <w:numId w:val="16"/>
        </w:numPr>
        <w:rPr>
          <w:rFonts w:ascii="Arial" w:cs="Arial" w:eastAsia="Arial" w:hAnsi="Arial"/>
          <w:sz w:val="17"/>
          <w:szCs w:val="17"/>
          <w:color w:val="auto"/>
        </w:rPr>
      </w:pPr>
      <w:r>
        <w:rPr>
          <w:rFonts w:ascii="Arial" w:cs="Arial" w:eastAsia="Arial" w:hAnsi="Arial"/>
          <w:sz w:val="17"/>
          <w:szCs w:val="17"/>
          <w:color w:val="auto"/>
        </w:rPr>
        <w:t>Each such grant or sale will constitute the agreement by the Company to deliver Stock or cash, or a combination thereof, to the Participant in the future in consideration of the performance of services, but subject to the fulfillment of such conditions (which may include achievement regarding Management Objectives) during the Restriction Period as the Committee may specify.</w:t>
      </w:r>
    </w:p>
    <w:p>
      <w:pPr>
        <w:spacing w:after="0" w:line="165" w:lineRule="exact"/>
        <w:rPr>
          <w:rFonts w:ascii="Arial" w:cs="Arial" w:eastAsia="Arial" w:hAnsi="Arial"/>
          <w:sz w:val="17"/>
          <w:szCs w:val="17"/>
          <w:color w:val="auto"/>
        </w:rPr>
      </w:pPr>
    </w:p>
    <w:p>
      <w:pPr>
        <w:ind w:left="4" w:right="120" w:firstLine="987"/>
        <w:spacing w:after="0" w:line="277" w:lineRule="auto"/>
        <w:tabs>
          <w:tab w:leader="none" w:pos="1250" w:val="left"/>
        </w:tabs>
        <w:numPr>
          <w:ilvl w:val="2"/>
          <w:numId w:val="16"/>
        </w:numPr>
        <w:rPr>
          <w:rFonts w:ascii="Arial" w:cs="Arial" w:eastAsia="Arial" w:hAnsi="Arial"/>
          <w:sz w:val="18"/>
          <w:szCs w:val="18"/>
          <w:color w:val="auto"/>
        </w:rPr>
      </w:pPr>
      <w:r>
        <w:rPr>
          <w:rFonts w:ascii="Arial" w:cs="Arial" w:eastAsia="Arial" w:hAnsi="Arial"/>
          <w:sz w:val="18"/>
          <w:szCs w:val="18"/>
          <w:color w:val="auto"/>
        </w:rPr>
        <w:t>Each such grant or sale may be made without additional consideration or in consideration of a payment by such Participant that is less than the Fair Market Value on the Date of Grant.</w:t>
      </w:r>
    </w:p>
    <w:p>
      <w:pPr>
        <w:spacing w:after="0" w:line="170" w:lineRule="exact"/>
        <w:rPr>
          <w:rFonts w:ascii="Arial" w:cs="Arial" w:eastAsia="Arial" w:hAnsi="Arial"/>
          <w:sz w:val="18"/>
          <w:szCs w:val="18"/>
          <w:color w:val="auto"/>
        </w:rPr>
      </w:pPr>
    </w:p>
    <w:p>
      <w:pPr>
        <w:ind w:left="4" w:firstLine="987"/>
        <w:spacing w:after="0" w:line="263" w:lineRule="auto"/>
        <w:tabs>
          <w:tab w:leader="none" w:pos="12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Plan, Restricted Stock Units may provide for continued vesting or the earlier lapse or other modification of the Restriction Period, including in the event of the retirement, death, Disability or termination of Service of a Participant or in the event of a Change in Control.</w:t>
      </w:r>
    </w:p>
    <w:p>
      <w:pPr>
        <w:spacing w:after="0" w:line="183" w:lineRule="exact"/>
        <w:rPr>
          <w:rFonts w:ascii="Arial" w:cs="Arial" w:eastAsia="Arial" w:hAnsi="Arial"/>
          <w:sz w:val="18"/>
          <w:szCs w:val="18"/>
          <w:color w:val="auto"/>
        </w:rPr>
      </w:pPr>
    </w:p>
    <w:p>
      <w:pPr>
        <w:ind w:left="4" w:firstLine="987"/>
        <w:spacing w:after="0" w:line="275" w:lineRule="auto"/>
        <w:tabs>
          <w:tab w:leader="none" w:pos="1250" w:val="left"/>
        </w:tabs>
        <w:numPr>
          <w:ilvl w:val="2"/>
          <w:numId w:val="16"/>
        </w:numPr>
        <w:rPr>
          <w:rFonts w:ascii="Arial" w:cs="Arial" w:eastAsia="Arial" w:hAnsi="Arial"/>
          <w:sz w:val="17"/>
          <w:szCs w:val="17"/>
          <w:color w:val="auto"/>
        </w:rPr>
      </w:pPr>
      <w:r>
        <w:rPr>
          <w:rFonts w:ascii="Arial" w:cs="Arial" w:eastAsia="Arial" w:hAnsi="Arial"/>
          <w:sz w:val="17"/>
          <w:szCs w:val="17"/>
          <w:color w:val="auto"/>
        </w:rPr>
        <w:t xml:space="preserve">During the Restriction Period, the Participant will have no right to transfer any rights under his or her Award and will have no rights of ownership in the Stock deliverable upon payment of the Restricted Stock Units and will have no right to vote them, but the Committee may, at or after the Date of Grant, authorize the payment of Dividend Equivalent Rights on such Restricted Stock Units on a deferred and contingent basis, either in cash or in additional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Dividend Equivalent Rights or other distributions on Stock underlying Restricted Stock Units shall be deferred until and paid contingent upon the vesting of such Restricted Stock Units.</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2" w:name="page13"/>
    <w:bookmarkEnd w:id="12"/>
    <w:p>
      <w:pPr>
        <w:ind w:right="140" w:firstLine="987"/>
        <w:spacing w:after="0" w:line="263" w:lineRule="auto"/>
        <w:tabs>
          <w:tab w:leader="none" w:pos="1236" w:val="left"/>
        </w:tabs>
        <w:numPr>
          <w:ilvl w:val="1"/>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grant or sale of Restricted Stock Units will specify the time and manner of payment of the Restricted Stock Units that have been earned. Each grant or sale will specify that the amount payable with respect thereto will be paid by the Company in Stock or cash, or a combination thereof.</w:t>
      </w:r>
    </w:p>
    <w:p>
      <w:pPr>
        <w:spacing w:after="0" w:line="183" w:lineRule="exact"/>
        <w:rPr>
          <w:rFonts w:ascii="Arial" w:cs="Arial" w:eastAsia="Arial" w:hAnsi="Arial"/>
          <w:sz w:val="18"/>
          <w:szCs w:val="18"/>
          <w:color w:val="auto"/>
        </w:rPr>
      </w:pPr>
    </w:p>
    <w:p>
      <w:pPr>
        <w:ind w:firstLine="987"/>
        <w:spacing w:after="0" w:line="277" w:lineRule="auto"/>
        <w:tabs>
          <w:tab w:leader="none" w:pos="1216" w:val="left"/>
        </w:tabs>
        <w:numPr>
          <w:ilvl w:val="1"/>
          <w:numId w:val="17"/>
        </w:numPr>
        <w:rPr>
          <w:rFonts w:ascii="Arial" w:cs="Arial" w:eastAsia="Arial" w:hAnsi="Arial"/>
          <w:sz w:val="18"/>
          <w:szCs w:val="18"/>
          <w:color w:val="auto"/>
        </w:rPr>
      </w:pPr>
      <w:r>
        <w:rPr>
          <w:rFonts w:ascii="Arial" w:cs="Arial" w:eastAsia="Arial" w:hAnsi="Arial"/>
          <w:sz w:val="18"/>
          <w:szCs w:val="18"/>
          <w:color w:val="auto"/>
        </w:rPr>
        <w:t>Each grant or sale of Restricted Stock Units will be evidenced by an Evidence of Award. Each Evidence of Award will be subject to this Plan and will contain such terms and provisions, consistent with this Plan, as the Committee may approve.</w:t>
      </w:r>
    </w:p>
    <w:p>
      <w:pPr>
        <w:spacing w:after="0" w:line="166" w:lineRule="exact"/>
        <w:rPr>
          <w:rFonts w:ascii="Arial" w:cs="Arial" w:eastAsia="Arial" w:hAnsi="Arial"/>
          <w:sz w:val="18"/>
          <w:szCs w:val="18"/>
          <w:color w:val="auto"/>
        </w:rPr>
      </w:pPr>
    </w:p>
    <w:p>
      <w:pPr>
        <w:jc w:val="both"/>
        <w:ind w:right="380" w:firstLine="436"/>
        <w:spacing w:after="0" w:line="314" w:lineRule="auto"/>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Cash Incentive Awards, Performance Shares and Performance Units. </w:t>
      </w:r>
      <w:r>
        <w:rPr>
          <w:rFonts w:ascii="Arial" w:cs="Arial" w:eastAsia="Arial" w:hAnsi="Arial"/>
          <w:sz w:val="16"/>
          <w:szCs w:val="16"/>
          <w:color w:val="auto"/>
        </w:rPr>
        <w:t>The Committee may, from time to time and upon such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as it may determine, authorize the granting of Cash Incentive Awards, Performance Shares and Performance Units. Each such grant may utilize any or all of the authorizations, and will be subject to all of the requirements, contained in the following provisions:</w:t>
      </w:r>
    </w:p>
    <w:p>
      <w:pPr>
        <w:spacing w:after="0" w:line="37" w:lineRule="exact"/>
        <w:rPr>
          <w:rFonts w:ascii="Arial" w:cs="Arial" w:eastAsia="Arial" w:hAnsi="Arial"/>
          <w:sz w:val="16"/>
          <w:szCs w:val="16"/>
          <w:color w:val="auto"/>
        </w:rPr>
      </w:pPr>
    </w:p>
    <w:p>
      <w:pPr>
        <w:ind w:right="120" w:firstLine="987"/>
        <w:spacing w:after="0" w:line="342" w:lineRule="auto"/>
        <w:tabs>
          <w:tab w:leader="none" w:pos="1236" w:val="left"/>
        </w:tabs>
        <w:numPr>
          <w:ilvl w:val="1"/>
          <w:numId w:val="18"/>
        </w:numPr>
        <w:rPr>
          <w:rFonts w:ascii="Arial" w:cs="Arial" w:eastAsia="Arial" w:hAnsi="Arial"/>
          <w:sz w:val="16"/>
          <w:szCs w:val="16"/>
          <w:color w:val="auto"/>
        </w:rPr>
      </w:pPr>
      <w:r>
        <w:rPr>
          <w:rFonts w:ascii="Arial" w:cs="Arial" w:eastAsia="Arial" w:hAnsi="Arial"/>
          <w:sz w:val="16"/>
          <w:szCs w:val="16"/>
          <w:color w:val="auto"/>
        </w:rPr>
        <w:t>Each grant will specify the number or amount of Performance Shares or Performance Units, or amount payable with respect to a Cash Incentive Award, to which it pertains, which number or amount may be subject to adjustment to reflect changes in compensation or other factors.</w:t>
      </w:r>
    </w:p>
    <w:p>
      <w:pPr>
        <w:spacing w:after="0" w:line="123" w:lineRule="exact"/>
        <w:rPr>
          <w:rFonts w:ascii="Arial" w:cs="Arial" w:eastAsia="Arial" w:hAnsi="Arial"/>
          <w:sz w:val="16"/>
          <w:szCs w:val="16"/>
          <w:color w:val="auto"/>
        </w:rPr>
      </w:pPr>
    </w:p>
    <w:p>
      <w:pPr>
        <w:ind w:right="220" w:firstLine="987"/>
        <w:spacing w:after="0" w:line="277" w:lineRule="auto"/>
        <w:tabs>
          <w:tab w:leader="none" w:pos="1246" w:val="left"/>
        </w:tabs>
        <w:numPr>
          <w:ilvl w:val="1"/>
          <w:numId w:val="18"/>
        </w:numPr>
        <w:rPr>
          <w:rFonts w:ascii="Arial" w:cs="Arial" w:eastAsia="Arial" w:hAnsi="Arial"/>
          <w:sz w:val="18"/>
          <w:szCs w:val="18"/>
          <w:color w:val="auto"/>
        </w:rPr>
      </w:pPr>
      <w:r>
        <w:rPr>
          <w:rFonts w:ascii="Arial" w:cs="Arial" w:eastAsia="Arial" w:hAnsi="Arial"/>
          <w:sz w:val="18"/>
          <w:szCs w:val="18"/>
          <w:color w:val="auto"/>
        </w:rPr>
        <w:t>Each grant of a Cash Incentive Award, Performance Shares or Performance Units will specify Management Objectives regarding the earning of the Award.</w:t>
      </w:r>
    </w:p>
    <w:p>
      <w:pPr>
        <w:spacing w:after="0" w:line="170" w:lineRule="exact"/>
        <w:rPr>
          <w:rFonts w:ascii="Arial" w:cs="Arial" w:eastAsia="Arial" w:hAnsi="Arial"/>
          <w:sz w:val="18"/>
          <w:szCs w:val="18"/>
          <w:color w:val="auto"/>
        </w:rPr>
      </w:pPr>
    </w:p>
    <w:p>
      <w:pPr>
        <w:ind w:firstLine="987"/>
        <w:spacing w:after="0" w:line="286" w:lineRule="auto"/>
        <w:tabs>
          <w:tab w:leader="none" w:pos="1236"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Performance Period with respect to each Cash Incentive Award or grant of Performance Shares or Performance Units will be such period of time as will be determined by the Committee, which may be subject to continued vesting or earlier lapse or other modification, including in the event of the retirement, death, Disability or termination of Service of a Participant or in the event of a Change in Control.</w:t>
      </w:r>
    </w:p>
    <w:p>
      <w:pPr>
        <w:spacing w:after="0" w:line="165" w:lineRule="exact"/>
        <w:rPr>
          <w:rFonts w:ascii="Arial" w:cs="Arial" w:eastAsia="Arial" w:hAnsi="Arial"/>
          <w:sz w:val="17"/>
          <w:szCs w:val="17"/>
          <w:color w:val="auto"/>
        </w:rPr>
      </w:pPr>
    </w:p>
    <w:p>
      <w:pPr>
        <w:ind w:right="320" w:firstLine="987"/>
        <w:spacing w:after="0" w:line="277" w:lineRule="auto"/>
        <w:tabs>
          <w:tab w:leader="none" w:pos="1246" w:val="left"/>
        </w:tabs>
        <w:numPr>
          <w:ilvl w:val="1"/>
          <w:numId w:val="18"/>
        </w:numPr>
        <w:rPr>
          <w:rFonts w:ascii="Arial" w:cs="Arial" w:eastAsia="Arial" w:hAnsi="Arial"/>
          <w:sz w:val="18"/>
          <w:szCs w:val="18"/>
          <w:color w:val="auto"/>
        </w:rPr>
      </w:pPr>
      <w:r>
        <w:rPr>
          <w:rFonts w:ascii="Arial" w:cs="Arial" w:eastAsia="Arial" w:hAnsi="Arial"/>
          <w:sz w:val="18"/>
          <w:szCs w:val="18"/>
          <w:color w:val="auto"/>
        </w:rPr>
        <w:t>Each grant will specify the time and manner of payment of a Cash Incentive Award, Performance Shares or Performance Units that have been earned.</w:t>
      </w:r>
    </w:p>
    <w:p>
      <w:pPr>
        <w:spacing w:after="0" w:line="170" w:lineRule="exact"/>
        <w:rPr>
          <w:rFonts w:ascii="Arial" w:cs="Arial" w:eastAsia="Arial" w:hAnsi="Arial"/>
          <w:sz w:val="18"/>
          <w:szCs w:val="18"/>
          <w:color w:val="auto"/>
        </w:rPr>
      </w:pPr>
    </w:p>
    <w:p>
      <w:pPr>
        <w:ind w:right="160" w:firstLine="987"/>
        <w:spacing w:after="0" w:line="259" w:lineRule="auto"/>
        <w:tabs>
          <w:tab w:leader="none" w:pos="1236"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Committee may, on the Date of Grant of Performance Shares or Performance Units, provide for the payment of Dividend Equivalent Rights to the holder thereof either in cash or in additional Stock, which Dividend Equivalent Rights will be subject to deferral and payment on a contingent basis based on the Participant’s earning and vesting of the Performance Shares or Performance Units, as applicable, with respect to which such Dividend Equivalent Rights are paid.</w:t>
      </w:r>
    </w:p>
    <w:p>
      <w:pPr>
        <w:spacing w:after="0" w:line="186" w:lineRule="exact"/>
        <w:rPr>
          <w:rFonts w:ascii="Arial" w:cs="Arial" w:eastAsia="Arial" w:hAnsi="Arial"/>
          <w:sz w:val="18"/>
          <w:szCs w:val="18"/>
          <w:color w:val="auto"/>
        </w:rPr>
      </w:pPr>
    </w:p>
    <w:p>
      <w:pPr>
        <w:jc w:val="both"/>
        <w:ind w:right="300" w:firstLine="987"/>
        <w:spacing w:after="0" w:line="342" w:lineRule="auto"/>
        <w:tabs>
          <w:tab w:leader="none" w:pos="1216" w:val="left"/>
        </w:tabs>
        <w:numPr>
          <w:ilvl w:val="1"/>
          <w:numId w:val="18"/>
        </w:numPr>
        <w:rPr>
          <w:rFonts w:ascii="Arial" w:cs="Arial" w:eastAsia="Arial" w:hAnsi="Arial"/>
          <w:sz w:val="16"/>
          <w:szCs w:val="16"/>
          <w:color w:val="auto"/>
        </w:rPr>
      </w:pPr>
      <w:r>
        <w:rPr>
          <w:rFonts w:ascii="Arial" w:cs="Arial" w:eastAsia="Arial" w:hAnsi="Arial"/>
          <w:sz w:val="16"/>
          <w:szCs w:val="16"/>
          <w:color w:val="auto"/>
        </w:rPr>
        <w:t>Each grant of a Cash Incentive Award, Performance Shares or Performance Units will be evidenced by an Evidence of Award. Each Evidence of Award will be subject to this Plan and will contain such terms and provisions, consistent with this Plan, as the Committee may approve.</w:t>
      </w:r>
    </w:p>
    <w:p>
      <w:pPr>
        <w:spacing w:after="0" w:line="119" w:lineRule="exact"/>
        <w:rPr>
          <w:rFonts w:ascii="Arial" w:cs="Arial" w:eastAsia="Arial" w:hAnsi="Arial"/>
          <w:sz w:val="16"/>
          <w:szCs w:val="16"/>
          <w:color w:val="auto"/>
        </w:rPr>
      </w:pPr>
    </w:p>
    <w:p>
      <w:pPr>
        <w:ind w:left="620" w:hanging="184"/>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Other Awards.</w:t>
      </w:r>
    </w:p>
    <w:p>
      <w:pPr>
        <w:spacing w:after="0" w:line="225" w:lineRule="exact"/>
        <w:rPr>
          <w:rFonts w:ascii="Arial" w:cs="Arial" w:eastAsia="Arial" w:hAnsi="Arial"/>
          <w:sz w:val="18"/>
          <w:szCs w:val="18"/>
          <w:color w:val="auto"/>
        </w:rPr>
      </w:pPr>
    </w:p>
    <w:p>
      <w:pPr>
        <w:ind w:right="20" w:firstLine="987"/>
        <w:spacing w:after="0" w:line="289" w:lineRule="auto"/>
        <w:tabs>
          <w:tab w:leader="none" w:pos="1236"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Subject to applicable law and the applicable limits set forth in </w:t>
      </w:r>
      <w:r>
        <w:rPr>
          <w:rFonts w:ascii="Arial" w:cs="Arial" w:eastAsia="Arial" w:hAnsi="Arial"/>
          <w:sz w:val="16"/>
          <w:szCs w:val="16"/>
          <w:b w:val="1"/>
          <w:bCs w:val="1"/>
          <w:u w:val="single" w:color="auto"/>
          <w:color w:val="auto"/>
        </w:rPr>
        <w:t>Section 3</w:t>
      </w:r>
      <w:r>
        <w:rPr>
          <w:rFonts w:ascii="Arial" w:cs="Arial" w:eastAsia="Arial" w:hAnsi="Arial"/>
          <w:sz w:val="16"/>
          <w:szCs w:val="16"/>
          <w:color w:val="auto"/>
        </w:rPr>
        <w:t xml:space="preserve"> of this Plan, the Committee may authorize the grant to any Participant of Stock or such other awards that may be denominated or payable in, valued in whole or in part by reference to, or otherwise based on, or related to, Stock or factors that may influence the value of such shares, including, without limitation, convertible or exchangeable debt securities, other rights convertible or exchangeable into Stock, purchase rights for Stock, awards with value and payment contingent upon performance of any specified Participating Company, affiliates or business units thereof or any other factors designated by the Committee, and awards valued by reference to the book value of the Stock or the value of securities of, or the performance of specified Participating Companies, affiliates or business units of Participating Companies. The Committee will determine the terms and conditions of such awards. Stock delivered pursuant to an award in the nature of a purchase right granted under this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will be purchased for such consideration, paid for at such time, by such methods, and in such forms, including, without limitation, Stock, other awards, notes or other property, as the Committee determines.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3" w:name="page14"/>
    <w:bookmarkEnd w:id="13"/>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 Cash awards, as an element of or supplement to any other award granted under this Plan, may also be granted pursuant to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w:t>
      </w:r>
    </w:p>
    <w:p>
      <w:pPr>
        <w:spacing w:after="0" w:line="211" w:lineRule="exact"/>
        <w:rPr>
          <w:sz w:val="20"/>
          <w:szCs w:val="20"/>
          <w:color w:val="auto"/>
        </w:rPr>
      </w:pPr>
    </w:p>
    <w:p>
      <w:pPr>
        <w:ind w:firstLine="987"/>
        <w:spacing w:after="0" w:line="263" w:lineRule="auto"/>
        <w:tabs>
          <w:tab w:leader="none" w:pos="1236"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Committee may authorize the grant of Stock as a bonus, or may authorize the grant of other awards in lieu of obligations of the Participating Company to pay cash or deliver other property under this Plan or under other plans or compensatory arrangements, subject to such terms as will be determined by the Committee in a manner that complies with Section 409A.</w:t>
      </w:r>
    </w:p>
    <w:p>
      <w:pPr>
        <w:spacing w:after="0" w:line="183" w:lineRule="exact"/>
        <w:rPr>
          <w:rFonts w:ascii="Arial" w:cs="Arial" w:eastAsia="Arial" w:hAnsi="Arial"/>
          <w:sz w:val="18"/>
          <w:szCs w:val="18"/>
          <w:color w:val="auto"/>
        </w:rPr>
      </w:pPr>
    </w:p>
    <w:p>
      <w:pPr>
        <w:ind w:right="20" w:firstLine="987"/>
        <w:spacing w:after="0" w:line="342" w:lineRule="auto"/>
        <w:tabs>
          <w:tab w:leader="none" w:pos="1246"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The Committee may, at or after the Date of Grant, authorize the payment of dividends or Dividend Equivalent Rights on awards granted under this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on a deferred and contingent basis, either in cash or in additional Stock, based upon the earning and vesting of such awards.</w:t>
      </w:r>
    </w:p>
    <w:p>
      <w:pPr>
        <w:spacing w:after="0" w:line="119" w:lineRule="exact"/>
        <w:rPr>
          <w:rFonts w:ascii="Arial" w:cs="Arial" w:eastAsia="Arial" w:hAnsi="Arial"/>
          <w:sz w:val="16"/>
          <w:szCs w:val="16"/>
          <w:color w:val="auto"/>
        </w:rPr>
      </w:pPr>
    </w:p>
    <w:p>
      <w:pPr>
        <w:jc w:val="both"/>
        <w:ind w:right="80" w:firstLine="987"/>
        <w:spacing w:after="0" w:line="266" w:lineRule="auto"/>
        <w:tabs>
          <w:tab w:leader="none" w:pos="1236"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Each grant of an award under this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will be evidenced by an Evidence of Award. Each such Evidence of Award will be subject to this Plan and will contain such terms and provisions, consistent with this Plan, as the Committee may approve, and will specify the time and terms of delivery of the applicable award.</w:t>
      </w:r>
    </w:p>
    <w:p>
      <w:pPr>
        <w:spacing w:after="0" w:line="175" w:lineRule="exact"/>
        <w:rPr>
          <w:rFonts w:ascii="Arial" w:cs="Arial" w:eastAsia="Arial" w:hAnsi="Arial"/>
          <w:sz w:val="18"/>
          <w:szCs w:val="18"/>
          <w:color w:val="auto"/>
        </w:rPr>
      </w:pPr>
    </w:p>
    <w:p>
      <w:pPr>
        <w:ind w:right="60" w:firstLine="987"/>
        <w:spacing w:after="0" w:line="266" w:lineRule="auto"/>
        <w:tabs>
          <w:tab w:leader="none" w:pos="1216"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Plan, awards under this </w:t>
      </w:r>
      <w:r>
        <w:rPr>
          <w:rFonts w:ascii="Arial" w:cs="Arial" w:eastAsia="Arial" w:hAnsi="Arial"/>
          <w:sz w:val="18"/>
          <w:szCs w:val="18"/>
          <w:b w:val="1"/>
          <w:bCs w:val="1"/>
          <w:u w:val="single" w:color="auto"/>
          <w:color w:val="auto"/>
        </w:rPr>
        <w:t>Section 9</w:t>
      </w:r>
      <w:r>
        <w:rPr>
          <w:rFonts w:ascii="Arial" w:cs="Arial" w:eastAsia="Arial" w:hAnsi="Arial"/>
          <w:sz w:val="18"/>
          <w:szCs w:val="18"/>
          <w:color w:val="auto"/>
        </w:rPr>
        <w:t xml:space="preserve"> may provide for the earning or vesting of, or earlier elimination of restrictions applicable to, such award, including in the event of the retirement, death, Disability or termination of Service of a Participant or in the event of a Change in Control.</w:t>
      </w:r>
    </w:p>
    <w:p>
      <w:pPr>
        <w:spacing w:after="0" w:line="175" w:lineRule="exact"/>
        <w:rPr>
          <w:rFonts w:ascii="Arial" w:cs="Arial" w:eastAsia="Arial" w:hAnsi="Arial"/>
          <w:sz w:val="18"/>
          <w:szCs w:val="18"/>
          <w:color w:val="auto"/>
        </w:rPr>
      </w:pPr>
    </w:p>
    <w:p>
      <w:pPr>
        <w:ind w:left="700" w:hanging="264"/>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Administration of this Plan.</w:t>
      </w:r>
    </w:p>
    <w:p>
      <w:pPr>
        <w:spacing w:after="0" w:line="229" w:lineRule="exact"/>
        <w:rPr>
          <w:rFonts w:ascii="Arial" w:cs="Arial" w:eastAsia="Arial" w:hAnsi="Arial"/>
          <w:sz w:val="18"/>
          <w:szCs w:val="18"/>
          <w:color w:val="auto"/>
        </w:rPr>
      </w:pPr>
    </w:p>
    <w:p>
      <w:pPr>
        <w:jc w:val="both"/>
        <w:ind w:right="280" w:firstLine="987"/>
        <w:spacing w:after="0" w:line="259" w:lineRule="auto"/>
        <w:tabs>
          <w:tab w:leader="none" w:pos="1236"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This Plan will be administered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anything in this Plan to the contrary, the Board may grant Awards under this Plan to non-employee Directors and administer this Plan with respect to such Awards. The Committee may from time to time delegate all or any part of its authority under this Plan to a subcommittee thereof. To the extent of any such delegation, references in this Plan to the Committee will be deemed to be references to such subcommittee.</w:t>
      </w:r>
    </w:p>
    <w:p>
      <w:pPr>
        <w:spacing w:after="0" w:line="186" w:lineRule="exact"/>
        <w:rPr>
          <w:rFonts w:ascii="Arial" w:cs="Arial" w:eastAsia="Arial" w:hAnsi="Arial"/>
          <w:sz w:val="18"/>
          <w:szCs w:val="18"/>
          <w:color w:val="auto"/>
        </w:rPr>
      </w:pPr>
    </w:p>
    <w:p>
      <w:pPr>
        <w:ind w:firstLine="987"/>
        <w:spacing w:after="0" w:line="255" w:lineRule="auto"/>
        <w:tabs>
          <w:tab w:leader="none" w:pos="1246"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interpretation and construction by the Committee of any provision of this Plan or of any Evidence of Award (or related documents) and any determination by the Committee pursuant to any provision of this Plan or of any such agreement, notification or document will be final and conclusive. No member of the Committee shall be liable for any such action or determination made in good faith. In addition, the Committee is authorized to take any action it determines in its sole discretion to be appropriate subject only to the express limitations contained in this Plan, and no authorization in any Plan section or other provision of this Plan is intended or may be deemed to constitute a limitation on the authority of the Committee.</w:t>
      </w:r>
    </w:p>
    <w:p>
      <w:pPr>
        <w:spacing w:after="0" w:line="192" w:lineRule="exact"/>
        <w:rPr>
          <w:rFonts w:ascii="Arial" w:cs="Arial" w:eastAsia="Arial" w:hAnsi="Arial"/>
          <w:sz w:val="18"/>
          <w:szCs w:val="18"/>
          <w:color w:val="auto"/>
        </w:rPr>
      </w:pPr>
    </w:p>
    <w:p>
      <w:pPr>
        <w:ind w:firstLine="987"/>
        <w:spacing w:after="0" w:line="287" w:lineRule="auto"/>
        <w:tabs>
          <w:tab w:leader="none" w:pos="1236"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Committee may delegate to one or more of its members, to one or more Officers of the Company, or to one or more agents or advisors, such administrative duties or powers as it may deem advisable, and the Committee, the subcommittee, or any person to whom duties or powers have been delegated as aforesaid, may employ one or more persons to render advice with respect to any responsibility the Committee, the subcommittee or such person may have under this Plan. The Committee may, by resolution, authorize one or more Officers of the Company to do one or both of the following on the same basis as the Committee: (i) designate Employees to be recipients of Awards under this Plan; and (ii) determine the size of any such Awards;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the Committee will not delegate such responsibilities to any such Officer for Awards granted to an Employee who is an “officer” (for purposes of Section 16 of the Exchange Act), Director, or more than 10% “beneficial owner” (as such term is defined in Rule 13d-3 promulgated under the Exchange Act) of any class of the Company’s equity securities that is registered pursuant to Section 12 of the Exchange Act, as determined by the Committee in accordance with Section 16 of the Exchange Act; (B) the resolution providing for such authorization shall set forth the total number of shares of Stock such Officer(s) may grant; and (C) the Officer(s) will report periodically to the Committee regarding the nature and scope of the Awards granted pursuant to the authority delegated.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4" w:name="page15"/>
    <w:bookmarkEnd w:id="14"/>
    <w:p>
      <w:pPr>
        <w:ind w:left="-436" w:firstLine="436"/>
        <w:spacing w:after="0" w:line="285" w:lineRule="auto"/>
        <w:tabs>
          <w:tab w:leader="none" w:pos="267"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Adjustments. </w:t>
      </w:r>
      <w:r>
        <w:rPr>
          <w:rFonts w:ascii="Arial" w:cs="Arial" w:eastAsia="Arial" w:hAnsi="Arial"/>
          <w:sz w:val="16"/>
          <w:szCs w:val="16"/>
          <w:color w:val="auto"/>
        </w:rPr>
        <w:t>The Committee shall make or provide for such adjustments in the number of and kind of shares of Stock covered by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Options, Appreciation Rights, Restricted Stock, Restricted Stock Units, Performance Shares and Performance Units granted hereunder and, if applicable, in the number of and kind of shares of Stock covered by other awards granted pursuant to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of this Plan, in the Exercise Price and Base Price provided in outstanding Options and Appreciation Rights, respectively, in Cash Incentive Awards, and in other Award terms, as the Committee, in its sole discretion, exercised in good faith, determines is equitably required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Committee may provide in substitution for any or all outstanding Awards under this Plan such alternative consideration (including cash), if any, as it, in good faith, may determine to be equitable in the circumstances and shall require in connection therewith the surrender of all Awards so replaced in a manner that complies with Section 409A. In addition, for each Option or Appreciation Right with an Exercise Price or Base Price, respectively, greater than the consideration offered in connection with any such transaction or event or Change in Control, the Committee may in its discretion elect to cancel such Option or Appreciation Right without any payment to the person holding such Option or Appreciation Right. The Committee shall also make or provide for such adjustments in the number of shares of Stock specified in </w:t>
      </w:r>
      <w:r>
        <w:rPr>
          <w:rFonts w:ascii="Arial" w:cs="Arial" w:eastAsia="Arial" w:hAnsi="Arial"/>
          <w:sz w:val="16"/>
          <w:szCs w:val="16"/>
          <w:b w:val="1"/>
          <w:bCs w:val="1"/>
          <w:u w:val="single" w:color="auto"/>
          <w:color w:val="auto"/>
        </w:rPr>
        <w:t>Section 3</w:t>
      </w:r>
      <w:r>
        <w:rPr>
          <w:rFonts w:ascii="Arial" w:cs="Arial" w:eastAsia="Arial" w:hAnsi="Arial"/>
          <w:sz w:val="16"/>
          <w:szCs w:val="16"/>
          <w:color w:val="auto"/>
        </w:rPr>
        <w:t xml:space="preserve"> of this Plan as the Committee in its sole discretion, exercised in good faith, determines is appropriate to reflect any transaction or event described in this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adjustment to the number specified in </w:t>
      </w:r>
      <w:r>
        <w:rPr>
          <w:rFonts w:ascii="Arial" w:cs="Arial" w:eastAsia="Arial" w:hAnsi="Arial"/>
          <w:sz w:val="16"/>
          <w:szCs w:val="16"/>
          <w:b w:val="1"/>
          <w:bCs w:val="1"/>
          <w:u w:val="single" w:color="auto"/>
          <w:color w:val="auto"/>
        </w:rPr>
        <w:t>Section 3(c)</w:t>
      </w:r>
      <w:r>
        <w:rPr>
          <w:rFonts w:ascii="Arial" w:cs="Arial" w:eastAsia="Arial" w:hAnsi="Arial"/>
          <w:sz w:val="16"/>
          <w:szCs w:val="16"/>
          <w:color w:val="auto"/>
        </w:rPr>
        <w:t xml:space="preserve"> of this Plan will be made only if and to the extent that such adjustment would not cause any Option intended to qualify as an Incentive Stock Option to fail to so qualify.</w:t>
      </w:r>
    </w:p>
    <w:p>
      <w:pPr>
        <w:spacing w:after="0" w:line="389" w:lineRule="exact"/>
        <w:rPr>
          <w:rFonts w:ascii="Arial" w:cs="Arial" w:eastAsia="Arial" w:hAnsi="Arial"/>
          <w:sz w:val="16"/>
          <w:szCs w:val="16"/>
          <w:color w:val="auto"/>
        </w:rPr>
      </w:pPr>
    </w:p>
    <w:p>
      <w:pPr>
        <w:ind w:left="-436" w:right="60" w:firstLine="436"/>
        <w:spacing w:after="0" w:line="266" w:lineRule="auto"/>
        <w:tabs>
          <w:tab w:leader="none" w:pos="274"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For purposes of this Plan, except as may be otherwise prescribed by the Committee in an Evidence of Award made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a “Change in Control” will be deemed to have occurred upon the occurrence (after the Effective Date) of any one or a combination of the following events:</w:t>
      </w:r>
    </w:p>
    <w:p>
      <w:pPr>
        <w:spacing w:after="0" w:line="71" w:lineRule="exact"/>
        <w:rPr>
          <w:rFonts w:ascii="Arial" w:cs="Arial" w:eastAsia="Arial" w:hAnsi="Arial"/>
          <w:sz w:val="18"/>
          <w:szCs w:val="18"/>
          <w:color w:val="auto"/>
        </w:rPr>
      </w:pPr>
    </w:p>
    <w:p>
      <w:pPr>
        <w:ind w:left="-436" w:right="160" w:firstLine="987"/>
        <w:spacing w:after="0" w:line="270" w:lineRule="auto"/>
        <w:tabs>
          <w:tab w:leader="none" w:pos="8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 xml:space="preserve">any “person” (as such term is used in Sections 13(d) and 14(d) of the Exchange Act)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Change in Control shall not be deemed to have occurred if such degree of beneficial ownership results from any of the following: (i) an acquisition by any person who on the Effective Date is the beneficial owner of more than fifty percent (50%) of such voting power, (ii) any acquisition directly from the Company, including, without limitation, pursuant to or in connection with a public offering of securities, (iii) any acquisition by the Company, (iv) any acquisition by a trustee or other fiduciary under an employee benefit plan of the Participating Company Group or (v) any acquisition by an entity owned directly or indirectly by the Stockholders in substantially the same proportions as their ownership of the voting securities of the Company; or</w:t>
      </w:r>
    </w:p>
    <w:p>
      <w:pPr>
        <w:spacing w:after="0" w:line="180" w:lineRule="exact"/>
        <w:rPr>
          <w:rFonts w:ascii="Arial" w:cs="Arial" w:eastAsia="Arial" w:hAnsi="Arial"/>
          <w:sz w:val="17"/>
          <w:szCs w:val="17"/>
          <w:color w:val="auto"/>
        </w:rPr>
      </w:pPr>
    </w:p>
    <w:p>
      <w:pPr>
        <w:ind w:left="-436" w:right="160" w:firstLine="987"/>
        <w:spacing w:after="0" w:line="257" w:lineRule="auto"/>
        <w:tabs>
          <w:tab w:leader="none" w:pos="8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 Ownership Change Event or series of related Ownership Change Events (collectively, a “</w:t>
      </w:r>
      <w:r>
        <w:rPr>
          <w:rFonts w:ascii="Arial" w:cs="Arial" w:eastAsia="Arial" w:hAnsi="Arial"/>
          <w:sz w:val="18"/>
          <w:szCs w:val="18"/>
          <w:u w:val="single" w:color="auto"/>
          <w:color w:val="auto"/>
        </w:rPr>
        <w:t>Transaction</w:t>
      </w:r>
      <w:r>
        <w:rPr>
          <w:rFonts w:ascii="Arial" w:cs="Arial" w:eastAsia="Arial" w:hAnsi="Arial"/>
          <w:sz w:val="18"/>
          <w:szCs w:val="18"/>
          <w:color w:val="auto"/>
        </w:rPr>
        <w:t>”) in which the Stockholders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2(cc)(iii), the entity to which the assets of the Company were transferred (the “</w:t>
      </w:r>
      <w:r>
        <w:rPr>
          <w:rFonts w:ascii="Arial" w:cs="Arial" w:eastAsia="Arial" w:hAnsi="Arial"/>
          <w:sz w:val="18"/>
          <w:szCs w:val="18"/>
          <w:u w:val="single" w:color="auto"/>
          <w:color w:val="auto"/>
        </w:rPr>
        <w:t>Transferee</w:t>
      </w:r>
      <w:r>
        <w:rPr>
          <w:rFonts w:ascii="Arial" w:cs="Arial" w:eastAsia="Arial" w:hAnsi="Arial"/>
          <w:sz w:val="18"/>
          <w:szCs w:val="18"/>
          <w:color w:val="auto"/>
        </w:rPr>
        <w:t>”), as the case may be; or</w:t>
      </w:r>
    </w:p>
    <w:p>
      <w:pPr>
        <w:spacing w:after="0" w:line="187" w:lineRule="exact"/>
        <w:rPr>
          <w:rFonts w:ascii="Arial" w:cs="Arial" w:eastAsia="Arial" w:hAnsi="Arial"/>
          <w:sz w:val="18"/>
          <w:szCs w:val="18"/>
          <w:color w:val="auto"/>
        </w:rPr>
      </w:pPr>
    </w:p>
    <w:p>
      <w:pPr>
        <w:ind w:left="4984" w:hanging="4433"/>
        <w:spacing w:after="0" w:line="449" w:lineRule="auto"/>
        <w:tabs>
          <w:tab w:leader="none" w:pos="798"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consummation of a complete liquidation or dissolution of the Company after approval of the same by the stockholders of the Company; 11</w:t>
      </w:r>
    </w:p>
    <w:p>
      <w:pPr>
        <w:sectPr>
          <w:pgSz w:w="11900" w:h="16838" w:orient="portrait"/>
          <w:cols w:equalWidth="0" w:num="1">
            <w:col w:w="10564"/>
          </w:cols>
          <w:pgMar w:left="876" w:top="270" w:right="459" w:bottom="1440" w:gutter="0" w:footer="0" w:header="0"/>
        </w:sectPr>
      </w:pPr>
    </w:p>
    <w:bookmarkStart w:id="15" w:name="page16"/>
    <w:bookmarkEnd w:id="15"/>
    <w:p>
      <w:pPr>
        <w:jc w:val="both"/>
        <w:ind w:right="40"/>
        <w:spacing w:after="0" w:line="266"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 Change in Control shall be deemed not to include a transaction described in subsections (a) or (b) of this </w:t>
      </w:r>
      <w:r>
        <w:rPr>
          <w:rFonts w:ascii="Arial" w:cs="Arial" w:eastAsia="Arial" w:hAnsi="Arial"/>
          <w:sz w:val="18"/>
          <w:szCs w:val="18"/>
          <w:b w:val="1"/>
          <w:bCs w:val="1"/>
          <w:u w:val="single" w:color="auto"/>
          <w:color w:val="auto"/>
        </w:rPr>
        <w:t>Section 12</w:t>
      </w:r>
      <w:r>
        <w:rPr>
          <w:rFonts w:ascii="Arial" w:cs="Arial" w:eastAsia="Arial" w:hAnsi="Arial"/>
          <w:sz w:val="18"/>
          <w:szCs w:val="18"/>
          <w:color w:val="auto"/>
        </w:rPr>
        <w:t xml:space="preserve"> in which a majority of the members of the board of directors of the continuing, surviving or successor entity, or parent thereof, immediately after such transaction is comprised of Incumbent Directors.</w:t>
      </w:r>
    </w:p>
    <w:p>
      <w:pPr>
        <w:spacing w:after="0" w:line="180"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acquisitions of the voting securities of the Company and/or multiple Ownership Change Events are related and to be treated in the aggregate as a single Change in Control, and its determination shall be final, binding and conclusive.</w:t>
      </w:r>
    </w:p>
    <w:p>
      <w:pPr>
        <w:spacing w:after="0" w:line="184" w:lineRule="exact"/>
        <w:rPr>
          <w:sz w:val="20"/>
          <w:szCs w:val="20"/>
          <w:color w:val="auto"/>
        </w:rPr>
      </w:pPr>
    </w:p>
    <w:p>
      <w:pPr>
        <w:ind w:firstLine="436"/>
        <w:spacing w:after="0" w:line="270" w:lineRule="auto"/>
        <w:tabs>
          <w:tab w:leader="none" w:pos="71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Detrimental Activity and Recapture Provisions</w:t>
      </w:r>
      <w:r>
        <w:rPr>
          <w:rFonts w:ascii="Arial" w:cs="Arial" w:eastAsia="Arial" w:hAnsi="Arial"/>
          <w:sz w:val="17"/>
          <w:szCs w:val="17"/>
          <w:color w:val="auto"/>
        </w:rPr>
        <w:t>. Any Evidence of Award may reference a clawback policy of the Company or provide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cancellation or forfeiture of an Award or the forfeiture and repayment to the Company of any gain related to an Award, or other provisions intended to have a similar effect, upon such terms and conditions as may be determined by the Committee from time to time, if a Participant, either (a) during the Participant’s Service with the Participating Company Group, or (b) within a specified period after termination of such Service, engages in any detrimental activity, as described in the applicable Evidence of Award or such clawback policy. In addition, notwithstanding anything in this Plan to the contrary, any Evidence of Award or such clawback policy may also provide for the cancellation or forfeiture of an Award or the forfeiture and repayment to the Company of any Stock issued under and/or any other benefit related to an Award, or other provisions intended to have a similar effect, including upon such terms and conditions as may be required by the Committee or under Section 10D of the Exchange Act and any applicable rules or regulations promulgated by the Securities and Exchange Commission or any national securities exchange or national securities association on which the Stock may be traded.</w:t>
      </w:r>
    </w:p>
    <w:p>
      <w:pPr>
        <w:spacing w:after="0" w:line="176" w:lineRule="exact"/>
        <w:rPr>
          <w:rFonts w:ascii="Arial" w:cs="Arial" w:eastAsia="Arial" w:hAnsi="Arial"/>
          <w:sz w:val="17"/>
          <w:szCs w:val="17"/>
          <w:color w:val="auto"/>
        </w:rPr>
      </w:pPr>
    </w:p>
    <w:p>
      <w:pPr>
        <w:ind w:right="40" w:firstLine="436"/>
        <w:spacing w:after="0" w:line="270" w:lineRule="auto"/>
        <w:tabs>
          <w:tab w:leader="none" w:pos="71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Accommodations for Participants of Different Nationalities. </w:t>
      </w:r>
      <w:r>
        <w:rPr>
          <w:rFonts w:ascii="Arial" w:cs="Arial" w:eastAsia="Arial" w:hAnsi="Arial"/>
          <w:sz w:val="17"/>
          <w:szCs w:val="17"/>
          <w:color w:val="auto"/>
        </w:rPr>
        <w:t>In order to facilitate the making of any grant or combination of grants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Plan, the Committee may provide for such special terms for Awards to Participants as the Committee may consider necessary or appropriate to accommodate differences in local law, tax policy or custom given that Participants are expected to be nationals of the United States of America and other countries, or to provide Services to the Participating Company Group both within and outside of the United States of America. Moreover, the Committee may approve such supplements to or amendments, restatements or alternative versions of this Plan (including sub-plans) (to be considered part of this Plan)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Stockholders.</w:t>
      </w:r>
    </w:p>
    <w:p>
      <w:pPr>
        <w:spacing w:after="0" w:line="176" w:lineRule="exact"/>
        <w:rPr>
          <w:rFonts w:ascii="Arial" w:cs="Arial" w:eastAsia="Arial" w:hAnsi="Arial"/>
          <w:sz w:val="17"/>
          <w:szCs w:val="17"/>
          <w:color w:val="auto"/>
        </w:rPr>
      </w:pPr>
    </w:p>
    <w:p>
      <w:pPr>
        <w:ind w:left="700" w:hanging="264"/>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Transferability.</w:t>
      </w:r>
    </w:p>
    <w:p>
      <w:pPr>
        <w:spacing w:after="0" w:line="225" w:lineRule="exact"/>
        <w:rPr>
          <w:rFonts w:ascii="Arial" w:cs="Arial" w:eastAsia="Arial" w:hAnsi="Arial"/>
          <w:sz w:val="18"/>
          <w:szCs w:val="18"/>
          <w:color w:val="auto"/>
        </w:rPr>
      </w:pPr>
    </w:p>
    <w:p>
      <w:pPr>
        <w:ind w:right="60" w:firstLine="987"/>
        <w:spacing w:after="0" w:line="272" w:lineRule="auto"/>
        <w:tabs>
          <w:tab w:leader="none" w:pos="1236" w:val="left"/>
        </w:tabs>
        <w:numPr>
          <w:ilvl w:val="1"/>
          <w:numId w:val="22"/>
        </w:numPr>
        <w:rPr>
          <w:rFonts w:ascii="Arial" w:cs="Arial" w:eastAsia="Arial" w:hAnsi="Arial"/>
          <w:sz w:val="17"/>
          <w:szCs w:val="17"/>
          <w:color w:val="auto"/>
        </w:rPr>
      </w:pPr>
      <w:r>
        <w:rPr>
          <w:rFonts w:ascii="Arial" w:cs="Arial" w:eastAsia="Arial" w:hAnsi="Arial"/>
          <w:sz w:val="17"/>
          <w:szCs w:val="17"/>
          <w:color w:val="auto"/>
        </w:rPr>
        <w:t xml:space="preserve">Except as otherwise determined by the Committee, and subject to compliance with </w:t>
      </w:r>
      <w:r>
        <w:rPr>
          <w:rFonts w:ascii="Arial" w:cs="Arial" w:eastAsia="Arial" w:hAnsi="Arial"/>
          <w:sz w:val="17"/>
          <w:szCs w:val="17"/>
          <w:b w:val="1"/>
          <w:bCs w:val="1"/>
          <w:u w:val="single" w:color="auto"/>
          <w:color w:val="auto"/>
        </w:rPr>
        <w:t>Section 17(b)</w:t>
      </w:r>
      <w:r>
        <w:rPr>
          <w:rFonts w:ascii="Arial" w:cs="Arial" w:eastAsia="Arial" w:hAnsi="Arial"/>
          <w:sz w:val="17"/>
          <w:szCs w:val="17"/>
          <w:color w:val="auto"/>
        </w:rPr>
        <w:t xml:space="preserve"> of this Plan and Section 409A, no Option, Appreciation Right, Restricted Stock, Restricted Stock Unit, Performance Share, Performance Unit, Cash Incentive Award, award contemplated by </w:t>
      </w:r>
      <w:r>
        <w:rPr>
          <w:rFonts w:ascii="Arial" w:cs="Arial" w:eastAsia="Arial" w:hAnsi="Arial"/>
          <w:sz w:val="17"/>
          <w:szCs w:val="17"/>
          <w:b w:val="1"/>
          <w:bCs w:val="1"/>
          <w:u w:val="single" w:color="auto"/>
          <w:color w:val="auto"/>
        </w:rPr>
        <w:t>Section 9</w:t>
      </w:r>
      <w:r>
        <w:rPr>
          <w:rFonts w:ascii="Arial" w:cs="Arial" w:eastAsia="Arial" w:hAnsi="Arial"/>
          <w:sz w:val="17"/>
          <w:szCs w:val="17"/>
          <w:color w:val="auto"/>
        </w:rPr>
        <w:t xml:space="preserve"> of this Plan or Dividend Equivalent Rights paid with respect to Awards made under this Plan will be transferable by the Participant except by will or the laws of descent and distribution. In no event will any such Award granted under this Plan be transferred for value. Where transfer is permitted, references to “Participant” shall be construed, as the Committee deems appropriate, to include any permitted transferee to whom such Award is transferred. Except as otherwise determined by the Committee, Options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16" w:name="page17"/>
    <w:bookmarkEnd w:id="16"/>
    <w:p>
      <w:pPr>
        <w:ind w:left="-20" w:right="320" w:firstLine="987"/>
        <w:spacing w:after="0" w:line="301" w:lineRule="auto"/>
        <w:tabs>
          <w:tab w:leader="none" w:pos="1226" w:val="left"/>
        </w:tabs>
        <w:numPr>
          <w:ilvl w:val="1"/>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Committee may specify on the Date of Grant that part or all of the Stock that is (i) to be issued or transferred by the Company upon the exercise of Options or Appreciation Rights, upon the termination of the Restriction Period applicable to Restricted Stock Units or upon payment under any grant of Performance Shares or Performance Units or (ii) no longer subject to the substantial risk of forfeiture and restrictions on transfer referred to in </w:t>
      </w:r>
      <w:r>
        <w:rPr>
          <w:rFonts w:ascii="Arial" w:cs="Arial" w:eastAsia="Arial" w:hAnsi="Arial"/>
          <w:sz w:val="16"/>
          <w:szCs w:val="16"/>
          <w:b w:val="1"/>
          <w:bCs w:val="1"/>
          <w:u w:val="single" w:color="auto"/>
          <w:color w:val="auto"/>
        </w:rPr>
        <w:t>Section 6</w:t>
      </w:r>
      <w:r>
        <w:rPr>
          <w:rFonts w:ascii="Arial" w:cs="Arial" w:eastAsia="Arial" w:hAnsi="Arial"/>
          <w:sz w:val="16"/>
          <w:szCs w:val="16"/>
          <w:color w:val="auto"/>
        </w:rPr>
        <w:t xml:space="preserve"> of this Plan, will be subject to further restrictions on transfer, including minimum holding periods.</w:t>
      </w:r>
    </w:p>
    <w:p>
      <w:pPr>
        <w:spacing w:after="0" w:line="153" w:lineRule="exact"/>
        <w:rPr>
          <w:rFonts w:ascii="Arial" w:cs="Arial" w:eastAsia="Arial" w:hAnsi="Arial"/>
          <w:sz w:val="16"/>
          <w:szCs w:val="16"/>
          <w:color w:val="auto"/>
        </w:rPr>
      </w:pPr>
    </w:p>
    <w:p>
      <w:pPr>
        <w:ind w:left="-20" w:firstLine="436"/>
        <w:spacing w:after="0" w:line="286" w:lineRule="auto"/>
        <w:tabs>
          <w:tab w:leader="none" w:pos="69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Withholding Taxes. </w:t>
      </w:r>
      <w:r>
        <w:rPr>
          <w:rFonts w:ascii="Arial" w:cs="Arial" w:eastAsia="Arial" w:hAnsi="Arial"/>
          <w:sz w:val="16"/>
          <w:szCs w:val="16"/>
          <w:color w:val="auto"/>
        </w:rPr>
        <w:t>To the extent that the Company is required to withhold federal, state, local or foreign taxes or other amounts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connection with any payment made or benefit realized by a Participant or other person under this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may include relinquishment of a portion of such benefit. With respect to Participants who are “officers” subject to Section 16 of the Exchange Act, if the Participant’s benefit is to be received in the form of Stock, then, unless otherwise determined by the Committee, the Company will withhold from the Stock required to be delivered to the Participant, shares of Stock having a value equal to the amount required to be withheld under applicable income and employment tax laws. With respect to Participants who are not “officers” subject to Section 16 of the Exchange Act, if the Participant’s benefit is to be received in the form of Stock, then, the Company may withhold from the Stock required to be delivered to the Participant, shares of Stock having a value equal to the amount required to be withheld under applicable income and employment tax laws. The Stock used for tax or other withholding will be valued at an amount equal to the Fair Market Value of such Stock on the date the benefit is to be included in Participant’s income. In no event will the Fair Market Value of the Stock to be withheld and delivered pursuant to this </w:t>
      </w:r>
      <w:r>
        <w:rPr>
          <w:rFonts w:ascii="Arial" w:cs="Arial" w:eastAsia="Arial" w:hAnsi="Arial"/>
          <w:sz w:val="16"/>
          <w:szCs w:val="16"/>
          <w:b w:val="1"/>
          <w:bCs w:val="1"/>
          <w:u w:val="single" w:color="auto"/>
          <w:color w:val="auto"/>
        </w:rPr>
        <w:t>Section 16</w:t>
      </w:r>
      <w:r>
        <w:rPr>
          <w:rFonts w:ascii="Arial" w:cs="Arial" w:eastAsia="Arial" w:hAnsi="Arial"/>
          <w:sz w:val="16"/>
          <w:szCs w:val="16"/>
          <w:color w:val="auto"/>
        </w:rPr>
        <w:t xml:space="preserve"> exceed the minimum amount required to be withheld, unless (i) an additional amount can be withheld and not result in adverse accounting consequences, (ii) such additional withholding amount is authorized by the Committee, and (iii) the total amount withheld does not exceed the Participant’s estimated tax obligations attributable to the applicable transaction. Participants will also make such arrangements as the Company may require for the payment of any withholding tax or other obligation that may arise in connection with the disposition of Stock acquired upon the exercise of Options.</w:t>
      </w:r>
    </w:p>
    <w:p>
      <w:pPr>
        <w:spacing w:after="0" w:line="164" w:lineRule="exact"/>
        <w:rPr>
          <w:rFonts w:ascii="Arial" w:cs="Arial" w:eastAsia="Arial" w:hAnsi="Arial"/>
          <w:sz w:val="16"/>
          <w:szCs w:val="16"/>
          <w:color w:val="auto"/>
        </w:rPr>
      </w:pPr>
    </w:p>
    <w:p>
      <w:pPr>
        <w:ind w:left="680" w:hanging="264"/>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Compliance with Section 409A.</w:t>
      </w:r>
    </w:p>
    <w:p>
      <w:pPr>
        <w:spacing w:after="0" w:line="229" w:lineRule="exact"/>
        <w:rPr>
          <w:rFonts w:ascii="Arial" w:cs="Arial" w:eastAsia="Arial" w:hAnsi="Arial"/>
          <w:sz w:val="18"/>
          <w:szCs w:val="18"/>
          <w:color w:val="auto"/>
        </w:rPr>
      </w:pPr>
    </w:p>
    <w:p>
      <w:pPr>
        <w:ind w:left="-20" w:right="80" w:firstLine="987"/>
        <w:spacing w:after="0" w:line="279" w:lineRule="auto"/>
        <w:tabs>
          <w:tab w:leader="none" w:pos="1216" w:val="left"/>
        </w:tabs>
        <w:numPr>
          <w:ilvl w:val="1"/>
          <w:numId w:val="24"/>
        </w:numPr>
        <w:rPr>
          <w:rFonts w:ascii="Arial" w:cs="Arial" w:eastAsia="Arial" w:hAnsi="Arial"/>
          <w:sz w:val="17"/>
          <w:szCs w:val="17"/>
          <w:color w:val="auto"/>
        </w:rPr>
      </w:pPr>
      <w:r>
        <w:rPr>
          <w:rFonts w:ascii="Arial" w:cs="Arial" w:eastAsia="Arial" w:hAnsi="Arial"/>
          <w:sz w:val="17"/>
          <w:szCs w:val="17"/>
          <w:color w:val="auto"/>
        </w:rPr>
        <w:t>To the extent applicable, it is intended that this Plan and any grants made hereunder comply with the provisions of Section 409A, so that the income inclusion provisions of Section 409A(a)(1) of the Code do not apply to the Participants. This Plan and any grants made hereunder will be administered in a manner consistent with this intent. Any reference in this Plan to Section 409A will also include any regulations or any other formal guidance promulgated with respect to such section by the U.S. Department of the Treasury or the Internal Revenue Service.</w:t>
      </w:r>
    </w:p>
    <w:p>
      <w:pPr>
        <w:spacing w:after="0" w:line="171" w:lineRule="exact"/>
        <w:rPr>
          <w:rFonts w:ascii="Arial" w:cs="Arial" w:eastAsia="Arial" w:hAnsi="Arial"/>
          <w:sz w:val="17"/>
          <w:szCs w:val="17"/>
          <w:color w:val="auto"/>
        </w:rPr>
      </w:pPr>
    </w:p>
    <w:p>
      <w:pPr>
        <w:ind w:left="-20" w:right="100" w:firstLine="987"/>
        <w:spacing w:after="0" w:line="257" w:lineRule="auto"/>
        <w:tabs>
          <w:tab w:leader="none" w:pos="1226" w:val="left"/>
        </w:tabs>
        <w:numPr>
          <w:ilvl w:val="1"/>
          <w:numId w:val="24"/>
        </w:numPr>
        <w:rPr>
          <w:rFonts w:ascii="Arial" w:cs="Arial" w:eastAsia="Arial" w:hAnsi="Arial"/>
          <w:sz w:val="18"/>
          <w:szCs w:val="18"/>
          <w:color w:val="auto"/>
        </w:rPr>
      </w:pPr>
      <w:r>
        <w:rPr>
          <w:rFonts w:ascii="Arial" w:cs="Arial" w:eastAsia="Arial" w:hAnsi="Arial"/>
          <w:sz w:val="18"/>
          <w:szCs w:val="18"/>
          <w:color w:val="auto"/>
        </w:rPr>
        <w:t>Neither a Participant nor any of a Participant’s creditors or beneficiaries will have the right to subject any Section 409A Deferred Compensation payable under this Plan and grants hereunder to any anticipation, alienation, sale, transfer, assignment, pledge, encumbrance, attachment or garnishment. Except as permitted under Section 409A, any Section 409A Deferred Compensation payable to a Participant or for a Participant’s benefit under this Plan and grants hereunder may not be reduced by, or offset against, any amount owed by a Participant to the Company or any of its Subsidiaries.</w:t>
      </w:r>
    </w:p>
    <w:p>
      <w:pPr>
        <w:spacing w:after="0" w:line="187" w:lineRule="exact"/>
        <w:rPr>
          <w:rFonts w:ascii="Arial" w:cs="Arial" w:eastAsia="Arial" w:hAnsi="Arial"/>
          <w:sz w:val="18"/>
          <w:szCs w:val="18"/>
          <w:color w:val="auto"/>
        </w:rPr>
      </w:pPr>
    </w:p>
    <w:p>
      <w:pPr>
        <w:ind w:left="-20" w:right="60" w:firstLine="987"/>
        <w:spacing w:after="0" w:line="257" w:lineRule="auto"/>
        <w:tabs>
          <w:tab w:leader="none" w:pos="1216"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at the time of a Participant’s separation from service (within the meaning of Section 409A), (i) the Participant will be a specified employee (within the meaning of Section 409A and using the identification methodology selected by the Company from time to time) and (ii) the Company makes a good faith determination that an amount payable hereunder constitutes Section 409A Deferred Compensation the payment of which is required to be delayed pursuant to the six-month delay rule set forth in Section 409A in order to avoid taxes or penalties under Section 409A, then the Company will not pay such amount on the otherwise scheduled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60" w:top="274"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date but will instead pay it, without interest, on the tenth business day of the seventh month after such separation from service.</w:t>
      </w:r>
    </w:p>
    <w:p>
      <w:pPr>
        <w:spacing w:after="0" w:line="225" w:lineRule="exact"/>
        <w:rPr>
          <w:sz w:val="20"/>
          <w:szCs w:val="20"/>
          <w:color w:val="auto"/>
        </w:rPr>
      </w:pPr>
    </w:p>
    <w:p>
      <w:pPr>
        <w:ind w:right="20" w:firstLine="987"/>
        <w:spacing w:after="0" w:line="296" w:lineRule="auto"/>
        <w:tabs>
          <w:tab w:leader="none" w:pos="1246" w:val="left"/>
        </w:tabs>
        <w:numPr>
          <w:ilvl w:val="1"/>
          <w:numId w:val="25"/>
        </w:numPr>
        <w:rPr>
          <w:rFonts w:ascii="Arial" w:cs="Arial" w:eastAsia="Arial" w:hAnsi="Arial"/>
          <w:sz w:val="16"/>
          <w:szCs w:val="16"/>
          <w:color w:val="auto"/>
        </w:rPr>
      </w:pPr>
      <w:r>
        <w:rPr>
          <w:rFonts w:ascii="Arial" w:cs="Arial" w:eastAsia="Arial" w:hAnsi="Arial"/>
          <w:sz w:val="16"/>
          <w:szCs w:val="16"/>
          <w:color w:val="auto"/>
        </w:rPr>
        <w:t>Solely with respect to any Award that constitutes Section 409A Deferred Compensation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and form of payment that complies with Section 409A, without altering the definition of Change in Control for any purpose in respect of such Award.</w:t>
      </w:r>
    </w:p>
    <w:p>
      <w:pPr>
        <w:spacing w:after="0" w:line="161" w:lineRule="exact"/>
        <w:rPr>
          <w:rFonts w:ascii="Arial" w:cs="Arial" w:eastAsia="Arial" w:hAnsi="Arial"/>
          <w:sz w:val="16"/>
          <w:szCs w:val="16"/>
          <w:color w:val="auto"/>
        </w:rPr>
      </w:pPr>
    </w:p>
    <w:p>
      <w:pPr>
        <w:ind w:firstLine="987"/>
        <w:spacing w:after="0" w:line="273" w:lineRule="auto"/>
        <w:tabs>
          <w:tab w:leader="none" w:pos="1236" w:val="left"/>
        </w:tabs>
        <w:numPr>
          <w:ilvl w:val="1"/>
          <w:numId w:val="25"/>
        </w:numPr>
        <w:rPr>
          <w:rFonts w:ascii="Arial" w:cs="Arial" w:eastAsia="Arial" w:hAnsi="Arial"/>
          <w:sz w:val="17"/>
          <w:szCs w:val="17"/>
          <w:color w:val="auto"/>
        </w:rPr>
      </w:pPr>
      <w:r>
        <w:rPr>
          <w:rFonts w:ascii="Arial" w:cs="Arial" w:eastAsia="Arial" w:hAnsi="Arial"/>
          <w:sz w:val="17"/>
          <w:szCs w:val="17"/>
          <w:color w:val="auto"/>
        </w:rPr>
        <w:t>Notwithstanding any provision of this Plan and grants hereunder to the contrary, in light of the uncertainty with respect to the proper application of Section 409A, the Company reserves the right to make amendments to this Plan and grants hereunder as the Company deems necessary or desirable to avoid the imposition of taxes or penalties under Section 409A. In any case, a Participant will be solely responsible and liable for the satisfaction of all taxes and penalties that may be imposed on a Participant or for a Participant’s account in connection with this Plan and grants hereunder (including any taxes and penalties under Section 409A), and neither the Company nor any of its affiliates will have any obligation to indemnify or otherwise hold a Participant harmless from any or all of such taxes or penalties.</w:t>
      </w:r>
    </w:p>
    <w:p>
      <w:pPr>
        <w:spacing w:after="0" w:line="173" w:lineRule="exact"/>
        <w:rPr>
          <w:rFonts w:ascii="Arial" w:cs="Arial" w:eastAsia="Arial" w:hAnsi="Arial"/>
          <w:sz w:val="17"/>
          <w:szCs w:val="17"/>
          <w:color w:val="auto"/>
        </w:rPr>
      </w:pPr>
    </w:p>
    <w:p>
      <w:pPr>
        <w:ind w:left="700" w:hanging="264"/>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Amendments.</w:t>
      </w:r>
    </w:p>
    <w:p>
      <w:pPr>
        <w:spacing w:after="0" w:line="229" w:lineRule="exact"/>
        <w:rPr>
          <w:rFonts w:ascii="Arial" w:cs="Arial" w:eastAsia="Arial" w:hAnsi="Arial"/>
          <w:sz w:val="18"/>
          <w:szCs w:val="18"/>
          <w:color w:val="auto"/>
        </w:rPr>
      </w:pPr>
    </w:p>
    <w:p>
      <w:pPr>
        <w:ind w:right="60" w:firstLine="987"/>
        <w:spacing w:after="0" w:line="272" w:lineRule="auto"/>
        <w:tabs>
          <w:tab w:leader="none" w:pos="1236" w:val="left"/>
        </w:tabs>
        <w:numPr>
          <w:ilvl w:val="1"/>
          <w:numId w:val="26"/>
        </w:numPr>
        <w:rPr>
          <w:rFonts w:ascii="Arial" w:cs="Arial" w:eastAsia="Arial" w:hAnsi="Arial"/>
          <w:sz w:val="17"/>
          <w:szCs w:val="17"/>
          <w:color w:val="auto"/>
        </w:rPr>
      </w:pPr>
      <w:r>
        <w:rPr>
          <w:rFonts w:ascii="Arial" w:cs="Arial" w:eastAsia="Arial" w:hAnsi="Arial"/>
          <w:sz w:val="17"/>
          <w:szCs w:val="17"/>
          <w:color w:val="auto"/>
        </w:rPr>
        <w:t xml:space="preserve">The Board may at any time and from time to time amend this Plan in whole or in part;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an amendment to this Plan, for purposes of applicable stock exchange rules and except as permitted under </w:t>
      </w:r>
      <w:r>
        <w:rPr>
          <w:rFonts w:ascii="Arial" w:cs="Arial" w:eastAsia="Arial" w:hAnsi="Arial"/>
          <w:sz w:val="17"/>
          <w:szCs w:val="17"/>
          <w:b w:val="1"/>
          <w:bCs w:val="1"/>
          <w:u w:val="single" w:color="auto"/>
          <w:color w:val="auto"/>
        </w:rPr>
        <w:t>Section 11</w:t>
      </w:r>
      <w:r>
        <w:rPr>
          <w:rFonts w:ascii="Arial" w:cs="Arial" w:eastAsia="Arial" w:hAnsi="Arial"/>
          <w:sz w:val="17"/>
          <w:szCs w:val="17"/>
          <w:color w:val="auto"/>
        </w:rPr>
        <w:t xml:space="preserve"> of this Plan, (i) would materially increase the benefits accruing to Participants under this Plan, (ii) would materially increase the number of securities which may be issued under this Plan, (iii) would materially modify the requirements for participation in this Plan, or (iv) must otherwise be approved by the Stockholders in order to comply with applicable law or the rules of the New York Stock Exchange or, if the Stock is not traded on the New York Stock Exchange, the principal national securities exchange upon which the Stock is traded or quoted, all as determined by the Board, then, such amendment will be subject to Stockholder approval and will not be effective unless and until such approval has been obtained.</w:t>
      </w:r>
    </w:p>
    <w:p>
      <w:pPr>
        <w:spacing w:after="0" w:line="173" w:lineRule="exact"/>
        <w:rPr>
          <w:rFonts w:ascii="Arial" w:cs="Arial" w:eastAsia="Arial" w:hAnsi="Arial"/>
          <w:sz w:val="17"/>
          <w:szCs w:val="17"/>
          <w:color w:val="auto"/>
        </w:rPr>
      </w:pPr>
    </w:p>
    <w:p>
      <w:pPr>
        <w:ind w:right="140" w:firstLine="987"/>
        <w:spacing w:after="0" w:line="272" w:lineRule="auto"/>
        <w:tabs>
          <w:tab w:leader="none" w:pos="1246" w:val="left"/>
        </w:tabs>
        <w:numPr>
          <w:ilvl w:val="1"/>
          <w:numId w:val="26"/>
        </w:numPr>
        <w:rPr>
          <w:rFonts w:ascii="Arial" w:cs="Arial" w:eastAsia="Arial" w:hAnsi="Arial"/>
          <w:sz w:val="17"/>
          <w:szCs w:val="17"/>
          <w:color w:val="auto"/>
        </w:rPr>
      </w:pPr>
      <w:r>
        <w:rPr>
          <w:rFonts w:ascii="Arial" w:cs="Arial" w:eastAsia="Arial" w:hAnsi="Arial"/>
          <w:sz w:val="17"/>
          <w:szCs w:val="17"/>
          <w:color w:val="auto"/>
        </w:rPr>
        <w:t xml:space="preserve">Except in connection with a corporate transaction or event described in </w:t>
      </w:r>
      <w:r>
        <w:rPr>
          <w:rFonts w:ascii="Arial" w:cs="Arial" w:eastAsia="Arial" w:hAnsi="Arial"/>
          <w:sz w:val="17"/>
          <w:szCs w:val="17"/>
          <w:b w:val="1"/>
          <w:bCs w:val="1"/>
          <w:u w:val="single" w:color="auto"/>
          <w:color w:val="auto"/>
        </w:rPr>
        <w:t>Section 11</w:t>
      </w:r>
      <w:r>
        <w:rPr>
          <w:rFonts w:ascii="Arial" w:cs="Arial" w:eastAsia="Arial" w:hAnsi="Arial"/>
          <w:sz w:val="17"/>
          <w:szCs w:val="17"/>
          <w:color w:val="auto"/>
        </w:rPr>
        <w:t xml:space="preserve"> of this Plan or in connection with a Change in Control, the terms of outstanding Awards may not be amended to reduce the Exercise Price of outstanding Options or the Base Price of outstanding Appreciation Rights, or cancel outstanding “underwater” Options or Appreciation Rights (including following a Participant’s voluntary surrender of “underwater” Options or Appreciation Rights) in exchange for cash, other awards or Options or Appreciation Rights with an Exercise Price or Base Price, as applicable, that is less than the Exercise Price of the original Options or Base Price of the original Appreciation Rights, as applicable, without Stockholder approval. This </w:t>
      </w:r>
      <w:r>
        <w:rPr>
          <w:rFonts w:ascii="Arial" w:cs="Arial" w:eastAsia="Arial" w:hAnsi="Arial"/>
          <w:sz w:val="17"/>
          <w:szCs w:val="17"/>
          <w:b w:val="1"/>
          <w:bCs w:val="1"/>
          <w:u w:val="single" w:color="auto"/>
          <w:color w:val="auto"/>
        </w:rPr>
        <w:t>Section 18(b)</w:t>
      </w:r>
      <w:r>
        <w:rPr>
          <w:rFonts w:ascii="Arial" w:cs="Arial" w:eastAsia="Arial" w:hAnsi="Arial"/>
          <w:sz w:val="17"/>
          <w:szCs w:val="17"/>
          <w:color w:val="auto"/>
        </w:rPr>
        <w:t xml:space="preserve"> is intended to prohibit the repricing of “underwater” Options and Appreciation Rights and will not be construed to prohibit the adjustments provided for in </w:t>
      </w:r>
      <w:r>
        <w:rPr>
          <w:rFonts w:ascii="Arial" w:cs="Arial" w:eastAsia="Arial" w:hAnsi="Arial"/>
          <w:sz w:val="17"/>
          <w:szCs w:val="17"/>
          <w:b w:val="1"/>
          <w:bCs w:val="1"/>
          <w:u w:val="single" w:color="auto"/>
          <w:color w:val="auto"/>
        </w:rPr>
        <w:t>Section 11</w:t>
      </w:r>
      <w:r>
        <w:rPr>
          <w:rFonts w:ascii="Arial" w:cs="Arial" w:eastAsia="Arial" w:hAnsi="Arial"/>
          <w:sz w:val="17"/>
          <w:szCs w:val="17"/>
          <w:color w:val="auto"/>
        </w:rPr>
        <w:t xml:space="preserve"> of this Plan. Notwithstanding any provision of this Plan to the contrary, this </w:t>
      </w:r>
      <w:r>
        <w:rPr>
          <w:rFonts w:ascii="Arial" w:cs="Arial" w:eastAsia="Arial" w:hAnsi="Arial"/>
          <w:sz w:val="17"/>
          <w:szCs w:val="17"/>
          <w:b w:val="1"/>
          <w:bCs w:val="1"/>
          <w:u w:val="single" w:color="auto"/>
          <w:color w:val="auto"/>
        </w:rPr>
        <w:t>Section 18(b)</w:t>
      </w:r>
      <w:r>
        <w:rPr>
          <w:rFonts w:ascii="Arial" w:cs="Arial" w:eastAsia="Arial" w:hAnsi="Arial"/>
          <w:sz w:val="17"/>
          <w:szCs w:val="17"/>
          <w:b w:val="1"/>
          <w:bCs w:val="1"/>
          <w:color w:val="auto"/>
        </w:rPr>
        <w:t xml:space="preserve"> </w:t>
      </w:r>
      <w:r>
        <w:rPr>
          <w:rFonts w:ascii="Arial" w:cs="Arial" w:eastAsia="Arial" w:hAnsi="Arial"/>
          <w:sz w:val="17"/>
          <w:szCs w:val="17"/>
          <w:color w:val="auto"/>
        </w:rPr>
        <w:t>may not be amended without approval by the Stockholders.</w:t>
      </w:r>
    </w:p>
    <w:p>
      <w:pPr>
        <w:spacing w:after="0" w:line="175" w:lineRule="exact"/>
        <w:rPr>
          <w:rFonts w:ascii="Arial" w:cs="Arial" w:eastAsia="Arial" w:hAnsi="Arial"/>
          <w:sz w:val="17"/>
          <w:szCs w:val="17"/>
          <w:color w:val="auto"/>
        </w:rPr>
      </w:pPr>
    </w:p>
    <w:p>
      <w:pPr>
        <w:ind w:right="20" w:firstLine="987"/>
        <w:spacing w:after="0" w:line="293" w:lineRule="auto"/>
        <w:tabs>
          <w:tab w:leader="none" w:pos="1236"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If permitted by Section 409A, but subject to the paragraph that follows, including in the case of termination of employment or service, or in the case of unforeseeable emergency or other circumstances or in the event of a Change in Control, to the extent a Participant holds an Option or Appreciation Right not immediately exercisable in full, or any Restricted Stock as to which the substantial risk of forfeiture or the prohibition or restriction on transfer has not lapsed, or any Restricted Stock Units as to which the Restriction Period has not been completed, or any Cash Incentive Awards, Performance Shares or Performance Units which have not been fully earned, or any Dividend Equivalent Rights or other awards made pursuant to </w:t>
      </w:r>
      <w:r>
        <w:rPr>
          <w:rFonts w:ascii="Arial" w:cs="Arial" w:eastAsia="Arial" w:hAnsi="Arial"/>
          <w:sz w:val="16"/>
          <w:szCs w:val="16"/>
          <w:b w:val="1"/>
          <w:bCs w:val="1"/>
          <w:u w:val="single" w:color="auto"/>
          <w:color w:val="auto"/>
        </w:rPr>
        <w:t>Section 9</w:t>
      </w:r>
      <w:r>
        <w:rPr>
          <w:rFonts w:ascii="Arial" w:cs="Arial" w:eastAsia="Arial" w:hAnsi="Arial"/>
          <w:sz w:val="16"/>
          <w:szCs w:val="16"/>
          <w:color w:val="auto"/>
        </w:rPr>
        <w:t xml:space="preserve"> of this Plan subject to any vesting schedule or transfer restriction, or who holds Stock subject to any transfer restriction imposed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18" w:name="page19"/>
    <w:bookmarkEnd w:id="18"/>
    <w:p>
      <w:pPr>
        <w:ind w:right="12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pursuant to </w:t>
      </w:r>
      <w:r>
        <w:rPr>
          <w:rFonts w:ascii="Arial" w:cs="Arial" w:eastAsia="Arial" w:hAnsi="Arial"/>
          <w:sz w:val="18"/>
          <w:szCs w:val="18"/>
          <w:b w:val="1"/>
          <w:bCs w:val="1"/>
          <w:u w:val="single" w:color="auto"/>
          <w:color w:val="auto"/>
        </w:rPr>
        <w:t>Section 15(b)</w:t>
      </w:r>
      <w:r>
        <w:rPr>
          <w:rFonts w:ascii="Arial" w:cs="Arial" w:eastAsia="Arial" w:hAnsi="Arial"/>
          <w:sz w:val="18"/>
          <w:szCs w:val="18"/>
          <w:color w:val="auto"/>
        </w:rPr>
        <w:t xml:space="preserve"> of this Plan, the Committee may, in its sole discretion, provide for continued vesting or accelerate the time at which such Option, Appreciation Right or other award may vest or be exercised or the time at which such substantial risk of forfeiture or prohibition or restriction on transfer will lapse or the time when such Restriction Period will end or the time at which such Cash Incentive Awards, Performance Shares or Performance Units will be deemed to have been earned or the time when such transfer restriction will terminate or may waive any other limitation or requirement under any such Award.</w:t>
      </w:r>
    </w:p>
    <w:p>
      <w:pPr>
        <w:spacing w:after="0" w:line="183" w:lineRule="exact"/>
        <w:rPr>
          <w:sz w:val="20"/>
          <w:szCs w:val="20"/>
          <w:color w:val="auto"/>
        </w:rPr>
      </w:pPr>
    </w:p>
    <w:p>
      <w:pPr>
        <w:ind w:right="40" w:firstLine="987"/>
        <w:spacing w:after="0" w:line="303" w:lineRule="auto"/>
        <w:tabs>
          <w:tab w:leader="none" w:pos="1246"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b w:val="1"/>
          <w:bCs w:val="1"/>
          <w:u w:val="single" w:color="auto"/>
          <w:color w:val="auto"/>
        </w:rPr>
        <w:t>Section 18(b)</w:t>
      </w:r>
      <w:r>
        <w:rPr>
          <w:rFonts w:ascii="Arial" w:cs="Arial" w:eastAsia="Arial" w:hAnsi="Arial"/>
          <w:sz w:val="16"/>
          <w:szCs w:val="16"/>
          <w:color w:val="auto"/>
        </w:rPr>
        <w:t xml:space="preserve"> of this Plan, the Committee may amend the terms of any Award theretofore granted under this Plan prospectively or retroactively. Except for adjustments made pursuant to </w:t>
      </w:r>
      <w:r>
        <w:rPr>
          <w:rFonts w:ascii="Arial" w:cs="Arial" w:eastAsia="Arial" w:hAnsi="Arial"/>
          <w:sz w:val="16"/>
          <w:szCs w:val="16"/>
          <w:b w:val="1"/>
          <w:bCs w:val="1"/>
          <w:u w:val="single" w:color="auto"/>
          <w:color w:val="auto"/>
        </w:rPr>
        <w:t>Section 11</w:t>
      </w:r>
      <w:r>
        <w:rPr>
          <w:rFonts w:ascii="Arial" w:cs="Arial" w:eastAsia="Arial" w:hAnsi="Arial"/>
          <w:sz w:val="16"/>
          <w:szCs w:val="16"/>
          <w:color w:val="auto"/>
        </w:rPr>
        <w:t xml:space="preserve"> of this Plan, no such amendment will materially impair the rights of any Participant without his or her consent. The Board may, in its discretion, terminate this Plan at any time. Termination of this Plan will not affect the rights of Participants or their successors under any Awards outstanding hereunder and not exercised in full on the date of termination.</w:t>
      </w:r>
    </w:p>
    <w:p>
      <w:pPr>
        <w:spacing w:after="0" w:line="150" w:lineRule="exact"/>
        <w:rPr>
          <w:rFonts w:ascii="Arial" w:cs="Arial" w:eastAsia="Arial" w:hAnsi="Arial"/>
          <w:sz w:val="16"/>
          <w:szCs w:val="16"/>
          <w:color w:val="auto"/>
        </w:rPr>
      </w:pPr>
    </w:p>
    <w:p>
      <w:pPr>
        <w:ind w:firstLine="436"/>
        <w:spacing w:after="0" w:line="312" w:lineRule="auto"/>
        <w:tabs>
          <w:tab w:leader="none" w:pos="71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Choice of Law</w:t>
      </w:r>
      <w:r>
        <w:rPr>
          <w:rFonts w:ascii="Arial" w:cs="Arial" w:eastAsia="Arial" w:hAnsi="Arial"/>
          <w:sz w:val="17"/>
          <w:szCs w:val="17"/>
          <w:color w:val="auto"/>
        </w:rPr>
        <w:t>. Except to the extent governed by applicable federal law, the validity, interpretation, construction and performance of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and each Evidence of Award shall be governed by the laws of the State of Delaware, without regard to its conflict of law rules.</w:t>
      </w:r>
    </w:p>
    <w:p>
      <w:pPr>
        <w:spacing w:after="0" w:line="139" w:lineRule="exact"/>
        <w:rPr>
          <w:rFonts w:ascii="Arial" w:cs="Arial" w:eastAsia="Arial" w:hAnsi="Arial"/>
          <w:sz w:val="17"/>
          <w:szCs w:val="17"/>
          <w:color w:val="auto"/>
        </w:rPr>
      </w:pPr>
    </w:p>
    <w:p>
      <w:pPr>
        <w:jc w:val="both"/>
        <w:ind w:right="40" w:firstLine="436"/>
        <w:spacing w:after="0" w:line="277" w:lineRule="auto"/>
        <w:tabs>
          <w:tab w:leader="none" w:pos="71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Effective Date/Termination. </w:t>
      </w:r>
      <w:r>
        <w:rPr>
          <w:rFonts w:ascii="Arial" w:cs="Arial" w:eastAsia="Arial" w:hAnsi="Arial"/>
          <w:sz w:val="17"/>
          <w:szCs w:val="17"/>
          <w:color w:val="auto"/>
        </w:rPr>
        <w:t>This Plan will be effective as of the Effective Date. No grants will be made on or after the Effective Date under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Predecessor Plans,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outstanding awards granted under the Predecessor Plans will continue unaffected following the Effective Date. No grant will be made under this Plan on or after the tenth anniversary of the Effective Date, but all grants made prior to such date will continue in effect thereafter subject to the terms thereof and of this Plan. For clarification purposes, the terms and conditions of this Plan shall not apply to or otherwise impact previously granted and outstanding awards under the Predecessor Plans, as applicable.</w:t>
      </w:r>
    </w:p>
    <w:p>
      <w:pPr>
        <w:spacing w:after="0" w:line="167" w:lineRule="exact"/>
        <w:rPr>
          <w:rFonts w:ascii="Arial" w:cs="Arial" w:eastAsia="Arial" w:hAnsi="Arial"/>
          <w:sz w:val="17"/>
          <w:szCs w:val="17"/>
          <w:color w:val="auto"/>
        </w:rPr>
      </w:pPr>
    </w:p>
    <w:p>
      <w:pPr>
        <w:ind w:left="700" w:hanging="264"/>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Miscellaneous Provisions.</w:t>
      </w:r>
    </w:p>
    <w:p>
      <w:pPr>
        <w:spacing w:after="0" w:line="229" w:lineRule="exact"/>
        <w:rPr>
          <w:rFonts w:ascii="Arial" w:cs="Arial" w:eastAsia="Arial" w:hAnsi="Arial"/>
          <w:sz w:val="18"/>
          <w:szCs w:val="18"/>
          <w:color w:val="auto"/>
        </w:rPr>
      </w:pPr>
    </w:p>
    <w:p>
      <w:pPr>
        <w:ind w:right="60" w:firstLine="987"/>
        <w:spacing w:after="0" w:line="277" w:lineRule="auto"/>
        <w:tabs>
          <w:tab w:leader="none" w:pos="1236"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will not be required to issue any fractional Stock pursuant to this Plan. The Committee may provide for the elimination of fractions or for the settlement of fractions in cash.</w:t>
      </w:r>
    </w:p>
    <w:p>
      <w:pPr>
        <w:spacing w:after="0" w:line="170" w:lineRule="exact"/>
        <w:rPr>
          <w:rFonts w:ascii="Arial" w:cs="Arial" w:eastAsia="Arial" w:hAnsi="Arial"/>
          <w:sz w:val="18"/>
          <w:szCs w:val="18"/>
          <w:color w:val="auto"/>
        </w:rPr>
      </w:pPr>
    </w:p>
    <w:p>
      <w:pPr>
        <w:ind w:right="20" w:firstLine="987"/>
        <w:spacing w:after="0" w:line="263" w:lineRule="auto"/>
        <w:tabs>
          <w:tab w:leader="none" w:pos="1246"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This Plan will not confer upon any Participant any right with respect to continuance of employment or other service with Participating Company Group, nor will it interfere in any way with any right any Participating Company would otherwise have to terminate such Participant’s employment or other service at any time.</w:t>
      </w:r>
    </w:p>
    <w:p>
      <w:pPr>
        <w:spacing w:after="0" w:line="179" w:lineRule="exact"/>
        <w:rPr>
          <w:rFonts w:ascii="Arial" w:cs="Arial" w:eastAsia="Arial" w:hAnsi="Arial"/>
          <w:sz w:val="18"/>
          <w:szCs w:val="18"/>
          <w:color w:val="auto"/>
        </w:rPr>
      </w:pPr>
    </w:p>
    <w:p>
      <w:pPr>
        <w:ind w:right="440" w:firstLine="987"/>
        <w:spacing w:after="0" w:line="289" w:lineRule="auto"/>
        <w:tabs>
          <w:tab w:leader="none" w:pos="1236" w:val="left"/>
        </w:tabs>
        <w:numPr>
          <w:ilvl w:val="1"/>
          <w:numId w:val="28"/>
        </w:numPr>
        <w:rPr>
          <w:rFonts w:ascii="Arial" w:cs="Arial" w:eastAsia="Arial" w:hAnsi="Arial"/>
          <w:sz w:val="17"/>
          <w:szCs w:val="17"/>
          <w:color w:val="auto"/>
        </w:rPr>
      </w:pPr>
      <w:r>
        <w:rPr>
          <w:rFonts w:ascii="Arial" w:cs="Arial" w:eastAsia="Arial" w:hAnsi="Arial"/>
          <w:sz w:val="17"/>
          <w:szCs w:val="17"/>
          <w:color w:val="auto"/>
        </w:rPr>
        <w:t xml:space="preserve">Except with respect to </w:t>
      </w:r>
      <w:r>
        <w:rPr>
          <w:rFonts w:ascii="Arial" w:cs="Arial" w:eastAsia="Arial" w:hAnsi="Arial"/>
          <w:sz w:val="17"/>
          <w:szCs w:val="17"/>
          <w:b w:val="1"/>
          <w:bCs w:val="1"/>
          <w:u w:val="single" w:color="auto"/>
          <w:color w:val="auto"/>
        </w:rPr>
        <w:t>Section 21(e)</w:t>
      </w:r>
      <w:r>
        <w:rPr>
          <w:rFonts w:ascii="Arial" w:cs="Arial" w:eastAsia="Arial" w:hAnsi="Arial"/>
          <w:sz w:val="17"/>
          <w:szCs w:val="17"/>
          <w:color w:val="auto"/>
        </w:rPr>
        <w:t xml:space="preserve"> of this Plan, to the extent that any provision of this Plan would prevent any Option that was intended to qualify as an Incentive Stock Option from qualifying as such, that provision will be null and void with respect to such Option. Such provision, however, will remain in effect for other Options and there will be no further effect on any provision of this Plan.</w:t>
      </w:r>
    </w:p>
    <w:p>
      <w:pPr>
        <w:spacing w:after="0" w:line="161" w:lineRule="exact"/>
        <w:rPr>
          <w:rFonts w:ascii="Arial" w:cs="Arial" w:eastAsia="Arial" w:hAnsi="Arial"/>
          <w:sz w:val="17"/>
          <w:szCs w:val="17"/>
          <w:color w:val="auto"/>
        </w:rPr>
      </w:pPr>
    </w:p>
    <w:p>
      <w:pPr>
        <w:jc w:val="both"/>
        <w:ind w:right="60" w:firstLine="987"/>
        <w:spacing w:after="0" w:line="263" w:lineRule="auto"/>
        <w:tabs>
          <w:tab w:leader="none" w:pos="1246"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 Award under this Plan may be exercised by the holder thereof if such exercise, and the receipt of cash or shares thereunder, would be, in the opinion of counsel selected by the Company, contrary to law or the regulations of any duly constituted authority having jurisdiction over this Plan.</w:t>
      </w:r>
    </w:p>
    <w:p>
      <w:pPr>
        <w:spacing w:after="0" w:line="183" w:lineRule="exact"/>
        <w:rPr>
          <w:rFonts w:ascii="Arial" w:cs="Arial" w:eastAsia="Arial" w:hAnsi="Arial"/>
          <w:sz w:val="18"/>
          <w:szCs w:val="18"/>
          <w:color w:val="auto"/>
        </w:rPr>
      </w:pPr>
    </w:p>
    <w:p>
      <w:pPr>
        <w:ind w:right="20" w:firstLine="987"/>
        <w:spacing w:after="0" w:line="277" w:lineRule="auto"/>
        <w:tabs>
          <w:tab w:leader="none" w:pos="1236" w:val="left"/>
        </w:tabs>
        <w:numPr>
          <w:ilvl w:val="1"/>
          <w:numId w:val="28"/>
        </w:numPr>
        <w:rPr>
          <w:rFonts w:ascii="Arial" w:cs="Arial" w:eastAsia="Arial" w:hAnsi="Arial"/>
          <w:sz w:val="18"/>
          <w:szCs w:val="18"/>
          <w:color w:val="auto"/>
        </w:rPr>
      </w:pPr>
      <w:r>
        <w:rPr>
          <w:rFonts w:ascii="Arial" w:cs="Arial" w:eastAsia="Arial" w:hAnsi="Arial"/>
          <w:sz w:val="18"/>
          <w:szCs w:val="18"/>
          <w:color w:val="auto"/>
        </w:rPr>
        <w:t>Absence on leave approved by a duly constituted Officer of the Company or any of its Subsidiaries will not be considered interruption or termination of service of any Employee for any purposes of this Plan or Awards granted hereunder.</w:t>
      </w:r>
    </w:p>
    <w:p>
      <w:pPr>
        <w:spacing w:after="0" w:line="170" w:lineRule="exact"/>
        <w:rPr>
          <w:rFonts w:ascii="Arial" w:cs="Arial" w:eastAsia="Arial" w:hAnsi="Arial"/>
          <w:sz w:val="18"/>
          <w:szCs w:val="18"/>
          <w:color w:val="auto"/>
        </w:rPr>
      </w:pPr>
    </w:p>
    <w:p>
      <w:pPr>
        <w:ind w:right="80" w:firstLine="987"/>
        <w:spacing w:after="0" w:line="308" w:lineRule="auto"/>
        <w:tabs>
          <w:tab w:leader="none" w:pos="1216" w:val="left"/>
        </w:tabs>
        <w:numPr>
          <w:ilvl w:val="1"/>
          <w:numId w:val="28"/>
        </w:numPr>
        <w:rPr>
          <w:rFonts w:ascii="Arial" w:cs="Arial" w:eastAsia="Arial" w:hAnsi="Arial"/>
          <w:sz w:val="17"/>
          <w:szCs w:val="17"/>
          <w:color w:val="auto"/>
        </w:rPr>
      </w:pPr>
      <w:r>
        <w:rPr>
          <w:rFonts w:ascii="Arial" w:cs="Arial" w:eastAsia="Arial" w:hAnsi="Arial"/>
          <w:sz w:val="17"/>
          <w:szCs w:val="17"/>
          <w:color w:val="auto"/>
        </w:rPr>
        <w:t>No Participant will have any rights as a Stockholder with respect to any Stock subject to Awards granted to him or her under this Plan prior to the date as of which he or she is actually recorded as the holder of such Stock upon the share records of the Company.</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440" w:top="270" w:right="539" w:bottom="1440" w:gutter="0" w:footer="0" w:header="0"/>
        </w:sectPr>
      </w:pPr>
    </w:p>
    <w:bookmarkStart w:id="19" w:name="page20"/>
    <w:bookmarkEnd w:id="19"/>
    <w:p>
      <w:pPr>
        <w:ind w:firstLine="987"/>
        <w:spacing w:after="0" w:line="263" w:lineRule="auto"/>
        <w:tabs>
          <w:tab w:leader="none" w:pos="1246" w:val="left"/>
        </w:tabs>
        <w:numPr>
          <w:ilvl w:val="1"/>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Committee may condition the grant of any Award or combination of Awards authorized under this Plan on the surrender or deferral by the Participant of his or her right to receive a cash bonus or other compensation otherwise payable by the Participating Company Group to the Participant.</w:t>
      </w:r>
    </w:p>
    <w:p>
      <w:pPr>
        <w:spacing w:after="0" w:line="183" w:lineRule="exact"/>
        <w:rPr>
          <w:rFonts w:ascii="Arial" w:cs="Arial" w:eastAsia="Arial" w:hAnsi="Arial"/>
          <w:sz w:val="18"/>
          <w:szCs w:val="18"/>
          <w:color w:val="auto"/>
        </w:rPr>
      </w:pPr>
    </w:p>
    <w:p>
      <w:pPr>
        <w:ind w:right="80" w:firstLine="987"/>
        <w:spacing w:after="0" w:line="259" w:lineRule="auto"/>
        <w:tabs>
          <w:tab w:leader="none" w:pos="1246" w:val="left"/>
        </w:tabs>
        <w:numPr>
          <w:ilvl w:val="1"/>
          <w:numId w:val="29"/>
        </w:numPr>
        <w:rPr>
          <w:rFonts w:ascii="Arial" w:cs="Arial" w:eastAsia="Arial" w:hAnsi="Arial"/>
          <w:sz w:val="18"/>
          <w:szCs w:val="18"/>
          <w:color w:val="auto"/>
        </w:rPr>
      </w:pPr>
      <w:r>
        <w:rPr>
          <w:rFonts w:ascii="Arial" w:cs="Arial" w:eastAsia="Arial" w:hAnsi="Arial"/>
          <w:sz w:val="18"/>
          <w:szCs w:val="18"/>
          <w:color w:val="auto"/>
        </w:rPr>
        <w:t>Except with respect to Options and Appreciation Rights, the Committee may permit Participants to elect to defer the issuance of Stock under this Plan pursuant to such rules, procedures or programs as it may establish for purposes of this Plan and which are intended to comply with the requirements of Section 409A. The Committee also may provide that deferred issuances and settlements include the crediting of Dividend Equivalent Rights or interest on the deferral amounts.</w:t>
      </w:r>
    </w:p>
    <w:p>
      <w:pPr>
        <w:spacing w:after="0" w:line="186" w:lineRule="exact"/>
        <w:rPr>
          <w:rFonts w:ascii="Arial" w:cs="Arial" w:eastAsia="Arial" w:hAnsi="Arial"/>
          <w:sz w:val="18"/>
          <w:szCs w:val="18"/>
          <w:color w:val="auto"/>
        </w:rPr>
      </w:pPr>
    </w:p>
    <w:p>
      <w:pPr>
        <w:ind w:right="100" w:firstLine="987"/>
        <w:spacing w:after="0" w:line="291" w:lineRule="auto"/>
        <w:tabs>
          <w:tab w:leader="none" w:pos="1206"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any provision of this Plan is or becomes invalid or unenforceable in any jurisdiction, or would disqualify this Plan or any Award under any law deemed applicable by the Committee, such provision will be construed or deemed amended or limited in scope to conform to applicable laws or, in the discretion of the Committee, it will be stricken and the remainder of this Plan will remain in full force and effect. Notwithstanding anything in this Plan or an Evidence of Award to the contrary, nothing in this Plan or in an Evidence of Award 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w:t>
      </w:r>
    </w:p>
    <w:p>
      <w:pPr>
        <w:spacing w:after="0" w:line="162" w:lineRule="exact"/>
        <w:rPr>
          <w:rFonts w:ascii="Arial" w:cs="Arial" w:eastAsia="Arial" w:hAnsi="Arial"/>
          <w:sz w:val="16"/>
          <w:szCs w:val="16"/>
          <w:color w:val="auto"/>
        </w:rPr>
      </w:pPr>
    </w:p>
    <w:p>
      <w:pPr>
        <w:ind w:left="700" w:hanging="264"/>
        <w:spacing w:after="0"/>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Share-Based Awards in Substitution for Awards Granted by Another Company. </w:t>
      </w:r>
      <w:r>
        <w:rPr>
          <w:rFonts w:ascii="Arial" w:cs="Arial" w:eastAsia="Arial" w:hAnsi="Arial"/>
          <w:sz w:val="16"/>
          <w:szCs w:val="16"/>
          <w:color w:val="auto"/>
        </w:rPr>
        <w:t>Notwithstanding anything in this Plan to the contrary:</w:t>
      </w:r>
    </w:p>
    <w:p>
      <w:pPr>
        <w:spacing w:after="0" w:line="144" w:lineRule="exact"/>
        <w:rPr>
          <w:rFonts w:ascii="Arial" w:cs="Arial" w:eastAsia="Arial" w:hAnsi="Arial"/>
          <w:sz w:val="16"/>
          <w:szCs w:val="16"/>
          <w:color w:val="auto"/>
        </w:rPr>
      </w:pPr>
    </w:p>
    <w:p>
      <w:pPr>
        <w:ind w:right="60" w:firstLine="987"/>
        <w:spacing w:after="0" w:line="254" w:lineRule="auto"/>
        <w:tabs>
          <w:tab w:leader="none" w:pos="1236" w:val="left"/>
        </w:tabs>
        <w:numPr>
          <w:ilvl w:val="1"/>
          <w:numId w:val="30"/>
        </w:numPr>
        <w:rPr>
          <w:rFonts w:ascii="Arial" w:cs="Arial" w:eastAsia="Arial" w:hAnsi="Arial"/>
          <w:sz w:val="18"/>
          <w:szCs w:val="18"/>
          <w:color w:val="auto"/>
        </w:rPr>
      </w:pPr>
      <w:r>
        <w:rPr>
          <w:rFonts w:ascii="Arial" w:cs="Arial" w:eastAsia="Arial" w:hAnsi="Arial"/>
          <w:sz w:val="18"/>
          <w:szCs w:val="18"/>
          <w:color w:val="auto"/>
        </w:rPr>
        <w:t>Awards may be granted under this Plan in substitution for or in conversion of, or in connection with an assumption of, stock options, stock appreciation rights, restricted stock, restricted stock units or other share or share-based awards held by awardees of an entity engaging in a corporate acquisition or merger transaction with the Participating Company Group. Any conversion, substitution or assumption will be effective as of the close of the merger or acquisition, and, to the extent applicable, will be conducted in a manner that complies with Section 409A. The Awards so granted may reflect the original terms of the awards being assumed or substituted or converted for and need not comply with other specific terms of this Plan, and may account for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w:t>
      </w:r>
    </w:p>
    <w:p>
      <w:pPr>
        <w:spacing w:after="0" w:line="191" w:lineRule="exact"/>
        <w:rPr>
          <w:rFonts w:ascii="Arial" w:cs="Arial" w:eastAsia="Arial" w:hAnsi="Arial"/>
          <w:sz w:val="18"/>
          <w:szCs w:val="18"/>
          <w:color w:val="auto"/>
        </w:rPr>
      </w:pPr>
    </w:p>
    <w:p>
      <w:pPr>
        <w:ind w:right="200" w:firstLine="987"/>
        <w:spacing w:after="0" w:line="293" w:lineRule="auto"/>
        <w:tabs>
          <w:tab w:leader="none" w:pos="1246"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In the event that a company acquired by the any Participating Company or with which any Participating Company merges has shares available under a pre-existing plan previously approved by stockholders and not adopted in contemplation of such acquisition or merger, the shares available for grant pursuant to the terms of such plan (as adjusted, to the extent appropriate, to reflect such acquisition or merger) may be used for awards made after such acquisition or merger under this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awards using such available shares may not be made after the date awards or grants could have been made under the terms of the pre-existing plan absent the acquisition or merger, and may only be made to individuals who were not Employees or Directors of the Participating Company Group prior to such acquisition or merger.</w:t>
      </w:r>
    </w:p>
    <w:p>
      <w:pPr>
        <w:spacing w:after="0" w:line="164" w:lineRule="exact"/>
        <w:rPr>
          <w:rFonts w:ascii="Arial" w:cs="Arial" w:eastAsia="Arial" w:hAnsi="Arial"/>
          <w:sz w:val="16"/>
          <w:szCs w:val="16"/>
          <w:color w:val="auto"/>
        </w:rPr>
      </w:pPr>
    </w:p>
    <w:p>
      <w:pPr>
        <w:ind w:right="60" w:firstLine="987"/>
        <w:spacing w:after="0" w:line="279" w:lineRule="auto"/>
        <w:tabs>
          <w:tab w:leader="none" w:pos="1236"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Any Stock that is issued or transferred by, or that are subject to any awards that are granted by, or become obligations of, the Company under </w:t>
      </w:r>
      <w:r>
        <w:rPr>
          <w:rFonts w:ascii="Arial" w:cs="Arial" w:eastAsia="Arial" w:hAnsi="Arial"/>
          <w:sz w:val="17"/>
          <w:szCs w:val="17"/>
          <w:b w:val="1"/>
          <w:bCs w:val="1"/>
          <w:u w:val="single" w:color="auto"/>
          <w:color w:val="auto"/>
        </w:rPr>
        <w:t>Sections 22(a)</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22(b)</w:t>
      </w:r>
      <w:r>
        <w:rPr>
          <w:rFonts w:ascii="Arial" w:cs="Arial" w:eastAsia="Arial" w:hAnsi="Arial"/>
          <w:sz w:val="17"/>
          <w:szCs w:val="17"/>
          <w:color w:val="auto"/>
        </w:rPr>
        <w:t xml:space="preserve"> of this Plan will not reduce the Stock available for issuance or transfer under this Plan or otherwise count against the limits contained in </w:t>
      </w:r>
      <w:r>
        <w:rPr>
          <w:rFonts w:ascii="Arial" w:cs="Arial" w:eastAsia="Arial" w:hAnsi="Arial"/>
          <w:sz w:val="17"/>
          <w:szCs w:val="17"/>
          <w:b w:val="1"/>
          <w:bCs w:val="1"/>
          <w:u w:val="single" w:color="auto"/>
          <w:color w:val="auto"/>
        </w:rPr>
        <w:t>Section 3</w:t>
      </w:r>
      <w:r>
        <w:rPr>
          <w:rFonts w:ascii="Arial" w:cs="Arial" w:eastAsia="Arial" w:hAnsi="Arial"/>
          <w:sz w:val="17"/>
          <w:szCs w:val="17"/>
          <w:color w:val="auto"/>
        </w:rPr>
        <w:t xml:space="preserve"> of this Plan. In addition, no Stock subject to an award that is granted by, or becomes an obligation of, the Company under </w:t>
      </w:r>
      <w:r>
        <w:rPr>
          <w:rFonts w:ascii="Arial" w:cs="Arial" w:eastAsia="Arial" w:hAnsi="Arial"/>
          <w:sz w:val="17"/>
          <w:szCs w:val="17"/>
          <w:b w:val="1"/>
          <w:bCs w:val="1"/>
          <w:u w:val="single" w:color="auto"/>
          <w:color w:val="auto"/>
        </w:rPr>
        <w:t>Sections 22(a)</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22(b)</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Plan, will be added to the aggregate limit contained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3(a)(i)</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lowerLetter"/>
      <w:start w:val="5"/>
    </w:lvl>
  </w:abstractNum>
  <w:abstractNum w:abstractNumId="2">
    <w:nsid w:val="4E6AFB66"/>
    <w:multiLevelType w:val="hybridMultilevel"/>
    <w:lvl w:ilvl="0">
      <w:lvlJc w:val="left"/>
      <w:lvlText w:val="%1."/>
      <w:numFmt w:val="decimal"/>
      <w:start w:val="1"/>
    </w:lvl>
    <w:lvl w:ilvl="1">
      <w:lvlJc w:val="left"/>
      <w:lvlText w:val="(%2)"/>
      <w:numFmt w:val="lowerLetter"/>
      <w:start w:val="1"/>
    </w:lvl>
  </w:abstractNum>
  <w:abstractNum w:abstractNumId="3">
    <w:nsid w:val="25E45D32"/>
    <w:multiLevelType w:val="hybridMultilevel"/>
    <w:lvl w:ilvl="0">
      <w:lvlJc w:val="left"/>
      <w:lvlText w:val="(%1)"/>
      <w:numFmt w:val="lowerLetter"/>
      <w:start w:val="12"/>
    </w:lvl>
  </w:abstractNum>
  <w:abstractNum w:abstractNumId="4">
    <w:nsid w:val="519B500D"/>
    <w:multiLevelType w:val="hybridMultilevel"/>
    <w:lvl w:ilvl="0">
      <w:lvlJc w:val="left"/>
      <w:lvlText w:val="(%1)"/>
      <w:numFmt w:val="lowerLetter"/>
      <w:start w:val="24"/>
    </w:lvl>
  </w:abstractNum>
  <w:abstractNum w:abstractNumId="5">
    <w:nsid w:val="431BD7B7"/>
    <w:multiLevelType w:val="hybridMultilevel"/>
    <w:lvl w:ilvl="0">
      <w:lvlJc w:val="left"/>
      <w:lvlText w:val="(%1)"/>
      <w:numFmt w:val="lowerLetter"/>
      <w:start w:val="27"/>
    </w:lvl>
  </w:abstractNum>
  <w:abstractNum w:abstractNumId="6">
    <w:nsid w:val="3F2DBA31"/>
    <w:multiLevelType w:val="hybridMultilevel"/>
    <w:lvl w:ilvl="0">
      <w:lvlJc w:val="left"/>
      <w:lvlText w:val="(%1)"/>
      <w:numFmt w:val="lowerLetter"/>
      <w:start w:val="31"/>
    </w:lvl>
  </w:abstractNum>
  <w:abstractNum w:abstractNumId="7">
    <w:nsid w:val="7C83E458"/>
    <w:multiLevelType w:val="hybridMultilevel"/>
    <w:lvl w:ilvl="0">
      <w:lvlJc w:val="left"/>
      <w:lvlText w:val="(%1)"/>
      <w:numFmt w:val="lowerLetter"/>
      <w:start w:val="37"/>
    </w:lvl>
  </w:abstractNum>
  <w:abstractNum w:abstractNumId="8">
    <w:nsid w:val="257130A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
    <w:nsid w:val="62BBD95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10">
    <w:nsid w:val="436C6125"/>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abstractNum>
  <w:abstractNum w:abstractNumId="11">
    <w:nsid w:val="628C895D"/>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4"/>
    </w:lvl>
  </w:abstractNum>
  <w:abstractNum w:abstractNumId="12">
    <w:nsid w:val="333AB105"/>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13">
    <w:nsid w:val="721DA31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4">
    <w:nsid w:val="2443A85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5">
    <w:nsid w:val="2D1D5AE9"/>
    <w:multiLevelType w:val="hybridMultilevel"/>
    <w:lvl w:ilvl="0">
      <w:lvlJc w:val="left"/>
      <w:lvlText w:val="(%1)"/>
      <w:numFmt w:val="lowerLetter"/>
      <w:start w:val="9"/>
    </w:lvl>
    <w:lvl w:ilvl="1">
      <w:lvlJc w:val="left"/>
      <w:lvlText w:val="%2."/>
      <w:numFmt w:val="decimal"/>
      <w:start w:val="7"/>
    </w:lvl>
    <w:lvl w:ilvl="2">
      <w:lvlJc w:val="left"/>
      <w:lvlText w:val="(%3)"/>
      <w:numFmt w:val="lowerLetter"/>
      <w:start w:val="1"/>
    </w:lvl>
  </w:abstractNum>
  <w:abstractNum w:abstractNumId="16">
    <w:nsid w:val="6763845E"/>
    <w:multiLevelType w:val="hybridMultilevel"/>
    <w:lvl w:ilvl="0">
      <w:lvlJc w:val="left"/>
      <w:lvlText w:val="%1"/>
      <w:numFmt w:val="decimal"/>
      <w:start w:val="1"/>
    </w:lvl>
    <w:lvl w:ilvl="1">
      <w:lvlJc w:val="left"/>
      <w:lvlText w:val="(%2)"/>
      <w:numFmt w:val="lowerLetter"/>
      <w:start w:val="5"/>
    </w:lvl>
  </w:abstractNum>
  <w:abstractNum w:abstractNumId="17">
    <w:nsid w:val="75A2A8D4"/>
    <w:multiLevelType w:val="hybridMultilevel"/>
    <w:lvl w:ilvl="0">
      <w:lvlJc w:val="left"/>
      <w:lvlText w:val="%1."/>
      <w:numFmt w:val="decimal"/>
      <w:start w:val="8"/>
    </w:lvl>
    <w:lvl w:ilvl="1">
      <w:lvlJc w:val="left"/>
      <w:lvlText w:val="(%2)"/>
      <w:numFmt w:val="lowerLetter"/>
      <w:start w:val="1"/>
    </w:lvl>
  </w:abstractNum>
  <w:abstractNum w:abstractNumId="18">
    <w:nsid w:val="8EDBDAB"/>
    <w:multiLevelType w:val="hybridMultilevel"/>
    <w:lvl w:ilvl="0">
      <w:lvlJc w:val="left"/>
      <w:lvlText w:val="%1"/>
      <w:numFmt w:val="decimal"/>
      <w:start w:val="1"/>
    </w:lvl>
    <w:lvl w:ilvl="1">
      <w:lvlJc w:val="left"/>
      <w:lvlText w:val="(%2)"/>
      <w:numFmt w:val="lowerLetter"/>
      <w:start w:val="3"/>
    </w:lvl>
  </w:abstractNum>
  <w:abstractNum w:abstractNumId="19">
    <w:nsid w:val="79838CB2"/>
    <w:multiLevelType w:val="hybridMultilevel"/>
    <w:lvl w:ilvl="0">
      <w:lvlJc w:val="left"/>
      <w:lvlText w:val="%1."/>
      <w:numFmt w:val="decimal"/>
      <w:start w:val="10"/>
    </w:lvl>
    <w:lvl w:ilvl="1">
      <w:lvlJc w:val="left"/>
      <w:lvlText w:val="(%2)"/>
      <w:numFmt w:val="lowerLetter"/>
      <w:start w:val="1"/>
    </w:lvl>
  </w:abstractNum>
  <w:abstractNum w:abstractNumId="20">
    <w:nsid w:val="4353D0CD"/>
    <w:multiLevelType w:val="hybridMultilevel"/>
    <w:lvl w:ilvl="0">
      <w:lvlJc w:val="left"/>
      <w:lvlText w:val="%1."/>
      <w:numFmt w:val="decimal"/>
      <w:start w:val="11"/>
    </w:lvl>
    <w:lvl w:ilvl="1">
      <w:lvlJc w:val="left"/>
      <w:lvlText w:val="(%2)"/>
      <w:numFmt w:val="lowerLetter"/>
      <w:start w:val="1"/>
    </w:lvl>
  </w:abstractNum>
  <w:abstractNum w:abstractNumId="21">
    <w:nsid w:val="B03E0C6"/>
    <w:multiLevelType w:val="hybridMultilevel"/>
    <w:lvl w:ilvl="0">
      <w:lvlJc w:val="left"/>
      <w:lvlText w:val="%1."/>
      <w:numFmt w:val="decimal"/>
      <w:start w:val="13"/>
    </w:lvl>
    <w:lvl w:ilvl="1">
      <w:lvlJc w:val="left"/>
      <w:lvlText w:val="(%2)"/>
      <w:numFmt w:val="lowerLetter"/>
      <w:start w:val="1"/>
    </w:lvl>
  </w:abstractNum>
  <w:abstractNum w:abstractNumId="22">
    <w:nsid w:val="189A769B"/>
    <w:multiLevelType w:val="hybridMultilevel"/>
    <w:lvl w:ilvl="0">
      <w:lvlJc w:val="left"/>
      <w:lvlText w:val="%1"/>
      <w:numFmt w:val="decimal"/>
      <w:start w:val="1"/>
    </w:lvl>
    <w:lvl w:ilvl="1">
      <w:lvlJc w:val="left"/>
      <w:lvlText w:val="(%2)"/>
      <w:numFmt w:val="lowerLetter"/>
      <w:start w:val="2"/>
    </w:lvl>
  </w:abstractNum>
  <w:abstractNum w:abstractNumId="23">
    <w:nsid w:val="54E49EB4"/>
    <w:multiLevelType w:val="hybridMultilevel"/>
    <w:lvl w:ilvl="0">
      <w:lvlJc w:val="left"/>
      <w:lvlText w:val="%1."/>
      <w:numFmt w:val="decimal"/>
      <w:start w:val="16"/>
    </w:lvl>
    <w:lvl w:ilvl="1">
      <w:lvlJc w:val="left"/>
      <w:lvlText w:val="(%2)"/>
      <w:numFmt w:val="lowerLetter"/>
      <w:start w:val="1"/>
    </w:lvl>
  </w:abstractNum>
  <w:abstractNum w:abstractNumId="24">
    <w:nsid w:val="71F32454"/>
    <w:multiLevelType w:val="hybridMultilevel"/>
    <w:lvl w:ilvl="0">
      <w:lvlJc w:val="left"/>
      <w:lvlText w:val="%1"/>
      <w:numFmt w:val="decimal"/>
      <w:start w:val="1"/>
    </w:lvl>
    <w:lvl w:ilvl="1">
      <w:lvlJc w:val="left"/>
      <w:lvlText w:val="(%2)"/>
      <w:numFmt w:val="lowerLetter"/>
      <w:start w:val="4"/>
    </w:lvl>
  </w:abstractNum>
  <w:abstractNum w:abstractNumId="25">
    <w:nsid w:val="2CA88611"/>
    <w:multiLevelType w:val="hybridMultilevel"/>
    <w:lvl w:ilvl="0">
      <w:lvlJc w:val="left"/>
      <w:lvlText w:val="%1."/>
      <w:numFmt w:val="decimal"/>
      <w:start w:val="18"/>
    </w:lvl>
    <w:lvl w:ilvl="1">
      <w:lvlJc w:val="left"/>
      <w:lvlText w:val="(%2)"/>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4"/>
    </w:lvl>
  </w:abstractNum>
  <w:abstractNum w:abstractNumId="27">
    <w:nsid w:val="2901D82"/>
    <w:multiLevelType w:val="hybridMultilevel"/>
    <w:lvl w:ilvl="0">
      <w:lvlJc w:val="left"/>
      <w:lvlText w:val="%1."/>
      <w:numFmt w:val="decimal"/>
      <w:start w:val="19"/>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7"/>
    </w:lvl>
  </w:abstractNum>
  <w:abstractNum w:abstractNumId="29">
    <w:nsid w:val="8138641"/>
    <w:multiLevelType w:val="hybridMultilevel"/>
    <w:lvl w:ilvl="0">
      <w:lvlJc w:val="left"/>
      <w:lvlText w:val="%1."/>
      <w:numFmt w:val="decimal"/>
      <w:start w:val="2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2020-06-17T15:17:07Z</dcterms:created>
  <dcterms:modified xsi:type="dcterms:W3CDTF">2020-06-17T15:17:07Z</dcterms:modified>
</cp:coreProperties>
</file>