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248285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428625</wp:posOffset>
            </wp:positionV>
            <wp:extent cx="287147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7147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100" w:val="left"/>
          <w:tab w:leader="none" w:pos="84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660" w:space="720"/>
            <w:col w:w="1960" w:space="460"/>
            <w:col w:w="160"/>
          </w:cols>
          <w:pgMar w:left="440" w:top="91" w:right="499" w:bottom="1440" w:gutter="0" w:footer="0" w:header="0"/>
        </w:sectPr>
      </w:pPr>
    </w:p>
    <w:p>
      <w:pPr>
        <w:spacing w:after="0" w:line="33"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340" w:space="460"/>
            <w:col w:w="160"/>
          </w:cols>
          <w:pgMar w:left="440" w:top="91" w:right="499" w:bottom="1440" w:gutter="0" w:footer="0" w:header="0"/>
          <w:type w:val="continuous"/>
        </w:sectPr>
      </w:pPr>
    </w:p>
    <w:p>
      <w:pPr>
        <w:spacing w:after="0" w:line="48"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31, 2022, the registrant had 44,175,252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40" w:type="dxa"/>
            <w:vAlign w:val="bottom"/>
            <w:gridSpan w:val="9"/>
            <w:vMerge w:val="restart"/>
          </w:tcPr>
          <w:p>
            <w:pPr>
              <w:spacing w:after="0"/>
              <w:rPr>
                <w:sz w:val="20"/>
                <w:szCs w:val="20"/>
                <w:color w:val="auto"/>
              </w:rPr>
            </w:pPr>
            <w:r>
              <w:rPr>
                <w:rFonts w:ascii="Arial" w:cs="Arial" w:eastAsia="Arial" w:hAnsi="Arial"/>
                <w:sz w:val="18"/>
                <w:szCs w:val="18"/>
                <w:color w:val="0000EE"/>
                <w:w w:val="97"/>
              </w:rPr>
              <w:t>PART I FINANCIAL INFORMATION</w:t>
            </w:r>
          </w:p>
        </w:tc>
        <w:tc>
          <w:tcPr>
            <w:tcW w:w="7560" w:type="dxa"/>
            <w:vAlign w:val="bottom"/>
            <w:gridSpan w:val="15"/>
            <w:vMerge w:val="restart"/>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9"/>
            <w:vMerge w:val="continue"/>
          </w:tcPr>
          <w:p>
            <w:pPr>
              <w:spacing w:after="0"/>
              <w:rPr>
                <w:sz w:val="13"/>
                <w:szCs w:val="13"/>
                <w:color w:val="auto"/>
              </w:rPr>
            </w:pPr>
          </w:p>
        </w:tc>
        <w:tc>
          <w:tcPr>
            <w:tcW w:w="7560" w:type="dxa"/>
            <w:vAlign w:val="bottom"/>
            <w:gridSpan w:val="15"/>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40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Interim Consolidated Financial Statements (Unaudited)</w:t>
            </w:r>
          </w:p>
        </w:tc>
        <w:tc>
          <w:tcPr>
            <w:tcW w:w="5020" w:type="dxa"/>
            <w:vAlign w:val="bottom"/>
            <w:gridSpan w:val="10"/>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Magnachip Semiconductor Corporation and Subsidiaries Consolidated Balance Sheets as of September 30, 2022 and</w:t>
            </w:r>
          </w:p>
        </w:tc>
        <w:tc>
          <w:tcPr>
            <w:tcW w:w="6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December 31, 2021</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Magnachip Semiconductor Corporation and Subsidiaries Consolidated Statements of Operations for the Three and Nine</w:t>
            </w:r>
          </w:p>
        </w:tc>
        <w:tc>
          <w:tcPr>
            <w:tcW w:w="3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Months Ended September 30, 2022 and 2021</w:t>
            </w:r>
          </w:p>
        </w:tc>
        <w:tc>
          <w:tcPr>
            <w:tcW w:w="576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Magnachip Semiconductor Corporation and Subsidiaries Consolidated Statements of Comprehensive Income (Loss) for</w:t>
            </w:r>
          </w:p>
        </w:tc>
        <w:tc>
          <w:tcPr>
            <w:tcW w:w="3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the Three and Nine Months Ended September 30, 2022 and 2021</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Magnachip Semiconductor Corporation and Subsidiaries Consolidated Statements of Changes in Stockholders’ Equity for</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the Three and Nine Months Ended September 30, 2022 and 2021</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Magnachip Semiconductor Corporation and Subsidiaries Consolidated Statements of Cash Flows for the Nine Months</w:t>
            </w:r>
          </w:p>
        </w:tc>
        <w:tc>
          <w:tcPr>
            <w:tcW w:w="5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Ended September 30, 2022 and 2021</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Magnachip Semiconductor Corporation and Subsidiaries Notes to Consolidated Financial Statements</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72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74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256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240" w:type="dxa"/>
            <w:vAlign w:val="bottom"/>
            <w:gridSpan w:val="1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400" w:type="dxa"/>
            <w:vAlign w:val="bottom"/>
            <w:gridSpan w:val="24"/>
          </w:tcPr>
          <w:p>
            <w:pPr>
              <w:spacing w:after="0" w:line="196" w:lineRule="exact"/>
              <w:rPr>
                <w:sz w:val="20"/>
                <w:szCs w:val="20"/>
                <w:color w:val="auto"/>
              </w:rPr>
            </w:pPr>
            <w:r>
              <w:rPr>
                <w:rFonts w:ascii="Arial" w:cs="Arial" w:eastAsia="Arial" w:hAnsi="Arial"/>
                <w:sz w:val="18"/>
                <w:szCs w:val="18"/>
                <w:color w:val="0000EE"/>
              </w:rPr>
              <w:t>PART II OTHER INFORMATION</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Legal Proceedings</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Risk Factors</w:t>
            </w:r>
          </w:p>
        </w:tc>
        <w:tc>
          <w:tcPr>
            <w:tcW w:w="420" w:type="dxa"/>
            <w:vAlign w:val="bottom"/>
            <w:tcBorders>
              <w:top w:val="single" w:sz="8" w:color="0000EE"/>
            </w:tcBorders>
            <w:gridSpan w:val="3"/>
          </w:tcPr>
          <w:p>
            <w:pPr>
              <w:spacing w:after="0"/>
              <w:rPr>
                <w:sz w:val="17"/>
                <w:szCs w:val="17"/>
                <w:color w:val="auto"/>
              </w:rPr>
            </w:pPr>
          </w:p>
        </w:tc>
        <w:tc>
          <w:tcPr>
            <w:tcW w:w="7680" w:type="dxa"/>
            <w:vAlign w:val="bottom"/>
            <w:gridSpan w:val="1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466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tcPr>
          <w:p>
            <w:pPr>
              <w:spacing w:after="0"/>
              <w:rPr>
                <w:sz w:val="17"/>
                <w:szCs w:val="17"/>
                <w:color w:val="auto"/>
              </w:rPr>
            </w:pPr>
          </w:p>
        </w:tc>
        <w:tc>
          <w:tcPr>
            <w:tcW w:w="670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5.</w:t>
            </w:r>
          </w:p>
        </w:tc>
        <w:tc>
          <w:tcPr>
            <w:tcW w:w="9020" w:type="dxa"/>
            <w:vAlign w:val="bottom"/>
            <w:gridSpan w:val="22"/>
          </w:tcPr>
          <w:p>
            <w:pPr>
              <w:spacing w:after="0" w:line="196" w:lineRule="exact"/>
              <w:rPr>
                <w:sz w:val="20"/>
                <w:szCs w:val="20"/>
                <w:color w:val="auto"/>
              </w:rPr>
            </w:pPr>
            <w:r>
              <w:rPr>
                <w:rFonts w:ascii="Arial" w:cs="Arial" w:eastAsia="Arial" w:hAnsi="Arial"/>
                <w:sz w:val="18"/>
                <w:szCs w:val="18"/>
                <w:color w:val="0000EE"/>
              </w:rPr>
              <w:t>Other Information</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Exhibits</w:t>
            </w:r>
          </w:p>
        </w:tc>
        <w:tc>
          <w:tcPr>
            <w:tcW w:w="770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color w:val="0000EE"/>
              </w:rPr>
              <w:t>SIGNATURES</w:t>
            </w:r>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3"/>
          </w:tcPr>
          <w:p>
            <w:pPr>
              <w:ind w:left="40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Interim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w w:val="93"/>
              </w:rPr>
              <w:t>September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(In thousands of</w:t>
            </w: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U.S. dollars,</w:t>
            </w:r>
          </w:p>
        </w:tc>
        <w:tc>
          <w:tcPr>
            <w:tcW w:w="1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5"/>
              </w:rPr>
              <w:t>except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250,831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279,547</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36,759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37,298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39,370</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Other receivables (Note 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8,248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10,322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Hedge collateral (Note 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15,370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 (Note 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20,208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3"/>
        </w:trPr>
        <w:tc>
          <w:tcPr>
            <w:tcW w:w="75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379,036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94,411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107,882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4,928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1,770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11,382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34,299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10,382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536,208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26,545</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14,809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Accrued expenses (Note 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15,800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1,324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 (Notes 7 and 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15,881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23"/>
        </w:trPr>
        <w:tc>
          <w:tcPr>
            <w:tcW w:w="75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28,036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3,811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16,787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75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122,993</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Common stock, $0.01 par value, 150,000,000 shares authorized, 56,234,774 shares issued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44,579,075 outstanding at September 30, 2022 and 55,905,320 shares issued and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45,659,304 outstanding at December 31, 2021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562</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68"/>
              <w:spacing w:after="0"/>
              <w:rPr>
                <w:sz w:val="20"/>
                <w:szCs w:val="20"/>
                <w:color w:val="auto"/>
              </w:rPr>
            </w:pPr>
            <w:r>
              <w:rPr>
                <w:rFonts w:ascii="Arial" w:cs="Arial" w:eastAsia="Arial" w:hAnsi="Arial"/>
                <w:sz w:val="18"/>
                <w:szCs w:val="18"/>
                <w:color w:val="auto"/>
              </w:rPr>
              <w:t>264,510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241,197</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332,535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343,542</w:t>
            </w:r>
          </w:p>
        </w:tc>
        <w:tc>
          <w:tcPr>
            <w:tcW w:w="0" w:type="dxa"/>
            <w:vAlign w:val="bottom"/>
          </w:tcPr>
          <w:p>
            <w:pPr>
              <w:spacing w:after="0"/>
              <w:rPr>
                <w:sz w:val="1"/>
                <w:szCs w:val="1"/>
                <w:color w:val="auto"/>
              </w:rPr>
            </w:pPr>
          </w:p>
        </w:tc>
      </w:tr>
      <w:tr>
        <w:trPr>
          <w:trHeight w:val="202"/>
        </w:trPr>
        <w:tc>
          <w:tcPr>
            <w:tcW w:w="7520" w:type="dxa"/>
            <w:vAlign w:val="bottom"/>
          </w:tcPr>
          <w:p>
            <w:pPr>
              <w:ind w:left="360"/>
              <w:spacing w:after="0" w:line="201" w:lineRule="exact"/>
              <w:rPr>
                <w:sz w:val="20"/>
                <w:szCs w:val="20"/>
                <w:color w:val="auto"/>
              </w:rPr>
            </w:pPr>
            <w:r>
              <w:rPr>
                <w:rFonts w:ascii="Arial" w:cs="Arial" w:eastAsia="Arial" w:hAnsi="Arial"/>
                <w:sz w:val="18"/>
                <w:szCs w:val="18"/>
                <w:color w:val="auto"/>
                <w:w w:val="90"/>
              </w:rPr>
              <w:t>Treasury stock, 11,655,699 shares at September 30, 2022 and 10,246,016 shares at December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540"/>
              <w:spacing w:after="0"/>
              <w:rPr>
                <w:sz w:val="20"/>
                <w:szCs w:val="20"/>
                <w:color w:val="auto"/>
              </w:rPr>
            </w:pPr>
            <w:r>
              <w:rPr>
                <w:rFonts w:ascii="Arial" w:cs="Arial" w:eastAsia="Arial" w:hAnsi="Arial"/>
                <w:sz w:val="18"/>
                <w:szCs w:val="18"/>
                <w:color w:val="auto"/>
              </w:rPr>
              <w:t>2021,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308"/>
              <w:spacing w:after="0"/>
              <w:rPr>
                <w:sz w:val="20"/>
                <w:szCs w:val="20"/>
                <w:color w:val="auto"/>
              </w:rPr>
            </w:pPr>
            <w:r>
              <w:rPr>
                <w:rFonts w:ascii="Arial" w:cs="Arial" w:eastAsia="Arial" w:hAnsi="Arial"/>
                <w:sz w:val="18"/>
                <w:szCs w:val="18"/>
                <w:color w:val="auto"/>
              </w:rPr>
              <w:t>(152,161)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(130,306)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(32,231)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75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413,215</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536,208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center"/>
              <w:ind w:right="28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56"/>
        </w:trPr>
        <w:tc>
          <w:tcPr>
            <w:tcW w:w="4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center"/>
              <w:ind w:right="15"/>
              <w:spacing w:after="0" w:line="155"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3"/>
              </w:rPr>
              <w:t>thousands of U.S.</w:t>
            </w:r>
          </w:p>
        </w:tc>
        <w:tc>
          <w:tcPr>
            <w:tcW w:w="4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w w:val="72"/>
              </w:rPr>
              <w:t>dollars,</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except share</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data)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62,771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117,415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5"/>
              <w:spacing w:after="0"/>
              <w:rPr>
                <w:sz w:val="20"/>
                <w:szCs w:val="20"/>
                <w:color w:val="auto"/>
              </w:rPr>
            </w:pPr>
            <w:r>
              <w:rPr>
                <w:rFonts w:ascii="Arial" w:cs="Arial" w:eastAsia="Arial" w:hAnsi="Arial"/>
                <w:sz w:val="18"/>
                <w:szCs w:val="18"/>
                <w:color w:val="auto"/>
              </w:rPr>
              <w:t>248,069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333,589</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9,585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28,599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30,306</w:t>
            </w:r>
          </w:p>
        </w:tc>
      </w:tr>
      <w:tr>
        <w:trPr>
          <w:trHeight w:val="223"/>
        </w:trPr>
        <w:tc>
          <w:tcPr>
            <w:tcW w:w="49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276,668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363,895</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45,497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71,641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5"/>
              <w:spacing w:after="0"/>
              <w:rPr>
                <w:sz w:val="20"/>
                <w:szCs w:val="20"/>
                <w:color w:val="auto"/>
              </w:rPr>
            </w:pPr>
            <w:r>
              <w:rPr>
                <w:rFonts w:ascii="Arial" w:cs="Arial" w:eastAsia="Arial" w:hAnsi="Arial"/>
                <w:sz w:val="18"/>
                <w:szCs w:val="18"/>
                <w:color w:val="auto"/>
              </w:rPr>
              <w:t>165,197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221,297</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26,305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27,659</w:t>
            </w:r>
          </w:p>
        </w:tc>
      </w:tr>
      <w:tr>
        <w:trPr>
          <w:trHeight w:val="230"/>
        </w:trPr>
        <w:tc>
          <w:tcPr>
            <w:tcW w:w="492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191,502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248,956</w:t>
            </w:r>
          </w:p>
        </w:tc>
        <w:tc>
          <w:tcPr>
            <w:tcW w:w="12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17,225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46,587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85,166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114,939</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12,550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38,310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39,185</w:t>
            </w: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13,321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12,270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5"/>
              <w:spacing w:after="0"/>
              <w:rPr>
                <w:sz w:val="20"/>
                <w:szCs w:val="20"/>
                <w:color w:val="auto"/>
              </w:rPr>
            </w:pPr>
            <w:r>
              <w:rPr>
                <w:rFonts w:ascii="Arial" w:cs="Arial" w:eastAsia="Arial" w:hAnsi="Arial"/>
                <w:sz w:val="18"/>
                <w:szCs w:val="18"/>
                <w:color w:val="auto"/>
              </w:rPr>
              <w:t>38,685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39,015</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1,552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13,842</w:t>
            </w: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5"/>
              <w:spacing w:after="0"/>
              <w:rPr>
                <w:sz w:val="20"/>
                <w:szCs w:val="20"/>
                <w:color w:val="auto"/>
              </w:rPr>
            </w:pPr>
            <w:r>
              <w:rPr>
                <w:rFonts w:ascii="Arial" w:cs="Arial" w:eastAsia="Arial" w:hAnsi="Arial"/>
                <w:sz w:val="18"/>
                <w:szCs w:val="18"/>
                <w:color w:val="auto"/>
              </w:rPr>
              <w:t>3,298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3,360</w:t>
            </w: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26,586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80,293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95,402</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19,537</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(1,239)</w:t>
            </w: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(7,579)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5"/>
              <w:spacing w:after="0"/>
              <w:rPr>
                <w:sz w:val="20"/>
                <w:szCs w:val="20"/>
                <w:color w:val="auto"/>
              </w:rPr>
            </w:pPr>
            <w:r>
              <w:rPr>
                <w:rFonts w:ascii="Arial" w:cs="Arial" w:eastAsia="Arial" w:hAnsi="Arial"/>
                <w:sz w:val="18"/>
                <w:szCs w:val="18"/>
                <w:color w:val="auto"/>
              </w:rPr>
              <w:t>(20,511)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4,163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2,839</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6,040</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400" w:type="dxa"/>
            <w:vAlign w:val="bottom"/>
          </w:tcPr>
          <w:p>
            <w:pPr>
              <w:jc w:val="right"/>
              <w:ind w:right="265"/>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5"/>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72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w w:val="88"/>
              </w:rPr>
              <w:t>44,865,266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w w:val="88"/>
              </w:rPr>
              <w:t>46,449,234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5"/>
              <w:spacing w:after="0"/>
              <w:rPr>
                <w:sz w:val="20"/>
                <w:szCs w:val="20"/>
                <w:color w:val="auto"/>
              </w:rPr>
            </w:pPr>
            <w:r>
              <w:rPr>
                <w:rFonts w:ascii="Arial" w:cs="Arial" w:eastAsia="Arial" w:hAnsi="Arial"/>
                <w:sz w:val="18"/>
                <w:szCs w:val="18"/>
                <w:color w:val="auto"/>
                <w:w w:val="86"/>
              </w:rPr>
              <w:t>45,119,214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44,377,250</w:t>
            </w:r>
          </w:p>
        </w:tc>
      </w:tr>
      <w:tr>
        <w:trPr>
          <w:trHeight w:val="216"/>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44,865,266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88"/>
              </w:rPr>
              <w:t>47,808,457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w w:val="86"/>
              </w:rPr>
              <w:t>45,119,214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45,811,792</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020" w:type="dxa"/>
            <w:vAlign w:val="bottom"/>
          </w:tcPr>
          <w:p>
            <w:pPr>
              <w:spacing w:after="0"/>
              <w:rPr>
                <w:sz w:val="10"/>
                <w:szCs w:val="10"/>
                <w:color w:val="auto"/>
              </w:rPr>
            </w:pPr>
          </w:p>
        </w:tc>
        <w:tc>
          <w:tcPr>
            <w:tcW w:w="11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40" w:type="dxa"/>
            <w:vAlign w:val="bottom"/>
          </w:tcPr>
          <w:p>
            <w:pPr>
              <w:spacing w:after="0"/>
              <w:rPr>
                <w:sz w:val="10"/>
                <w:szCs w:val="10"/>
                <w:color w:val="auto"/>
              </w:rPr>
            </w:pPr>
          </w:p>
        </w:tc>
        <w:tc>
          <w:tcPr>
            <w:tcW w:w="11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6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56"/>
        </w:trPr>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4"/>
          </w:tcPr>
          <w:p>
            <w:pPr>
              <w:jc w:val="right"/>
              <w:ind w:right="115"/>
              <w:spacing w:after="0" w:line="155" w:lineRule="exact"/>
              <w:rPr>
                <w:sz w:val="20"/>
                <w:szCs w:val="20"/>
                <w:color w:val="auto"/>
              </w:rPr>
            </w:pPr>
            <w:r>
              <w:rPr>
                <w:rFonts w:ascii="Arial" w:cs="Arial" w:eastAsia="Arial" w:hAnsi="Arial"/>
                <w:sz w:val="14"/>
                <w:szCs w:val="14"/>
                <w:b w:val="1"/>
                <w:bCs w:val="1"/>
                <w:color w:val="auto"/>
                <w:w w:val="94"/>
              </w:rPr>
              <w:t>(In thousands of U.S. dollars)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(17,195)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10,768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(11,007)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3,097</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(15,881)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(19,498)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(4,964)</w:t>
            </w:r>
          </w:p>
        </w:tc>
      </w:tr>
      <w:tr>
        <w:trPr>
          <w:trHeight w:val="202"/>
        </w:trPr>
        <w:tc>
          <w:tcPr>
            <w:tcW w:w="6020" w:type="dxa"/>
            <w:vAlign w:val="bottom"/>
          </w:tcPr>
          <w:p>
            <w:pPr>
              <w:ind w:left="720"/>
              <w:spacing w:after="0" w:line="201" w:lineRule="exact"/>
              <w:rPr>
                <w:sz w:val="20"/>
                <w:szCs w:val="20"/>
                <w:color w:val="auto"/>
              </w:rPr>
            </w:pPr>
            <w:r>
              <w:rPr>
                <w:rFonts w:ascii="Arial" w:cs="Arial" w:eastAsia="Arial" w:hAnsi="Arial"/>
                <w:sz w:val="18"/>
                <w:szCs w:val="18"/>
                <w:color w:val="auto"/>
              </w:rPr>
              <w:t>Reclassification adjustment for loss (gain) on derivatives included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020" w:type="dxa"/>
            <w:vAlign w:val="bottom"/>
          </w:tcPr>
          <w:p>
            <w:pPr>
              <w:ind w:left="900"/>
              <w:spacing w:after="0"/>
              <w:rPr>
                <w:sz w:val="20"/>
                <w:szCs w:val="20"/>
                <w:color w:val="auto"/>
              </w:rPr>
            </w:pPr>
            <w:r>
              <w:rPr>
                <w:rFonts w:ascii="Arial" w:cs="Arial" w:eastAsia="Arial" w:hAnsi="Arial"/>
                <w:sz w:val="18"/>
                <w:szCs w:val="18"/>
                <w:color w:val="auto"/>
              </w:rPr>
              <w:t>in net income (loss)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5,378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6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(8,106)</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(32,106</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44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81"/>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281"/>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1240" w:type="dxa"/>
            <w:vAlign w:val="bottom"/>
            <w:vMerge w:val="restart"/>
          </w:tcPr>
          <w:p>
            <w:pPr>
              <w:spacing w:after="0"/>
              <w:rPr>
                <w:sz w:val="10"/>
                <w:szCs w:val="10"/>
                <w:color w:val="auto"/>
              </w:rPr>
            </w:pPr>
          </w:p>
        </w:tc>
        <w:tc>
          <w:tcPr>
            <w:tcW w:w="11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8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000" w:type="dxa"/>
            <w:vAlign w:val="bottom"/>
            <w:gridSpan w:val="2"/>
          </w:tcPr>
          <w:p>
            <w:pPr>
              <w:jc w:val="right"/>
              <w:ind w:right="281"/>
              <w:spacing w:after="0" w:line="119" w:lineRule="exact"/>
              <w:rPr>
                <w:sz w:val="20"/>
                <w:szCs w:val="20"/>
                <w:color w:val="auto"/>
              </w:rPr>
            </w:pPr>
            <w:r>
              <w:rPr>
                <w:rFonts w:ascii="Arial" w:cs="Arial" w:eastAsia="Arial" w:hAnsi="Arial"/>
                <w:sz w:val="13"/>
                <w:szCs w:val="13"/>
                <w:b w:val="1"/>
                <w:bCs w:val="1"/>
                <w:color w:val="auto"/>
              </w:rPr>
              <w:t>Treasury</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00" w:type="dxa"/>
            <w:vAlign w:val="bottom"/>
            <w:gridSpan w:val="2"/>
          </w:tcPr>
          <w:p>
            <w:pPr>
              <w:jc w:val="right"/>
              <w:ind w:right="381"/>
              <w:spacing w:after="0" w:line="158"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940" w:type="dxa"/>
            <w:vAlign w:val="bottom"/>
            <w:gridSpan w:val="2"/>
          </w:tcPr>
          <w:p>
            <w:pPr>
              <w:jc w:val="center"/>
              <w:ind w:right="301"/>
              <w:spacing w:after="0" w:line="158"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Three Months Ended September 30, 2022:</w:t>
            </w: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44,903,718</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562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$263,698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$349,730</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$(148,523)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(17,320)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$448,147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(324,643)</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(3,638)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(14,911)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(17,195)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44,579,075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264,510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(152,161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46,350,945</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556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$253,244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$279,163</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$(109,407)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(925)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$422,631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112,944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1,370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(3,478)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46,464,889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256,619</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(109,407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center"/>
              <w:ind w:right="81"/>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1240" w:type="dxa"/>
            <w:vAlign w:val="bottom"/>
            <w:vMerge w:val="restart"/>
          </w:tcPr>
          <w:p>
            <w:pPr>
              <w:spacing w:after="0"/>
              <w:rPr>
                <w:sz w:val="16"/>
                <w:szCs w:val="16"/>
                <w:color w:val="auto"/>
              </w:rPr>
            </w:pPr>
          </w:p>
        </w:tc>
        <w:tc>
          <w:tcPr>
            <w:tcW w:w="13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Treasury</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40" w:type="dxa"/>
            <w:vAlign w:val="bottom"/>
            <w:tcBorders>
              <w:bottom w:val="single" w:sz="8" w:color="auto"/>
            </w:tcBorders>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14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000" w:type="dxa"/>
            <w:vAlign w:val="bottom"/>
            <w:gridSpan w:val="2"/>
          </w:tcPr>
          <w:p>
            <w:pPr>
              <w:jc w:val="right"/>
              <w:ind w:right="381"/>
              <w:spacing w:after="0" w:line="129" w:lineRule="exact"/>
              <w:rPr>
                <w:sz w:val="20"/>
                <w:szCs w:val="20"/>
                <w:color w:val="auto"/>
              </w:rPr>
            </w:pPr>
            <w:r>
              <w:rPr>
                <w:rFonts w:ascii="Arial" w:cs="Arial" w:eastAsia="Arial" w:hAnsi="Arial"/>
                <w:sz w:val="14"/>
                <w:szCs w:val="14"/>
                <w:b w:val="1"/>
                <w:bCs w:val="1"/>
                <w:color w:val="auto"/>
              </w:rPr>
              <w:t>Stock</w:t>
            </w:r>
          </w:p>
        </w:tc>
        <w:tc>
          <w:tcPr>
            <w:tcW w:w="1140" w:type="dxa"/>
            <w:vAlign w:val="bottom"/>
            <w:gridSpan w:val="3"/>
          </w:tcPr>
          <w:p>
            <w:pPr>
              <w:jc w:val="center"/>
              <w:ind w:right="81"/>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Nine Months Ended September 30, 2022:</w:t>
            </w: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45,659,304</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559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$241,197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$343,542</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$(130,306)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(2,230)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$452,762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4,487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152,326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1,785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Acquisition of treasury stock</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(378,107)</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(4,638)</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Accelerated stock repurchase</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(1,031,576)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17,217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(17,217)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(30,001)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44,579,075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264,510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(152,161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35,783,347</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450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$163,010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$286,834</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$(108,397)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1"/>
              <w:spacing w:after="0"/>
              <w:rPr>
                <w:sz w:val="20"/>
                <w:szCs w:val="20"/>
                <w:color w:val="auto"/>
              </w:rPr>
            </w:pPr>
            <w:r>
              <w:rPr>
                <w:rFonts w:ascii="Arial" w:cs="Arial" w:eastAsia="Arial" w:hAnsi="Arial"/>
                <w:sz w:val="18"/>
                <w:szCs w:val="18"/>
                <w:color w:val="auto"/>
              </w:rPr>
              <w:t>3,703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6,056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Exchange of exchangeable senior note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10,144,131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83,639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83,740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299,162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(51,455)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(8,106)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46,464,889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256,619</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(109,407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864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8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37"/>
        </w:trPr>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(In thousands of U.S. dollars)</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(11,007)</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3,097</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11,225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10,576</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32,607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Provision for inventory reserves</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7,730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7,805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6,696</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(4,561)</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17,115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(5,287)</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(14,792)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(16,192)</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(3,729)</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5,866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(4,772)</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30,016</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3,995</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(13,368)</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3,192</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(14,443)</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(49,377)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(21,003)</w:t>
            </w:r>
          </w:p>
        </w:tc>
      </w:tr>
      <w:tr>
        <w:trPr>
          <w:trHeight w:val="27"/>
        </w:trPr>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279,547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End of the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276,301</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2,094</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12,609</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11,513</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Exchange of exchangeable senior notes into common stock</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83,740</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Unsettled common stock repurchases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86"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spacing w:after="0" w:line="18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computing, servers, automotive, and industrial applications.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September 1, 2020, the Company completed the sale of the Company’s Foundry Services Group business and its fabrication facility located in Cheongju, Korea, known as “Fab 4”. Following the consummation of the sale, and for up to three years, the Company is expected to provide transitional foundry services associated with its fabrication facility located in Gumi, Korea, known as “Fab 3”, at an agreed upon cost plus mark-up (the “Transitional Fab 3 Foundry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nine months ended September 30, 2022 are not necessarily indicative of the results to be expected for a full year or for any other periods.</w:t>
      </w:r>
    </w:p>
    <w:p>
      <w:pPr>
        <w:spacing w:after="0" w:line="16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December 31, 2021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2021.</w:t>
      </w:r>
    </w:p>
    <w:p>
      <w:pPr>
        <w:spacing w:after="0" w:line="184"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There have been no material changes to the Company’s significant accounting policies as of and for the nine months ended September 30, 2022 as compared to the significant accounting policies described in the Company’s Annual Report on Form 10-K for the fiscal year ended December 31,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No. 2020-06, “Debt—Debt with Conversion and Other Options (Subtopic 470-20) and Derivatives and Hedging—Contracts in Entity’s Own Equity (Subtopic 815-40)” (“ASU 2020-06”), which updates various codification topics to simplify the accounting guidance for certain financial instruments with characteristics of liabilities and equity, with a specific focus on convertible instruments and the derivative scope exception for contracts in an entity’s own equity and amends the diluted EPS computation for these instruments. The Company adopted ASU 2020-06 as of January 1, 2022, and the adoption of ASU 2020-06 did not have an impact on the Company’s consolidated financial statements.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ASU 2021-04 clarifies the accounting for modifications or exchanges of freestanding equity-classified written call options so that the transaction should be treated as an exchange of the original instrument for a new instrument. The Company adopted ASU 2021-04 as of January 1, 2022, and the adoption of ASU 2021-04 did not have an impact on the Company’s consolidated financial statements.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September 30, 2022 and December 31, 2021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32,431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25,968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39,370</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Changes in inventory reserve for the three and nine months ended September 30, 2022 and 2021 are as follows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94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661"/>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76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Ended</w:t>
            </w:r>
          </w:p>
        </w:tc>
      </w:tr>
      <w:tr>
        <w:trPr>
          <w:trHeight w:val="142"/>
        </w:trPr>
        <w:tc>
          <w:tcPr>
            <w:tcW w:w="5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September 30, 2022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CCEEFF"/>
            </w:tcBorders>
          </w:tcPr>
          <w:p>
            <w:pPr>
              <w:spacing w:after="0"/>
              <w:rPr>
                <w:sz w:val="12"/>
                <w:szCs w:val="12"/>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(8,101)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(3,199)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(5,592)</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Sale of previously reserved inventory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2,996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1"/>
              <w:spacing w:after="0"/>
              <w:rPr>
                <w:sz w:val="20"/>
                <w:szCs w:val="20"/>
                <w:color w:val="auto"/>
              </w:rPr>
            </w:pPr>
            <w:r>
              <w:rPr>
                <w:rFonts w:ascii="Arial" w:cs="Arial" w:eastAsia="Arial" w:hAnsi="Arial"/>
                <w:sz w:val="18"/>
                <w:szCs w:val="18"/>
                <w:color w:val="auto"/>
              </w:rPr>
              <w:t>2,099</w:t>
            </w:r>
          </w:p>
        </w:tc>
        <w:tc>
          <w:tcPr>
            <w:tcW w:w="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4,076</w:t>
            </w: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(2,527)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1,857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Write off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1"/>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1,110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571</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320" w:top="486" w:right="8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September 30, 2022 and December 31, 2021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24,273</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94,152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105,300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29,233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32,396</w:t>
            </w: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162,285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(86,281)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(94,119)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23,970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25,818</w:t>
            </w: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107,882</w:t>
            </w: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Aggregate depreciation expenses totaled $10,699 thousand and $10,018 thousand for the nine months ended September 30, 2022 and 2021,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September 30, 2022 and December 31, 2021 are comprised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September 30, 2022</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56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8,040</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1,770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8,040</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1,770</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56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9,312</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9,312</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Aggregate amortization expenses for intangible assets totaled $526 thousand and $558 thousand for the nine months ended September 30, 2022 and 2021, respectively.</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86"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5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Supplemental balance sheets information related to leases as of September 30, 2022 and December 31, 2021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480" w:type="dxa"/>
            <w:vAlign w:val="bottom"/>
          </w:tcPr>
          <w:p>
            <w:pPr>
              <w:spacing w:after="0"/>
              <w:rPr>
                <w:sz w:val="14"/>
                <w:szCs w:val="14"/>
                <w:color w:val="auto"/>
              </w:rPr>
            </w:pPr>
          </w:p>
        </w:tc>
        <w:tc>
          <w:tcPr>
            <w:tcW w:w="33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Classification</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Operating lease</w:t>
            </w:r>
          </w:p>
        </w:tc>
        <w:tc>
          <w:tcPr>
            <w:tcW w:w="480" w:type="dxa"/>
            <w:vAlign w:val="bottom"/>
          </w:tcPr>
          <w:p>
            <w:pPr>
              <w:spacing w:after="0"/>
              <w:rPr>
                <w:sz w:val="18"/>
                <w:szCs w:val="18"/>
                <w:color w:val="auto"/>
              </w:rPr>
            </w:pPr>
          </w:p>
        </w:tc>
        <w:tc>
          <w:tcPr>
            <w:tcW w:w="330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4,928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4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lease assets</w:t>
            </w:r>
          </w:p>
        </w:tc>
        <w:tc>
          <w:tcPr>
            <w:tcW w:w="48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5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Current</w:t>
            </w:r>
          </w:p>
        </w:tc>
        <w:tc>
          <w:tcPr>
            <w:tcW w:w="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Finance</w:t>
            </w:r>
          </w:p>
        </w:tc>
        <w:tc>
          <w:tcPr>
            <w:tcW w:w="480" w:type="dxa"/>
            <w:vAlign w:val="bottom"/>
          </w:tcPr>
          <w:p>
            <w:pPr>
              <w:spacing w:after="0"/>
              <w:rPr>
                <w:sz w:val="18"/>
                <w:szCs w:val="18"/>
                <w:color w:val="auto"/>
              </w:rPr>
            </w:pPr>
          </w:p>
        </w:tc>
        <w:tc>
          <w:tcPr>
            <w:tcW w:w="33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4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480" w:type="dxa"/>
            <w:vAlign w:val="bottom"/>
          </w:tcPr>
          <w:p>
            <w:pPr>
              <w:spacing w:after="0"/>
              <w:rPr>
                <w:sz w:val="18"/>
                <w:szCs w:val="18"/>
                <w:color w:val="auto"/>
              </w:rPr>
            </w:pPr>
          </w:p>
        </w:tc>
        <w:tc>
          <w:tcPr>
            <w:tcW w:w="3300" w:type="dxa"/>
            <w:vAlign w:val="bottom"/>
            <w:gridSpan w:val="2"/>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4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4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September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3.9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 years</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 years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years</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7.63%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691</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712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above table does not include an immaterial cost of short-term leases for the nine months ended September 30, 2022 and 2021.</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320" w:top="486" w:right="6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18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66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64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178"/>
        </w:trPr>
        <w:tc>
          <w:tcPr>
            <w:tcW w:w="46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Cash paid for amounts included in the measurement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lease liabilities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561</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691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2,098</w:t>
            </w: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0"/>
                <w:szCs w:val="20"/>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September 30, 2022 are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Finance</w:t>
            </w:r>
          </w:p>
        </w:tc>
      </w:tr>
      <w:tr>
        <w:trPr>
          <w:trHeight w:val="171"/>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Leases</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2027</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lease payments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Present value of future payments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0"/>
        </w:trPr>
        <w:tc>
          <w:tcPr>
            <w:tcW w:w="4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as of September 30, 2022 and December 31, 2021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Outside service fees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Merger-related costs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410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September 30, 2022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2940" w:type="dxa"/>
            <w:vAlign w:val="bottom"/>
          </w:tcPr>
          <w:p>
            <w:pPr>
              <w:ind w:left="86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2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13, 2021</w:t>
            </w:r>
          </w:p>
        </w:tc>
        <w:tc>
          <w:tcPr>
            <w:tcW w:w="1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58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October 2022 to December 2022</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January 04, 2022</w:t>
            </w: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39,000</w:t>
            </w:r>
          </w:p>
        </w:tc>
        <w:tc>
          <w:tcPr>
            <w:tcW w:w="2940" w:type="dxa"/>
            <w:vAlign w:val="bottom"/>
          </w:tcPr>
          <w:p>
            <w:pPr>
              <w:spacing w:after="0"/>
              <w:rPr>
                <w:sz w:val="20"/>
                <w:szCs w:val="20"/>
                <w:color w:val="auto"/>
              </w:rPr>
            </w:pPr>
            <w:r>
              <w:rPr>
                <w:rFonts w:ascii="Arial" w:cs="Arial" w:eastAsia="Arial" w:hAnsi="Arial"/>
                <w:sz w:val="18"/>
                <w:szCs w:val="18"/>
                <w:color w:val="auto"/>
              </w:rPr>
              <w:t>October 2022 to June 2023</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07, 2022</w:t>
            </w:r>
          </w:p>
        </w:tc>
        <w:tc>
          <w:tcPr>
            <w:tcW w:w="15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24,000</w:t>
            </w: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July 2023 to December 2023</w:t>
            </w: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April 27, 2022</w:t>
            </w: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51,000</w:t>
            </w:r>
          </w:p>
        </w:tc>
        <w:tc>
          <w:tcPr>
            <w:tcW w:w="2940" w:type="dxa"/>
            <w:vAlign w:val="bottom"/>
          </w:tcPr>
          <w:p>
            <w:pPr>
              <w:spacing w:after="0"/>
              <w:rPr>
                <w:sz w:val="20"/>
                <w:szCs w:val="20"/>
                <w:color w:val="auto"/>
              </w:rPr>
            </w:pPr>
            <w:r>
              <w:rPr>
                <w:rFonts w:ascii="Arial" w:cs="Arial" w:eastAsia="Arial" w:hAnsi="Arial"/>
                <w:sz w:val="18"/>
                <w:szCs w:val="18"/>
                <w:color w:val="auto"/>
              </w:rPr>
              <w:t>October 2022 to December 2023</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December 31, 2021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Date of transaction</w:t>
            </w:r>
          </w:p>
        </w:tc>
        <w:tc>
          <w:tcPr>
            <w:tcW w:w="2760" w:type="dxa"/>
            <w:vAlign w:val="bottom"/>
          </w:tcPr>
          <w:p>
            <w:pPr>
              <w:spacing w:after="0"/>
              <w:rPr>
                <w:sz w:val="16"/>
                <w:szCs w:val="16"/>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13, 2021</w:t>
            </w: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39,000</w:t>
            </w:r>
          </w:p>
        </w:tc>
        <w:tc>
          <w:tcPr>
            <w:tcW w:w="70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January 2022 to September 2022</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August 13, 2021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48,000</w:t>
            </w: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January 2022 to December 2022</w:t>
            </w:r>
          </w:p>
        </w:tc>
      </w:tr>
    </w:tbl>
    <w:p>
      <w:pPr>
        <w:spacing w:after="0" w:line="18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liabilities as of September 30, 2022 and December 31, 2021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920" w:type="dxa"/>
            <w:vAlign w:val="bottom"/>
          </w:tcPr>
          <w:p>
            <w:pPr>
              <w:spacing w:after="0"/>
              <w:rPr>
                <w:sz w:val="13"/>
                <w:szCs w:val="13"/>
                <w:color w:val="auto"/>
              </w:rPr>
            </w:pP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4"/>
          </w:tcPr>
          <w:p>
            <w:pPr>
              <w:ind w:lef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00" w:type="dxa"/>
            <w:vAlign w:val="bottom"/>
            <w:tcBorders>
              <w:bottom w:val="single" w:sz="8" w:color="auto"/>
            </w:tcBorders>
            <w:vMerge w:val="continue"/>
          </w:tcPr>
          <w:p>
            <w:pPr>
              <w:spacing w:after="0"/>
              <w:rPr>
                <w:sz w:val="15"/>
                <w:szCs w:val="15"/>
                <w:color w:val="auto"/>
              </w:rPr>
            </w:pPr>
          </w:p>
        </w:tc>
        <w:tc>
          <w:tcPr>
            <w:tcW w:w="3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39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3920" w:type="dxa"/>
            <w:vAlign w:val="bottom"/>
          </w:tcPr>
          <w:p>
            <w:pPr>
              <w:ind w:left="1700"/>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12,744</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Zero cost collars</w:t>
            </w:r>
          </w:p>
        </w:tc>
        <w:tc>
          <w:tcPr>
            <w:tcW w:w="39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Other non-current liabilities</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September 30, 2022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Gross amounts of</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Gross amounts</w:t>
            </w:r>
          </w:p>
        </w:tc>
        <w:tc>
          <w:tcPr>
            <w:tcW w:w="400" w:type="dxa"/>
            <w:vAlign w:val="bottom"/>
          </w:tcPr>
          <w:p>
            <w:pPr>
              <w:spacing w:after="0"/>
              <w:rPr>
                <w:sz w:val="14"/>
                <w:szCs w:val="14"/>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Net amounts of</w:t>
            </w:r>
          </w:p>
        </w:tc>
        <w:tc>
          <w:tcPr>
            <w:tcW w:w="180" w:type="dxa"/>
            <w:vAlign w:val="bottom"/>
          </w:tcPr>
          <w:p>
            <w:pPr>
              <w:spacing w:after="0"/>
              <w:rPr>
                <w:sz w:val="14"/>
                <w:szCs w:val="14"/>
                <w:color w:val="auto"/>
              </w:rPr>
            </w:pPr>
          </w:p>
        </w:tc>
        <w:tc>
          <w:tcPr>
            <w:tcW w:w="23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liabilities</w:t>
            </w:r>
          </w:p>
        </w:tc>
        <w:tc>
          <w:tcPr>
            <w:tcW w:w="180" w:type="dxa"/>
            <w:vAlign w:val="bottom"/>
          </w:tcPr>
          <w:p>
            <w:pPr>
              <w:spacing w:after="0"/>
              <w:rPr>
                <w:sz w:val="14"/>
                <w:szCs w:val="14"/>
                <w:color w:val="auto"/>
              </w:rPr>
            </w:pPr>
          </w:p>
        </w:tc>
        <w:tc>
          <w:tcPr>
            <w:tcW w:w="23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September 30, 2022</w:t>
            </w:r>
          </w:p>
        </w:tc>
        <w:tc>
          <w:tcPr>
            <w:tcW w:w="140" w:type="dxa"/>
            <w:vAlign w:val="bottom"/>
          </w:tcPr>
          <w:p>
            <w:pPr>
              <w:spacing w:after="0"/>
              <w:rPr>
                <w:sz w:val="10"/>
                <w:szCs w:val="10"/>
                <w:color w:val="auto"/>
              </w:rPr>
            </w:pPr>
          </w:p>
        </w:tc>
        <w:tc>
          <w:tcPr>
            <w:tcW w:w="13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6"/>
              </w:rPr>
              <w:t>recognized</w:t>
            </w:r>
          </w:p>
        </w:tc>
        <w:tc>
          <w:tcPr>
            <w:tcW w:w="100" w:type="dxa"/>
            <w:vAlign w:val="bottom"/>
          </w:tcPr>
          <w:p>
            <w:pPr>
              <w:spacing w:after="0"/>
              <w:rPr>
                <w:sz w:val="10"/>
                <w:szCs w:val="10"/>
                <w:color w:val="auto"/>
              </w:rPr>
            </w:pPr>
          </w:p>
        </w:tc>
        <w:tc>
          <w:tcPr>
            <w:tcW w:w="84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4"/>
              </w:rPr>
              <w:t>offset in the</w:t>
            </w:r>
          </w:p>
        </w:tc>
        <w:tc>
          <w:tcPr>
            <w:tcW w:w="400" w:type="dxa"/>
            <w:vAlign w:val="bottom"/>
          </w:tcPr>
          <w:p>
            <w:pPr>
              <w:spacing w:after="0"/>
              <w:rPr>
                <w:sz w:val="10"/>
                <w:szCs w:val="10"/>
                <w:color w:val="auto"/>
              </w:rPr>
            </w:pPr>
          </w:p>
        </w:tc>
        <w:tc>
          <w:tcPr>
            <w:tcW w:w="140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Financial</w:t>
            </w: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4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3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400" w:type="dxa"/>
            <w:vAlign w:val="bottom"/>
          </w:tcPr>
          <w:p>
            <w:pPr>
              <w:spacing w:after="0"/>
              <w:rPr>
                <w:sz w:val="15"/>
                <w:szCs w:val="15"/>
                <w:color w:val="auto"/>
              </w:rPr>
            </w:pPr>
          </w:p>
        </w:tc>
        <w:tc>
          <w:tcPr>
            <w:tcW w:w="14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5"/>
                <w:szCs w:val="15"/>
                <w:color w:val="auto"/>
              </w:rPr>
            </w:pPr>
          </w:p>
        </w:tc>
        <w:tc>
          <w:tcPr>
            <w:tcW w:w="120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w w:val="96"/>
              </w:rPr>
              <w:t>pledged</w:t>
            </w: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Liability Derivatives:</w:t>
            </w:r>
          </w:p>
        </w:tc>
        <w:tc>
          <w:tcPr>
            <w:tcW w:w="19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15,062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(14,370)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December 31, 2021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Gross amounts of</w:t>
            </w:r>
          </w:p>
        </w:tc>
        <w:tc>
          <w:tcPr>
            <w:tcW w:w="20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40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Net amounts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0"/>
              </w:rPr>
              <w:t>Gross amounts not offset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liabilities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recognized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00" w:type="dxa"/>
            <w:vAlign w:val="bottom"/>
          </w:tcPr>
          <w:p>
            <w:pPr>
              <w:spacing w:after="0"/>
              <w:rPr>
                <w:sz w:val="10"/>
                <w:szCs w:val="10"/>
                <w:color w:val="auto"/>
              </w:rPr>
            </w:pPr>
          </w:p>
        </w:tc>
        <w:tc>
          <w:tcPr>
            <w:tcW w:w="11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0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4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3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20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00" w:type="dxa"/>
            <w:vAlign w:val="bottom"/>
          </w:tcPr>
          <w:p>
            <w:pPr>
              <w:spacing w:after="0"/>
              <w:rPr>
                <w:sz w:val="13"/>
                <w:szCs w:val="13"/>
                <w:color w:val="auto"/>
              </w:rPr>
            </w:pPr>
          </w:p>
        </w:tc>
        <w:tc>
          <w:tcPr>
            <w:tcW w:w="11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20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pledged</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2,020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(2,060)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18"/>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statements of operations for the three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2022 and 2021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980" w:type="dxa"/>
            <w:vAlign w:val="bottom"/>
          </w:tcPr>
          <w:p>
            <w:pPr>
              <w:spacing w:after="0"/>
              <w:rPr>
                <w:sz w:val="14"/>
                <w:szCs w:val="14"/>
                <w:color w:val="auto"/>
              </w:rPr>
            </w:pPr>
          </w:p>
        </w:tc>
        <w:tc>
          <w:tcPr>
            <w:tcW w:w="1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Amount of Loss</w:t>
            </w:r>
          </w:p>
        </w:tc>
        <w:tc>
          <w:tcPr>
            <w:tcW w:w="2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Location/Amount of Loss</w:t>
            </w:r>
          </w:p>
        </w:tc>
        <w:tc>
          <w:tcPr>
            <w:tcW w:w="540" w:type="dxa"/>
            <w:vAlign w:val="bottom"/>
          </w:tcPr>
          <w:p>
            <w:pPr>
              <w:spacing w:after="0"/>
              <w:rPr>
                <w:sz w:val="14"/>
                <w:szCs w:val="14"/>
                <w:color w:val="auto"/>
              </w:rPr>
            </w:pPr>
          </w:p>
        </w:tc>
        <w:tc>
          <w:tcPr>
            <w:tcW w:w="2320" w:type="dxa"/>
            <w:vAlign w:val="bottom"/>
            <w:gridSpan w:val="3"/>
            <w:vMerge w:val="restart"/>
          </w:tcPr>
          <w:p>
            <w:pPr>
              <w:jc w:val="center"/>
              <w:ind w:left="548"/>
              <w:spacing w:after="0"/>
              <w:rPr>
                <w:sz w:val="20"/>
                <w:szCs w:val="20"/>
                <w:color w:val="auto"/>
              </w:rPr>
            </w:pPr>
            <w:r>
              <w:rPr>
                <w:rFonts w:ascii="Arial" w:cs="Arial" w:eastAsia="Arial" w:hAnsi="Arial"/>
                <w:sz w:val="14"/>
                <w:szCs w:val="14"/>
                <w:b w:val="1"/>
                <w:bCs w:val="1"/>
                <w:color w:val="auto"/>
                <w:w w:val="94"/>
              </w:rPr>
              <w:t>Location/Amount of Gain</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72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234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980" w:type="dxa"/>
            <w:vAlign w:val="bottom"/>
          </w:tcPr>
          <w:p>
            <w:pPr>
              <w:spacing w:after="0"/>
              <w:rPr>
                <w:sz w:val="12"/>
                <w:szCs w:val="12"/>
                <w:color w:val="auto"/>
              </w:rPr>
            </w:pPr>
          </w:p>
        </w:tc>
        <w:tc>
          <w:tcPr>
            <w:tcW w:w="17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AOCI on</w:t>
            </w:r>
          </w:p>
        </w:tc>
        <w:tc>
          <w:tcPr>
            <w:tcW w:w="1920" w:type="dxa"/>
            <w:vAlign w:val="bottom"/>
            <w:gridSpan w:val="3"/>
          </w:tcPr>
          <w:p>
            <w:pPr>
              <w:jc w:val="center"/>
              <w:ind w:left="324"/>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3"/>
          </w:tcPr>
          <w:p>
            <w:pPr>
              <w:jc w:val="center"/>
              <w:ind w:left="54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980" w:type="dxa"/>
            <w:vAlign w:val="bottom"/>
          </w:tcPr>
          <w:p>
            <w:pPr>
              <w:spacing w:after="0"/>
              <w:rPr>
                <w:sz w:val="14"/>
                <w:szCs w:val="14"/>
                <w:color w:val="auto"/>
              </w:rPr>
            </w:pPr>
          </w:p>
        </w:tc>
        <w:tc>
          <w:tcPr>
            <w:tcW w:w="1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Derivatives</w:t>
            </w: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Into Statement of Operations</w:t>
            </w:r>
          </w:p>
        </w:tc>
        <w:tc>
          <w:tcPr>
            <w:tcW w:w="540" w:type="dxa"/>
            <w:vAlign w:val="bottom"/>
          </w:tcPr>
          <w:p>
            <w:pPr>
              <w:spacing w:after="0"/>
              <w:rPr>
                <w:sz w:val="14"/>
                <w:szCs w:val="14"/>
                <w:color w:val="auto"/>
              </w:rPr>
            </w:pPr>
          </w:p>
        </w:tc>
        <w:tc>
          <w:tcPr>
            <w:tcW w:w="30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26"/>
        </w:trPr>
        <w:tc>
          <w:tcPr>
            <w:tcW w:w="840" w:type="dxa"/>
            <w:vAlign w:val="bottom"/>
            <w:tcBorders>
              <w:top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Borders>
              <w:top w:val="single" w:sz="8" w:color="auto"/>
            </w:tcBorders>
            <w:gridSpan w:val="3"/>
          </w:tcPr>
          <w:p>
            <w:pPr>
              <w:jc w:val="center"/>
              <w:spacing w:after="0" w:line="126" w:lineRule="exact"/>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right"/>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4"/>
                <w:szCs w:val="14"/>
                <w:color w:val="auto"/>
              </w:rPr>
            </w:pPr>
          </w:p>
        </w:tc>
        <w:tc>
          <w:tcPr>
            <w:tcW w:w="14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w w:val="83"/>
              </w:rPr>
              <w:t>2022</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$(11,757)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$(3,271)</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Net sales   $  (2,820)</w:t>
            </w:r>
          </w:p>
        </w:tc>
        <w:tc>
          <w:tcPr>
            <w:tcW w:w="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2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(653)  Other income, net   $  146</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the impact of derivative instruments on the consolidated statements of operations for the nine months ended September 30, 2022 and 2021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16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Amount of Loss</w:t>
            </w:r>
          </w:p>
        </w:tc>
        <w:tc>
          <w:tcPr>
            <w:tcW w:w="252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3"/>
              </w:rPr>
              <w:t>Location/Amount of Gain (Loss)</w:t>
            </w:r>
          </w:p>
        </w:tc>
        <w:tc>
          <w:tcPr>
            <w:tcW w:w="2320" w:type="dxa"/>
            <w:vAlign w:val="bottom"/>
            <w:gridSpan w:val="3"/>
            <w:vMerge w:val="restart"/>
          </w:tcPr>
          <w:p>
            <w:pPr>
              <w:jc w:val="center"/>
              <w:ind w:left="484"/>
              <w:spacing w:after="0"/>
              <w:rPr>
                <w:sz w:val="20"/>
                <w:szCs w:val="20"/>
                <w:color w:val="auto"/>
              </w:rPr>
            </w:pPr>
            <w:r>
              <w:rPr>
                <w:rFonts w:ascii="Arial" w:cs="Arial" w:eastAsia="Arial" w:hAnsi="Arial"/>
                <w:sz w:val="14"/>
                <w:szCs w:val="14"/>
                <w:b w:val="1"/>
                <w:bCs w:val="1"/>
                <w:color w:val="auto"/>
                <w:w w:val="95"/>
              </w:rPr>
              <w:t>Location/Amount of Gain</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780" w:type="dxa"/>
            <w:vAlign w:val="bottom"/>
            <w:gridSpan w:val="4"/>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2520" w:type="dxa"/>
            <w:vAlign w:val="bottom"/>
            <w:gridSpan w:val="6"/>
            <w:vMerge w:val="continue"/>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160" w:type="dxa"/>
            <w:vAlign w:val="bottom"/>
          </w:tcPr>
          <w:p>
            <w:pPr>
              <w:spacing w:after="0"/>
              <w:rPr>
                <w:sz w:val="12"/>
                <w:szCs w:val="12"/>
                <w:color w:val="auto"/>
              </w:rPr>
            </w:pPr>
          </w:p>
        </w:tc>
        <w:tc>
          <w:tcPr>
            <w:tcW w:w="17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AOCI on</w:t>
            </w:r>
          </w:p>
        </w:tc>
        <w:tc>
          <w:tcPr>
            <w:tcW w:w="252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320" w:type="dxa"/>
            <w:vAlign w:val="bottom"/>
            <w:gridSpan w:val="3"/>
          </w:tcPr>
          <w:p>
            <w:pPr>
              <w:jc w:val="center"/>
              <w:ind w:left="484"/>
              <w:spacing w:after="0" w:line="149" w:lineRule="exact"/>
              <w:rPr>
                <w:sz w:val="20"/>
                <w:szCs w:val="20"/>
                <w:color w:val="auto"/>
              </w:rPr>
            </w:pPr>
            <w:r>
              <w:rPr>
                <w:rFonts w:ascii="Arial" w:cs="Arial" w:eastAsia="Arial" w:hAnsi="Arial"/>
                <w:sz w:val="14"/>
                <w:szCs w:val="14"/>
                <w:b w:val="1"/>
                <w:bCs w:val="1"/>
                <w:color w:val="auto"/>
                <w:w w:val="88"/>
              </w:rPr>
              <w:t>Recognized in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16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25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Into Statement of Operations</w:t>
            </w:r>
          </w:p>
        </w:tc>
        <w:tc>
          <w:tcPr>
            <w:tcW w:w="29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Statement of Operations on Derivatives</w:t>
            </w:r>
          </w:p>
        </w:tc>
        <w:tc>
          <w:tcPr>
            <w:tcW w:w="0" w:type="dxa"/>
            <w:vAlign w:val="bottom"/>
          </w:tcPr>
          <w:p>
            <w:pPr>
              <w:spacing w:after="0"/>
              <w:rPr>
                <w:sz w:val="1"/>
                <w:szCs w:val="1"/>
                <w:color w:val="auto"/>
              </w:rPr>
            </w:pPr>
          </w:p>
        </w:tc>
      </w:tr>
      <w:tr>
        <w:trPr>
          <w:trHeight w:val="126"/>
        </w:trPr>
        <w:tc>
          <w:tcPr>
            <w:tcW w:w="840" w:type="dxa"/>
            <w:vAlign w:val="bottom"/>
            <w:tcBorders>
              <w:top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tcBorders>
              <w:top w:val="single" w:sz="8" w:color="auto"/>
            </w:tcBorders>
            <w:gridSpan w:val="3"/>
          </w:tcPr>
          <w:p>
            <w:pPr>
              <w:jc w:val="center"/>
              <w:spacing w:after="0" w:line="126" w:lineRule="exact"/>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center"/>
              <w:spacing w:after="0" w:line="126" w:lineRule="exact"/>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4"/>
                <w:szCs w:val="14"/>
                <w:color w:val="auto"/>
              </w:rPr>
            </w:pPr>
          </w:p>
        </w:tc>
        <w:tc>
          <w:tcPr>
            <w:tcW w:w="1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80" w:type="dxa"/>
            <w:vAlign w:val="bottom"/>
          </w:tcPr>
          <w:p>
            <w:pPr>
              <w:spacing w:after="0"/>
              <w:rPr>
                <w:sz w:val="14"/>
                <w:szCs w:val="14"/>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2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$(19,498)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$(4,964)</w:t>
            </w:r>
          </w:p>
        </w:tc>
        <w:tc>
          <w:tcPr>
            <w:tcW w:w="1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Net sales   $ (5,378)</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$ 333</w:t>
            </w:r>
          </w:p>
        </w:tc>
        <w:tc>
          <w:tcPr>
            <w:tcW w:w="23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 income, net   $  201</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As of September 30, 2022, the amount expected to be reclassified from accumulated other comprehensive loss into loss within the next 12 months is $13,262 thousand.</w:t>
      </w:r>
    </w:p>
    <w:p>
      <w:pPr>
        <w:spacing w:after="0" w:line="170"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The Company set aside cash deposits to the counterparties, Nomura Financial Investment (Korea) Co., Ltd. (“NFIK”) and Standard Chartered Bank Korea Limited (“SC”), as required for the zero cost collar contracts. These cash deposits are recorded as hedge collateral on the consolidated balance sheets. Cash deposits as of September 30, 2022 and December 31, 2021 are as follows (in thousands):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Counterparties</w:t>
            </w:r>
          </w:p>
        </w:tc>
        <w:tc>
          <w:tcPr>
            <w:tcW w:w="49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SC</w:t>
            </w:r>
          </w:p>
        </w:tc>
        <w:tc>
          <w:tcPr>
            <w:tcW w:w="4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Company is required to deposit additional cash collateral with NFIK and SC for any exposure in excess of $500 thousand. As of September 30, 2022, $11,670 thousand and $2,700 thousand of additional cash collateral was required by NFIK and SC, respectively, and recorded as hedge collateral on the consolidated balance sheet. As of December 31, 2021, $760 thousand and $1,300 thousand of additional cash collateral was required by NFIK and SC, respectively, and recorded as hedge collateral on the consolidated balance sheet.</w:t>
      </w:r>
    </w:p>
    <w:p>
      <w:pPr>
        <w:spacing w:after="0" w:line="171"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These zero cost collar contracts may be terminated by the counterparties if the Company’s total cash and cash equivalents is less than $30,000 thousand at the end of a fiscal quarter, unless a waiver is obtained.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September 30, 2022,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12,744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12,744</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12,744</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Derivative liabilities (other non-current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2,318</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2,318</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2021,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4"/>
                <w:szCs w:val="14"/>
                <w:color w:val="auto"/>
              </w:rPr>
            </w:pPr>
          </w:p>
        </w:tc>
        <w:tc>
          <w:tcPr>
            <w:tcW w:w="17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December 31, 2021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52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2,020</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rPr>
              <w:t>$   2,020</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Accrued Severance Benefits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2022, 97%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60"/>
              <w:spacing w:after="0" w:line="155" w:lineRule="exact"/>
              <w:rPr>
                <w:sz w:val="20"/>
                <w:szCs w:val="20"/>
                <w:color w:val="auto"/>
              </w:rPr>
            </w:pPr>
            <w:r>
              <w:rPr>
                <w:rFonts w:ascii="Arial" w:cs="Arial" w:eastAsia="Arial" w:hAnsi="Arial"/>
                <w:sz w:val="14"/>
                <w:szCs w:val="14"/>
                <w:b w:val="1"/>
                <w:bCs w:val="1"/>
                <w:color w:val="auto"/>
                <w:w w:val="87"/>
              </w:rPr>
              <w:t>September 30,</w:t>
            </w:r>
          </w:p>
        </w:tc>
        <w:tc>
          <w:tcPr>
            <w:tcW w:w="5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47,586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51,567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53,105</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Provisions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1,923</w:t>
            </w:r>
          </w:p>
        </w:tc>
        <w:tc>
          <w:tcPr>
            <w:tcW w:w="5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5,163</w:t>
            </w:r>
          </w:p>
        </w:tc>
        <w:tc>
          <w:tcPr>
            <w:tcW w:w="4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(1,247)</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(4,181)</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(4,730)</w:t>
            </w:r>
          </w:p>
        </w:tc>
        <w:tc>
          <w:tcPr>
            <w:tcW w:w="5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(9,017)</w:t>
            </w:r>
          </w:p>
        </w:tc>
        <w:tc>
          <w:tcPr>
            <w:tcW w:w="4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(2,441)</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43,532</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43,532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50,735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Arial" w:cs="Arial" w:eastAsia="Arial" w:hAnsi="Arial"/>
                <w:sz w:val="18"/>
                <w:szCs w:val="18"/>
                <w:color w:val="auto"/>
              </w:rPr>
              <w:t>Less: Cumulative contributions to</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severance insurance deposit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accounts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(15,292)</w:t>
            </w:r>
          </w:p>
        </w:tc>
        <w:tc>
          <w:tcPr>
            <w:tcW w:w="5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(15,292)</w:t>
            </w:r>
          </w:p>
        </w:tc>
        <w:tc>
          <w:tcPr>
            <w:tcW w:w="4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(12,739)</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Group severance insurance plan</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(164)</w:t>
            </w:r>
          </w:p>
        </w:tc>
        <w:tc>
          <w:tcPr>
            <w:tcW w:w="5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28,036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28,036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37,741</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 is liable to pay the following future benefits to its non-executive employees upon their normal retirement age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1,273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2028 – 2032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17,223</w:t>
            </w: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Korea’s mandatory retirement age is 60 years of age or older under the Employment Promotion for the Aged Act. The Company sets the retirement age of employees at 60.</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Foreign Currency Loss, Net</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September 30, 2022 and December 31, 2021, the outstanding intercompany loan balances including accrued interest between the Korean subsidiary and the Dutch subsidiary were $356,746 thousand and $344,411 thousand, respectively. The Korean won to U.S. dollar exchange rates were 1,434.8:1 and 1,185.5:1 using the first base rate as of September 30, 2022 and December 31, 2021,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three and nine months ended September 30, 2022, the Company recorded an income tax benefit of $3,942 thousand and $1,356 thousand, respectively, primarily attributable to a decrease in its Korean subsidiary’s pre-tax income for the respective period due to the foreign currency translation loss recorded in its Korean subsidiary in connection with intercompany loans.</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For the three and nine months ended September 30, 2021, the Company recorded an income tax expense of $3,149 thousand and $6,040 thousand, respectively, primarily attributable to the Company’s Korean subsidiary based on its estimated taxable income for the respective period, combined with its ability to utilize net operating loss carryforwards up to 60%, and interest on intercompany loan balances.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operating segment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2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58,528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63,876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164,024</w:t>
            </w:r>
          </w:p>
        </w:tc>
      </w:tr>
      <w:tr>
        <w:trPr>
          <w:trHeight w:val="216"/>
        </w:trPr>
        <w:tc>
          <w:tcPr>
            <w:tcW w:w="392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56,416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58,887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184,193</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169,565</w:t>
            </w:r>
          </w:p>
        </w:tc>
      </w:tr>
      <w:tr>
        <w:trPr>
          <w:trHeight w:val="27"/>
        </w:trPr>
        <w:tc>
          <w:tcPr>
            <w:tcW w:w="392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62,771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117,415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248,069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333,589</w:t>
            </w: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30,306</w:t>
            </w:r>
          </w:p>
        </w:tc>
        <w:tc>
          <w:tcPr>
            <w:tcW w:w="40" w:type="dxa"/>
            <w:vAlign w:val="bottom"/>
          </w:tcPr>
          <w:p>
            <w:pPr>
              <w:spacing w:after="0"/>
              <w:rPr>
                <w:sz w:val="19"/>
                <w:szCs w:val="19"/>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276,668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363,895</w:t>
            </w:r>
          </w:p>
        </w:tc>
      </w:tr>
      <w:tr>
        <w:trPr>
          <w:trHeight w:val="20"/>
        </w:trPr>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0" w:type="dxa"/>
            <w:vAlign w:val="bottom"/>
            <w:tcBorders>
              <w:top w:val="single" w:sz="8" w:color="auto"/>
            </w:tcBorders>
            <w:gridSpan w:val="5"/>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17,274</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45,773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82,872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112,291</w:t>
            </w: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2,648</w:t>
            </w:r>
          </w:p>
        </w:tc>
      </w:tr>
      <w:tr>
        <w:trPr>
          <w:trHeight w:val="223"/>
        </w:trPr>
        <w:tc>
          <w:tcPr>
            <w:tcW w:w="392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0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17,225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46,587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85,166</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114,939</w:t>
            </w:r>
          </w:p>
        </w:tc>
        <w:tc>
          <w:tcPr>
            <w:tcW w:w="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880" w:type="dxa"/>
            <w:vAlign w:val="bottom"/>
          </w:tcPr>
          <w:p>
            <w:pPr>
              <w:spacing w:after="0"/>
              <w:rPr>
                <w:sz w:val="10"/>
                <w:szCs w:val="10"/>
                <w:color w:val="auto"/>
              </w:rPr>
            </w:pPr>
          </w:p>
        </w:tc>
        <w:tc>
          <w:tcPr>
            <w:tcW w:w="14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86,966</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34,612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84,220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148,940</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237,312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8,074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1,574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4,990</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3,847</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248,069</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333,589</w:t>
            </w:r>
          </w:p>
        </w:tc>
        <w:tc>
          <w:tcPr>
            <w:tcW w:w="4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For the three months ended September 30, 2022 and 2021, of the Company’s net sales – standard products business in Asia Pacific (other than Korea), net sales – standard products business in China and Hong Kong represented 74.2% and 72.0%, respectively, and net sales—standard products business in Vietnam represented 2.4% and 19.6%, respectively. For the nine months ended September 30, 2022 and 2021, of the Company’s net sales – standard products business in Asia Pacific (other than Korea), net sales – standard products business in China and Hong Kong represented 66.4% and 63.4%, respectively, and net sales—standard products business in Vietnam represented 16.2% and 29.5%, respectively.</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64% and 81% for the three months ended September 30, 2022 and 2021, respectively, and 70% and 81% for the nine months ended September 30, 2022 and 2021, respectively.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three months ended September 30, 2022, the Company had one customer that represented 16.2% of its net sales – standard products business. For the nine months ended September 30, 2022, the Company had two customers that represented 20.6% and 13.9% of its net sales – standard products business. For the three months ended September 30, 2021, the Company had two customers that represented 44.7% and 10.1% of its net sales – standard products business. For the nine months ended September 30, 2021, the Company had two customers that represented 44.6% and 10.6% of its net sales – standard products business.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2022, two customers of the Company’s standard products business accounted for 24.1% and 11.8% of its accounts receivable</w:t>
      </w:r>
    </w:p>
    <w:p>
      <w:pPr>
        <w:spacing w:after="0" w:line="46"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 standard products business (which does not include the Transitional Fab 3 Foundry Services), respectively. As of December 31, 2021, two customers of the Company’s standard products business accounted for 31.5% and 16.1% of its accounts receivable – standard products business (which does not include the Transitional Fab 3 Foundry Services), respectively.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Accumulated other comprehensive loss consists of the following as of September 30, 2022 and December 31, 2021, respectively (in thousands):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7"/>
              </w:rPr>
              <w:t>(16,651)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(15,580)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(1,460)</w:t>
            </w:r>
          </w:p>
        </w:tc>
      </w:tr>
      <w:tr>
        <w:trPr>
          <w:trHeight w:val="27"/>
        </w:trPr>
        <w:tc>
          <w:tcPr>
            <w:tcW w:w="5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(32,231)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loss for the three months ended September 30, 2022 and 2021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020" w:type="dxa"/>
            <w:vAlign w:val="bottom"/>
            <w:gridSpan w:val="5"/>
            <w:vMerge w:val="restart"/>
          </w:tcPr>
          <w:p>
            <w:pPr>
              <w:jc w:val="right"/>
              <w:ind w:right="241"/>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20" w:type="dxa"/>
            <w:vAlign w:val="bottom"/>
            <w:gridSpan w:val="3"/>
            <w:vMerge w:val="continue"/>
          </w:tcPr>
          <w:p>
            <w:pPr>
              <w:spacing w:after="0"/>
              <w:rPr>
                <w:sz w:val="15"/>
                <w:szCs w:val="15"/>
                <w:color w:val="auto"/>
              </w:rPr>
            </w:pPr>
          </w:p>
        </w:tc>
        <w:tc>
          <w:tcPr>
            <w:tcW w:w="1500" w:type="dxa"/>
            <w:vAlign w:val="bottom"/>
            <w:gridSpan w:val="6"/>
          </w:tcPr>
          <w:p>
            <w:pPr>
              <w:jc w:val="center"/>
              <w:ind w:left="156"/>
              <w:spacing w:after="0" w:line="158" w:lineRule="exact"/>
              <w:rPr>
                <w:sz w:val="20"/>
                <w:szCs w:val="20"/>
                <w:color w:val="auto"/>
              </w:rPr>
            </w:pPr>
            <w:r>
              <w:rPr>
                <w:rFonts w:ascii="Arial" w:cs="Arial" w:eastAsia="Arial" w:hAnsi="Arial"/>
                <w:sz w:val="14"/>
                <w:szCs w:val="14"/>
                <w:b w:val="1"/>
                <w:bCs w:val="1"/>
                <w:color w:val="auto"/>
                <w:w w:val="89"/>
              </w:rPr>
              <w:t>adjustments</w:t>
            </w:r>
          </w:p>
        </w:tc>
        <w:tc>
          <w:tcPr>
            <w:tcW w:w="1180" w:type="dxa"/>
            <w:vAlign w:val="bottom"/>
            <w:gridSpan w:val="6"/>
          </w:tcPr>
          <w:p>
            <w:pPr>
              <w:ind w:left="160"/>
              <w:spacing w:after="0" w:line="158" w:lineRule="exact"/>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0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(10,677</w:t>
            </w:r>
          </w:p>
        </w:tc>
        <w:tc>
          <w:tcPr>
            <w:tcW w:w="2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(6,643</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(17,320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(11,757)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5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(8,937)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(14,911)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(16,651)</w:t>
            </w:r>
          </w:p>
        </w:tc>
        <w:tc>
          <w:tcPr>
            <w:tcW w:w="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(15,580)</w:t>
            </w: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(32,231)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restart"/>
          </w:tcPr>
          <w:p>
            <w:pPr>
              <w:jc w:val="right"/>
              <w:ind w:right="181"/>
              <w:spacing w:after="0"/>
              <w:rPr>
                <w:sz w:val="20"/>
                <w:szCs w:val="20"/>
                <w:color w:val="auto"/>
              </w:rPr>
            </w:pPr>
            <w:r>
              <w:rPr>
                <w:rFonts w:ascii="Arial" w:cs="Arial" w:eastAsia="Arial" w:hAnsi="Arial"/>
                <w:sz w:val="14"/>
                <w:szCs w:val="14"/>
                <w:b w:val="1"/>
                <w:bCs w:val="1"/>
                <w:color w:val="auto"/>
                <w:w w:val="98"/>
              </w:rPr>
              <w:t>Derivative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60" w:type="dxa"/>
            <w:vAlign w:val="bottom"/>
          </w:tcPr>
          <w:p>
            <w:pPr>
              <w:spacing w:after="0"/>
              <w:rPr>
                <w:sz w:val="15"/>
                <w:szCs w:val="15"/>
                <w:color w:val="auto"/>
              </w:rPr>
            </w:pPr>
          </w:p>
        </w:tc>
        <w:tc>
          <w:tcPr>
            <w:tcW w:w="1020" w:type="dxa"/>
            <w:vAlign w:val="bottom"/>
            <w:gridSpan w:val="5"/>
          </w:tcPr>
          <w:p>
            <w:pPr>
              <w:jc w:val="right"/>
              <w:ind w:right="121"/>
              <w:spacing w:after="0" w:line="158" w:lineRule="exact"/>
              <w:rPr>
                <w:sz w:val="20"/>
                <w:szCs w:val="20"/>
                <w:color w:val="auto"/>
              </w:rPr>
            </w:pPr>
            <w:r>
              <w:rPr>
                <w:rFonts w:ascii="Arial" w:cs="Arial" w:eastAsia="Arial" w:hAnsi="Arial"/>
                <w:sz w:val="14"/>
                <w:szCs w:val="14"/>
                <w:b w:val="1"/>
                <w:bCs w:val="1"/>
                <w:color w:val="auto"/>
                <w:w w:val="96"/>
              </w:rPr>
              <w:t>adjustments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0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(1,045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(925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(3,271)</w:t>
            </w:r>
          </w:p>
        </w:tc>
        <w:tc>
          <w:tcPr>
            <w:tcW w:w="2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(2,618)</w:t>
            </w:r>
          </w:p>
        </w:tc>
        <w:tc>
          <w:tcPr>
            <w:tcW w:w="20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(3,663)</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loss for the nine months ended September 30, 2022 and 2021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04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8"/>
              </w:rPr>
              <w:t>Derivative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400" w:type="dxa"/>
            <w:vAlign w:val="bottom"/>
          </w:tcPr>
          <w:p>
            <w:pPr>
              <w:spacing w:after="0"/>
              <w:rPr>
                <w:sz w:val="12"/>
                <w:szCs w:val="12"/>
                <w:color w:val="auto"/>
              </w:rPr>
            </w:pPr>
          </w:p>
        </w:tc>
        <w:tc>
          <w:tcPr>
            <w:tcW w:w="10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0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5740" w:type="dxa"/>
            <w:vAlign w:val="bottom"/>
            <w:gridSpan w:val="3"/>
            <w:vMerge w:val="continue"/>
          </w:tcPr>
          <w:p>
            <w:pPr>
              <w:spacing w:after="0"/>
              <w:rPr>
                <w:sz w:val="15"/>
                <w:szCs w:val="15"/>
                <w:color w:val="auto"/>
              </w:rPr>
            </w:pPr>
          </w:p>
        </w:tc>
        <w:tc>
          <w:tcPr>
            <w:tcW w:w="1460" w:type="dxa"/>
            <w:vAlign w:val="bottom"/>
            <w:gridSpan w:val="6"/>
          </w:tcPr>
          <w:p>
            <w:pPr>
              <w:jc w:val="center"/>
              <w:ind w:left="19"/>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140" w:type="dxa"/>
            <w:vAlign w:val="bottom"/>
            <w:gridSpan w:val="6"/>
          </w:tcPr>
          <w:p>
            <w:pPr>
              <w:ind w:left="10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(1,460</w:t>
            </w:r>
          </w:p>
        </w:tc>
        <w:tc>
          <w:tcPr>
            <w:tcW w:w="120" w:type="dxa"/>
            <w:vAlign w:val="bottom"/>
            <w:tcBorders>
              <w:top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(2,230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4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(15,881)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(15,881)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(16,651)</w:t>
            </w:r>
          </w:p>
        </w:tc>
        <w:tc>
          <w:tcPr>
            <w:tcW w:w="1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 (15,580)</w:t>
            </w:r>
          </w:p>
        </w:tc>
        <w:tc>
          <w:tcPr>
            <w:tcW w:w="1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(32,231)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8"/>
              </w:rPr>
              <w:t>Derivative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5"/>
                <w:szCs w:val="15"/>
                <w:color w:val="auto"/>
              </w:rPr>
            </w:pPr>
          </w:p>
        </w:tc>
        <w:tc>
          <w:tcPr>
            <w:tcW w:w="1040" w:type="dxa"/>
            <w:vAlign w:val="bottom"/>
            <w:gridSpan w:val="5"/>
          </w:tcPr>
          <w:p>
            <w:pPr>
              <w:jc w:val="right"/>
              <w:ind w:right="18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2,069</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1,634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(3,663)</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(4,403)</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ind w:left="454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86" w:right="6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Stock Repurchases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21, 2021, the Board of Directors authorized the Company to repurchase up to $75,000 thousand of the Company’s outstanding common stock and the Company entered into an accelerated stock repurchase agreement (the “ASR Agreement”) with JPMorgan Chase Bank, National Association (“JPM”) to repurchase an aggregate of $37,500 thousand of the Company’s common stock.</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Pursuant to the terms of the ASR Agreement dated December 21, 2021, the Company paid to JPM $37,500 thousand in cash and received an initial delivery of 994,695 shares of its common stock in the open market for an aggregate purchase price of $20,073 thousand and a price per share of $20.18 on December 22, 2021.</w:t>
      </w:r>
    </w:p>
    <w:p>
      <w:pPr>
        <w:spacing w:after="0" w:line="184"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As of December 31, 2021, the Company accounted for the remaining portion of the ASR Agreement as a forward contract indexed to its own common stock and recorded $17,427 thousand in additional paid-in capital in stockholders’ equity in its consolidated balance sheets.</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March 2022, the previously announced repurchase of $37,500 thousand of the Company’s common stock was completed pursuant to the ASR Agreement, and as a result, the Company additionally received 1,031,576 shares of its common stock for an aggregate purchase price of $</w:t>
      </w:r>
    </w:p>
    <w:p>
      <w:pPr>
        <w:ind w:left="120" w:right="260"/>
        <w:spacing w:after="0" w:line="260" w:lineRule="auto"/>
        <w:rPr>
          <w:sz w:val="20"/>
          <w:szCs w:val="20"/>
          <w:color w:val="auto"/>
        </w:rPr>
      </w:pPr>
      <w:r>
        <w:rPr>
          <w:rFonts w:ascii="Arial" w:cs="Arial" w:eastAsia="Arial" w:hAnsi="Arial"/>
          <w:sz w:val="18"/>
          <w:szCs w:val="18"/>
          <w:color w:val="auto"/>
        </w:rPr>
        <w:t>17,217 thousand at a price per share of $16.69, which was reclassified as treasury stock from additional paid-in capital in stockholder’s equity in the Company’s consolidated balance sheets.</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August 31, 2022, the Board of Directors has authorized an expansion of the Company’s previously announced stock repurchase program from $75,000 thousand to $87,500 thousand of the Company’s common stock.</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September 2022, the Company repurchased 324,643 shares of its common stock in the open market for an aggregate purchase price of $3,638 thousand and a price per share of $11.21 under the stock repurchase program.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86" w:right="5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Earnings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illustrates the computation of basic and diluted earnings (loss) per common share for the three and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2022 and 2021:</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0" w:type="dxa"/>
            <w:vAlign w:val="bottom"/>
          </w:tcPr>
          <w:p>
            <w:pPr>
              <w:spacing w:after="0"/>
              <w:rPr>
                <w:sz w:val="10"/>
                <w:szCs w:val="10"/>
                <w:color w:val="auto"/>
              </w:rPr>
            </w:pPr>
          </w:p>
        </w:tc>
        <w:tc>
          <w:tcPr>
            <w:tcW w:w="14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(In</w:t>
            </w:r>
          </w:p>
        </w:tc>
        <w:tc>
          <w:tcPr>
            <w:tcW w:w="1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5"/>
              </w:rPr>
              <w:t>thousands of U.S. dollars,</w:t>
            </w: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except share</w:t>
            </w:r>
          </w:p>
        </w:tc>
        <w:tc>
          <w:tcPr>
            <w:tcW w:w="58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w w:val="77"/>
              </w:rPr>
              <w:t>data)</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(17,195)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44,865,266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46,449,234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6"/>
              </w:rPr>
              <w:t>45,119,214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44,377,250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(17,195)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44,865,266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46,449,234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6"/>
              </w:rPr>
              <w:t>45,119,214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44,377,250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effect of dilutive equity awards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1,359,223</w:t>
            </w:r>
          </w:p>
        </w:tc>
        <w:tc>
          <w:tcPr>
            <w:tcW w:w="100" w:type="dxa"/>
            <w:vAlign w:val="bottom"/>
          </w:tcPr>
          <w:p>
            <w:pPr>
              <w:spacing w:after="0"/>
              <w:rPr>
                <w:sz w:val="18"/>
                <w:szCs w:val="18"/>
                <w:color w:val="auto"/>
              </w:rPr>
            </w:pPr>
          </w:p>
        </w:tc>
        <w:tc>
          <w:tcPr>
            <w:tcW w:w="13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1,434,542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weighted average common stock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44,865,266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47,808,457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6"/>
              </w:rPr>
              <w:t>45,119,214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45,811,792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8"/>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40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7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50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1,141,551</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50,000</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1,141,551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1,014,124</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1,014,124</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20" w:right="400" w:firstLine="440"/>
        <w:spacing w:after="0" w:line="277" w:lineRule="auto"/>
        <w:rPr>
          <w:sz w:val="20"/>
          <w:szCs w:val="20"/>
          <w:color w:val="auto"/>
        </w:rPr>
      </w:pPr>
      <w:r>
        <w:rPr>
          <w:rFonts w:ascii="Arial" w:cs="Arial" w:eastAsia="Arial" w:hAnsi="Arial"/>
          <w:sz w:val="18"/>
          <w:szCs w:val="18"/>
          <w:color w:val="auto"/>
        </w:rPr>
        <w:t>For the nine months ended September 30, 2021, 1,906,786 shares, of potential common stock from the assumed conversion of Exchangeable Notes were also excluded from the computation of diluted loss per share as the effect were anti-dilutive for the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Plan</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Company entered into a Rights Agreement, dated as of December 13, 2021, between the Company and American Stock Transfer &amp; Trust Company, LLC, as rights agent (the “Rights Agreement”), and the Board of Directors of the Company authorized and declared a dividend of one preferred stock purchase right (a “Right” and collectively, the “Rights”) for each share of the Company’s common stock, par value $0.01 per share, outstanding at the close of business on December 23, 2021. Each Right, once exercisable, will entitle the registered holder to purchase from the Company one one-thousandth of a share of Series A-1 Junior Participating Preferred Stock, par value $0.01 per share, at a purchase price of $80, subject to adjustment (the “Purchase Price”). The Rights are not presently exercisable and remain attached to the shares of common stock unless and until the occurrence of the earlier of the following (the “Distribution Date”): (i) the tenth day after the public announcement or disclosure by the Company or any person or group of affiliated or associated persons that any person or group of affiliated or associated persons has become an “Acquiring Person” by obtaining beneficial ownership of 12.5% (or 20% in the case of a “passive institutional investor,” which is defined generally as any person who has reported beneficial ownership of shares of common stock on Schedule 13G under the Securities Exchange Act of 1934) or more of the Company’s outstanding common stock, subject to certain exceptions; or (ii) the tenth business day (or such later date as the Company’s Board of Directors may designate before a person or group of affiliated or associated persons becomes an Acquiring Person) after (and not including) the commencement of, or first public announcement of the intent of any person to commence, a tender or exchange offer by any person or group of affiliated or associated persons, which would, if consummated, result in such person or group becoming an Acquiring Person. The Board of Directors may redeem all of the Rights for $0.001 per Right at any time before any person or group of affiliated or associated persons becomes an Acquiring Person. In addition, at any time on or after any person or group of affiliated or associated persons becomes an Acquiring Person (but before any person or group of affiliated or associated persons becomes the owner of 50% or more of the Company’s outstanding common stock), the Board of Directors may exchange all or part of the Rights (other than the Rights beneficially owned by the Acquiring Person and certain affiliated persons) for shares of common stock at an exchange ratio of one share of common stock per Right. The Rights will expire at the close of business on December 12, 2022, unless redeemed or exchanged prior to that time.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any person or group of affiliated or associated persons becomes an Acquiring Person, then, after the Distribution Date, each Right (other than Rights beneficially owned by the Acquiring Person and certain affiliated persons or transferees thereof) will entitle the holder to purchase, for the Purchase Price, a number of shares of common stock having a market value of twice the Purchase Price. Alternatively, if, after any person or group of affiliated or associated persons becomes an Acquiring Person, (1) the Company is involved in a merger or other business combination in which the Company is not the surviving corporation or its common stock is changed into or exchanged for other securities or assets; or (2) the Company or one or more of its subsidiaries sell or otherwise transfer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Merger Agreement</w:t>
      </w:r>
    </w:p>
    <w:p>
      <w:pPr>
        <w:spacing w:after="0" w:line="121"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On March 25, 2021, the Company, South Dearborn Limited, an exempted company incorporated in the Cayman Islands with limited liability (“Holdco”), formed by an affiliate of Wise Road Capital LTD (“Wise Road”), and Michigan Merger Sub, Inc., a Delaware corporation and a wholly owned subsidiary of Holdco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Holdco.</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closing of the Merger was subject to certain conditions, including clearance by the Committee on Foreign Investment in the United States (“CFIUS”) under the Defense Production Act of 1950, as amended. The Company and Holdco were advised that CFIUS clearance of the Merger would not be forthcoming and received permission from CFIUS to withdraw their joint filing. In connection therewith, the Company and Holdco entered into a Termination and Settlement Agreement, dated December 13, 2021 (the “Termination Agreement”), pursuant to which Holdco agreed to pay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$70,200 thousand (the “Termination Fee”) to the Company on the terms specified in the Termination Agreement in satisfaction of Holdco’s obligation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pay a termination fee in connection with the termination of the Merger Agreement. On December 20, 2021, the Merger Agreement was terminated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Termination Agreement after the Company’s receipt of a fee of $51,000 thousand from Holdco and a standby letter of credit,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secures a deferred fee of $19,200 thousand from Holdco due on or before March 31, 2022. As of December 31, 2021, of the Termination Fee,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$19,200 thousand deferred fee was recorded as other receivables. In connection therewith, the Company, Holdco and Wise Road entered into a First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to the Termination Agreement, dated April 4, 2022, pursuant to which Holdco paid $14,400 thousand on April 4, 2022, with</w:t>
      </w:r>
    </w:p>
    <w:p>
      <w:pPr>
        <w:spacing w:after="0" w:line="9"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$4,800 thousand remaining outstanding. The Company, Holdco and Wise Road entered into a Second Amendment to the Termination Agreement, dated August 5, 2022 pursuant to which Holdco paid $3,000 thousand on August 5, 2022, of the deferred fee and payment of the remaining $1,800 thousand is due on or before October 31, 2022. The Company, Holdco and Wise Road entered into a Letter Agreement, dated October 28, 2022 pursuant to which the parties agreed to defer the remaining $1,800 thousand due on or before December 23, 2022. As of September 30, 2022, the remaining fee of $1,800 thousand was recorded as other receivables. Other than in respect of this receivable, the Company has no further relationship with Holdco.</w:t>
      </w:r>
    </w:p>
    <w:p>
      <w:pPr>
        <w:spacing w:after="0" w:line="16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the three and nine months ended September 30, 2021, the Company incurred $1,552 thousand and $13,842 thousand, respectively, of professional fees and certain transaction related-expenses incurred in connection with the Merger, which were recognized in merger-related costs in the consolidated statements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including external foundries, to meet its planned production. The Company recorded advances of $9,532 thousand and $1,708 thousand as other current assets as of September 30, 2022 and December 31, 2021,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The extent to which the COVID-19 pandemic impacts the Company’s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 severe impacts depending on where infection rates are highest. The Company cannot presently predict the scope and severity of any potential business shutdowns or disruptions, but if the Company or any of its customers and suppliers were to experience prolonged business shutdowns or other disruptions, its ability to conduct its business could be materially and negatively affected, which could have a material adverse impact on its business, results of operations and financial condition.</w:t>
      </w:r>
    </w:p>
    <w:p>
      <w:pPr>
        <w:spacing w:after="0" w:line="174"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ongoing and uncertain global health crisis and the resulting global economic consequences.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2021 filed on February 23, 2022 (“2021 Form 10-K”) (including that the impact of the COVID-19 pandemic may also exacerbate the risks discussed therein).</w:t>
      </w:r>
    </w:p>
    <w:p>
      <w:pPr>
        <w:spacing w:after="0" w:line="18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Statements made in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organic light emitting diodes (OLED) and Micro light emitting diode (Micro LED) televisions. Our Display Solutions products support some of the industry’s most advanced display technologies, such as OLEDs, low temperature polysilicons thin film transistors (LTPS TFTs), as well as high-volume display technologies such as amorphous silicon thin film transistors (a-Si TFTs). Since 2007, we have designed and manufactured OLED display driver integrated circuit (IC) products. Our current portfolio of OLED solutions address a wide range of resolutions ranging from HD (High Definition) to WQHD (Wide Quadruple High Definition) for wide range of applications including smartphones, TVs, automotives and IT applications such as monitors, notebook PCs, tablet PCs as well as AR/VRs.</w:t>
      </w:r>
    </w:p>
    <w:p>
      <w:pPr>
        <w:spacing w:after="0" w:line="16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 in Korea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w:t>
      </w:r>
    </w:p>
    <w:p>
      <w:pPr>
        <w:spacing w:after="0" w:line="16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Expanded Stock Repurchase Program</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August 31, 2022, our Board of Directors authorized an expansion of the previously announced stock repurchase program from $75.0 million to $87.5 million of our common stock. We have already repurchased shares worth $37.5 million under the program through an accelerated stock repurchase agreement on December 21, 2021 with JPMorgan Chase Bank, National Association. The remaining $50.0 million of the expanded</w:t>
      </w:r>
    </w:p>
    <w:p>
      <w:pPr>
        <w:spacing w:after="0" w:line="2" w:lineRule="exact"/>
        <w:rPr>
          <w:sz w:val="20"/>
          <w:szCs w:val="20"/>
          <w:color w:val="auto"/>
        </w:rPr>
      </w:pPr>
    </w:p>
    <w:p>
      <w:pPr>
        <w:ind w:left="120" w:right="140"/>
        <w:spacing w:after="0" w:line="323" w:lineRule="auto"/>
        <w:rPr>
          <w:sz w:val="20"/>
          <w:szCs w:val="20"/>
          <w:color w:val="auto"/>
        </w:rPr>
      </w:pPr>
      <w:r>
        <w:rPr>
          <w:rFonts w:ascii="Arial" w:cs="Arial" w:eastAsia="Arial" w:hAnsi="Arial"/>
          <w:sz w:val="16"/>
          <w:szCs w:val="16"/>
          <w:color w:val="auto"/>
        </w:rPr>
        <w:t>$87.5 million program will be repurchased in the open market or through privately negotiated transactions. In connection with the repurchase program, we have established a stock trading plan with Oppenheimer &amp; Co. Inc. in accordance with Rule 10b5-1 under the Securities Exchange Act of 1934.</w:t>
      </w:r>
    </w:p>
    <w:p>
      <w:pPr>
        <w:spacing w:after="0" w:line="13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September 2022, we repurchased 324,643 shares of our common stock in the open market for an aggregate purchase price of $3.6 million and a price per share of $11.21 under the stock repurchase program.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Semiconductor Industry Trends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Increases in demand for semiconductor products resulted in a global shortage of manufacturing capacity in recent periods.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shortage of manufacturing capacity may lead to an increase in our manufacturing costs. Our principal pricing strategy is to pass on the increased manufacturing costs to our customers; however, we may not be fully able to do this in all cases. Total revenues for the three and nine months ended September 30, 2022 were severely impacted by these persisting supply shortages, in particular for 28nm 12-inch OLED wafers, which impacted design-in projects from our large panel customer in Korea that are typically given 9 to 12 months in advance.</w:t>
      </w:r>
    </w:p>
    <w:p>
      <w:pPr>
        <w:spacing w:after="0" w:line="16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an effort to minimize the potential adverse impact of the supply shortage, we are working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spacing w:after="0" w:line="14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not able to foresee when the shortage of manufacturing capacity will subside, but we are beginning to see some indicators of improvement of such supply shortage situation. However, the global shortage for semiconductor products over the prior two years has led to overbooking backordered demand and oversupply. As a result, the current global macroeconomic conditions, including COVID-19 lockdowns in China, higher inflation and interest rates and uncertainty caused by the Russian-Ukraine war, have led to weaker end-market demand and an oversupply of inventory. We continue to monitor these trends and uncertainties, and any decline in end-market demand and increase in inventory levels could negatively impact our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experienced some minor disruption in our Power Solutions business line from assembly and test subcontractors located in China in the first quarter of 2020 as a result of the COVID-19 pandemic. To date, our external Display Solutions business line contractors and sub-contractors have not been materially impacted by the COVID-19 pandemic. We are, however, unable to accurately predict the full impact that the COVID-19 pandemic will have on future results of operations due to numerous uncertainties. The extent to which the COVID-19 pandemic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the COVID-19 pandemic,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the COVID-19 pandemic or treat its impact, including vaccination campaigns and lockdown measures, among others. In addition, recurrences or additional waves of COVID-19 cases could cause other widespread or more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86"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severe impacts depending on where infection rates are highest. We cannot presently predict the scope and severity of any potential business shutdowns or disruptions, but if we or any of our customers and suppliers were to experience prolonged business shutdowns or other disruptions, our ability to conduct our business could be materially and negatively affected, which could have a material adverse impact on our business, results of operations and financial condition.</w:t>
      </w:r>
    </w:p>
    <w:p>
      <w:pPr>
        <w:spacing w:after="0" w:line="18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ongoing and uncertain global health crisis and the resulting global economic consequences.</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86" w:right="5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ind w:left="120" w:right="400" w:firstLine="440"/>
        <w:spacing w:after="0" w:line="296" w:lineRule="auto"/>
        <w:rPr>
          <w:sz w:val="20"/>
          <w:szCs w:val="20"/>
          <w:color w:val="auto"/>
        </w:rPr>
      </w:pPr>
      <w:r>
        <w:rPr>
          <w:rFonts w:ascii="Arial" w:cs="Arial" w:eastAsia="Arial" w:hAnsi="Arial"/>
          <w:sz w:val="16"/>
          <w:szCs w:val="16"/>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gain, net, (iv) inventory reserve related to Huawei impact of downstream trade restrictions, (v) Merger-related costs and (vi) other charges, net. EBITDA for the periods indicated is defined as net income (loss) before interest income, net, income tax expense (benefit), and depreciation and amortization.</w:t>
      </w:r>
    </w:p>
    <w:p>
      <w:pPr>
        <w:spacing w:after="0" w:line="16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1080" w:right="2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1080" w:right="40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70" w:lineRule="exact"/>
        <w:rPr>
          <w:rFonts w:ascii="Arial" w:cs="Arial" w:eastAsia="Arial" w:hAnsi="Arial"/>
          <w:sz w:val="17"/>
          <w:szCs w:val="17"/>
          <w:color w:val="auto"/>
        </w:rPr>
      </w:pPr>
    </w:p>
    <w:p>
      <w:pPr>
        <w:ind w:left="1080" w:right="40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use Adjusted EBITDA in a number of ways,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(loss) to Adjusted EBITDA is as follows:</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Nine Months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2022</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4"/>
          </w:tcPr>
          <w:p>
            <w:pPr>
              <w:jc w:val="right"/>
              <w:ind w:right="493"/>
              <w:spacing w:after="0" w:line="155"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Foreign currency loss, net(b)</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gain, net(c)</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520"/>
              <w:spacing w:after="0"/>
              <w:rPr>
                <w:sz w:val="20"/>
                <w:szCs w:val="20"/>
                <w:color w:val="auto"/>
              </w:rPr>
            </w:pPr>
            <w:r>
              <w:rPr>
                <w:rFonts w:ascii="Arial" w:cs="Arial" w:eastAsia="Arial" w:hAnsi="Arial"/>
                <w:sz w:val="18"/>
                <w:szCs w:val="18"/>
                <w:color w:val="auto"/>
              </w:rPr>
              <w:t>downstream trade restrictions(d)</w:t>
            </w:r>
          </w:p>
        </w:tc>
        <w:tc>
          <w:tcPr>
            <w:tcW w:w="180" w:type="dxa"/>
            <w:vAlign w:val="bottom"/>
          </w:tcPr>
          <w:p>
            <w:pPr>
              <w:spacing w:after="0"/>
              <w:rPr>
                <w:sz w:val="20"/>
                <w:szCs w:val="20"/>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costs(e)</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Other charges, net(f)</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6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nine months ended September 31, 2021, this adjustment eliminates the impact of a partial sales of inventories for which excess and obsolete reserves were previously recognized in relation to the U.S. Government’s export restrictions on Huawei, which is a downstream customer of some of our direct customers, as a portion of reserved inventory was subsequently sold to certain other customers. As this adjustment meaningfully impacted our operational results and are not expected to represent an ongoing operating expense subject to our ability to foresee and control, we believe our operating performance results are more meaningfully compared if this adjustment is excluded.</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2021, this adjustment eliminates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2022, this adjustment eliminates $2.8 million of one-time 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back-end line in our fabrication facility in Gumi. For the three and nine months ended September 30, 2021, this adjustment eliminates professional service fees and expenses of</w:t>
      </w:r>
    </w:p>
    <w:p>
      <w:pPr>
        <w:spacing w:after="0" w:line="2" w:lineRule="exact"/>
        <w:rPr>
          <w:rFonts w:ascii="Arial" w:cs="Arial" w:eastAsia="Arial" w:hAnsi="Arial"/>
          <w:sz w:val="16"/>
          <w:szCs w:val="16"/>
          <w:color w:val="auto"/>
        </w:rPr>
      </w:pPr>
    </w:p>
    <w:p>
      <w:pPr>
        <w:ind w:left="540" w:right="40"/>
        <w:spacing w:after="0" w:line="253" w:lineRule="auto"/>
        <w:rPr>
          <w:rFonts w:ascii="Arial" w:cs="Arial" w:eastAsia="Arial" w:hAnsi="Arial"/>
          <w:sz w:val="16"/>
          <w:szCs w:val="16"/>
          <w:color w:val="auto"/>
        </w:rPr>
      </w:pPr>
      <w:r>
        <w:rPr>
          <w:rFonts w:ascii="Arial" w:cs="Arial" w:eastAsia="Arial" w:hAnsi="Arial"/>
          <w:sz w:val="18"/>
          <w:szCs w:val="18"/>
          <w:color w:val="auto"/>
        </w:rPr>
        <w:t>$0.2 million and $3.4 million, respectively, incurred in connection with the regulatory requests, both of which were offset in part by a $0.7 million legal settlement gain related to certain expenses incurred in prior periods in connection with our legacy Fab 4 (which was sold during the year ended December 31, 2020) and awarded in the third quarter. As these adjustments meaningfully impacted our operating results and are not expected to represent ongoing operating expenses to us, we believe our operating performance results are more usefully compared if these adjustments are excluded.</w:t>
      </w:r>
    </w:p>
    <w:p>
      <w:pPr>
        <w:spacing w:after="0" w:line="82" w:lineRule="exact"/>
        <w:rPr>
          <w:rFonts w:ascii="Arial" w:cs="Arial" w:eastAsia="Arial" w:hAnsi="Arial"/>
          <w:sz w:val="16"/>
          <w:szCs w:val="16"/>
          <w:color w:val="auto"/>
        </w:rPr>
      </w:pPr>
    </w:p>
    <w:p>
      <w:pPr>
        <w:ind w:left="560" w:right="160"/>
        <w:spacing w:after="0" w:line="277"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(ii) inventory reserve related to Huawei impact of downstream trade restrictions, (iii) Merger-related costs and (iv) other charges, net.</w:t>
      </w:r>
    </w:p>
    <w:p>
      <w:pPr>
        <w:spacing w:after="0" w:line="17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(Loss)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5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Nine Months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4"/>
          </w:tcPr>
          <w:p>
            <w:pPr>
              <w:jc w:val="right"/>
              <w:ind w:right="495"/>
              <w:spacing w:after="0" w:line="155"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downstream trade restrictions(b)</w:t>
            </w:r>
          </w:p>
        </w:tc>
        <w:tc>
          <w:tcPr>
            <w:tcW w:w="180" w:type="dxa"/>
            <w:vAlign w:val="bottom"/>
          </w:tcPr>
          <w:p>
            <w:pPr>
              <w:spacing w:after="0"/>
              <w:rPr>
                <w:sz w:val="21"/>
                <w:szCs w:val="21"/>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costs(c)</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Other charges, net(d)</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nine months ended September 31, 2021, this adjustment eliminates the impact of a partial sales of inventories for which excess and obsolete reserves were previously recognized in relation to the U.S. Government’s export restrictions on Huawei, which is a downstream customer of some of our direct customers, as a portion of reserved inventory was subsequently sold to certain other customers. As this adjustment meaningfully impacted our operational results and are not expected to represent an ongoing operating expense subject to our ability to foresee and control, we believe our operating performance results are more meaningfully compared if this adjustment is excluded.</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2021, this adjustment eliminates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2022, this adjustment eliminates $2.8 million of one-time 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back-end line in our fabrication facility in Gumi. For the three and nine months ended September 30, 2021, this adjustment eliminates professional service fees and expenses of</w:t>
      </w:r>
    </w:p>
    <w:p>
      <w:pPr>
        <w:spacing w:after="0" w:line="2" w:lineRule="exact"/>
        <w:rPr>
          <w:rFonts w:ascii="Arial" w:cs="Arial" w:eastAsia="Arial" w:hAnsi="Arial"/>
          <w:sz w:val="16"/>
          <w:szCs w:val="16"/>
          <w:color w:val="auto"/>
        </w:rPr>
      </w:pPr>
    </w:p>
    <w:p>
      <w:pPr>
        <w:ind w:left="540" w:right="160"/>
        <w:spacing w:after="0" w:line="255" w:lineRule="auto"/>
        <w:rPr>
          <w:rFonts w:ascii="Arial" w:cs="Arial" w:eastAsia="Arial" w:hAnsi="Arial"/>
          <w:sz w:val="16"/>
          <w:szCs w:val="16"/>
          <w:color w:val="auto"/>
        </w:rPr>
      </w:pPr>
      <w:r>
        <w:rPr>
          <w:rFonts w:ascii="Arial" w:cs="Arial" w:eastAsia="Arial" w:hAnsi="Arial"/>
          <w:sz w:val="18"/>
          <w:szCs w:val="18"/>
          <w:color w:val="auto"/>
        </w:rPr>
        <w:t>$0.2 million and $3.4 million, respectively, incurred in connection with the regulatory requests. As these adjustments meaningfully impacted our operating results and are not expected to represent ongoing operating expenses to us, we believe our operating performance results are more usefully compared if these adjustments are excluded.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present Adjusted Net Income (including on a per share basis) as a further supplemental measure of our performance. We prepare Adjusted Net Income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82" w:lineRule="exact"/>
        <w:rPr>
          <w:sz w:val="20"/>
          <w:szCs w:val="20"/>
          <w:color w:val="auto"/>
        </w:rPr>
      </w:pPr>
    </w:p>
    <w:p>
      <w:pPr>
        <w:ind w:left="1080" w:right="10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net income (loss), adjusted to exclude (i) equity-based compensation expense, (ii) foreign currency loss, net, (iii) derivative valuation loss (gain), net, (iv) inventory reserve related to Huawei impact of downstream trade restrictions, (v) Merger-related costs, (vi) other charges, net and (vii) income tax effect on non-GAAP adjustments.</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(including on a per share basis)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3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Nine Months</w:t>
            </w:r>
          </w:p>
        </w:tc>
        <w:tc>
          <w:tcPr>
            <w:tcW w:w="2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55"/>
        </w:trPr>
        <w:tc>
          <w:tcPr>
            <w:tcW w:w="4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w w:val="83"/>
              </w:rPr>
              <w:t>(Dollars in millions, except</w:t>
            </w:r>
          </w:p>
        </w:tc>
        <w:tc>
          <w:tcPr>
            <w:tcW w:w="1500" w:type="dxa"/>
            <w:vAlign w:val="bottom"/>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w w:val="97"/>
              </w:rPr>
              <w:t>per share data)</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Foreign currency loss, net(b)</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gain, net(c)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02"/>
        </w:trPr>
        <w:tc>
          <w:tcPr>
            <w:tcW w:w="4220" w:type="dxa"/>
            <w:vAlign w:val="bottom"/>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20" w:type="dxa"/>
            <w:vAlign w:val="bottom"/>
          </w:tcPr>
          <w:p>
            <w:pPr>
              <w:ind w:left="540"/>
              <w:spacing w:after="0"/>
              <w:rPr>
                <w:sz w:val="20"/>
                <w:szCs w:val="20"/>
                <w:color w:val="auto"/>
              </w:rPr>
            </w:pPr>
            <w:r>
              <w:rPr>
                <w:rFonts w:ascii="Arial" w:cs="Arial" w:eastAsia="Arial" w:hAnsi="Arial"/>
                <w:sz w:val="18"/>
                <w:szCs w:val="18"/>
                <w:color w:val="auto"/>
              </w:rPr>
              <w:t>downstream trade restrictions(d)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Other charges, net(f)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Adjusted Net Income</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 – basic</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Reported earnings (loss) per share – diluted</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44,865,266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45,119,214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46,449,234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44,377,250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44,865,266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45,119,214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47,808,457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45,811,792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 – basic</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Adjusted earnings per share – diluted</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44,865,266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45,119,214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46,449,234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44,377,250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45,747,255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46,134,231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47,808,457</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47,718,578</w:t>
            </w:r>
          </w:p>
        </w:tc>
      </w:tr>
    </w:tbl>
    <w:p>
      <w:pPr>
        <w:spacing w:after="0" w:line="93" w:lineRule="exact"/>
        <w:rPr>
          <w:sz w:val="20"/>
          <w:szCs w:val="20"/>
          <w:color w:val="auto"/>
        </w:rPr>
      </w:pPr>
    </w:p>
    <w:p>
      <w:pPr>
        <w:ind w:left="540" w:hanging="424"/>
        <w:spacing w:after="0" w:line="25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70"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ectPr>
          <w:pgSz w:w="11900" w:h="16838" w:orient="portrait"/>
          <w:cols w:equalWidth="0" w:num="1">
            <w:col w:w="11120"/>
          </w:cols>
          <w:pgMar w:left="320" w:top="486"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86" w:right="4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69"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7"/>
          <w:szCs w:val="17"/>
          <w:color w:val="auto"/>
        </w:rPr>
      </w:pPr>
    </w:p>
    <w:p>
      <w:pPr>
        <w:ind w:left="540" w:right="60" w:hanging="424"/>
        <w:spacing w:after="0" w:line="28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three and nine months ended September 31, 2021, this adjustment eliminates the impact of a partial sales of inventories for which excess and obsolete reserves were previously recognized in relation to the U.S. Government’s export restrictions on Huawei, which is a downstream customer of some of our direct customers, as a portion of reserved inventory was subsequently sold to certain other customers. As this adjustment meaningfully impacted our operational results and are not expected to represent an ongoing operating expense subject to our ability to foresee and control, we believe our operating performance results are more meaningfully compared if this adjustment is excluded.</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2021, this adjustment eliminates professional service fees and expenses incurred in connection with the contemplated Merger transaction (see “Note 16. Merger Agreement” to our consolidated financial statements under “Item 1. Interim Consolidated Financial Statements”). As this adjustment meaningfully impacted our operating results and are not expected to represent an ongoing operating expense or income to us, we believe our operating performance results are more usefully compared if this adjustment is excluded.</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2022, this adjustment eliminates $2.8 million of one-time 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back-end line in our fabrication facility in Gumi. For the three and nine months ended September 30, 2021, this adjustment eliminates professional service fees and expenses of</w:t>
      </w:r>
    </w:p>
    <w:p>
      <w:pPr>
        <w:spacing w:after="0" w:line="2" w:lineRule="exact"/>
        <w:rPr>
          <w:rFonts w:ascii="Arial" w:cs="Arial" w:eastAsia="Arial" w:hAnsi="Arial"/>
          <w:sz w:val="16"/>
          <w:szCs w:val="16"/>
          <w:color w:val="auto"/>
        </w:rPr>
      </w:pPr>
    </w:p>
    <w:p>
      <w:pPr>
        <w:ind w:left="540" w:right="40"/>
        <w:spacing w:after="0" w:line="250" w:lineRule="auto"/>
        <w:rPr>
          <w:rFonts w:ascii="Arial" w:cs="Arial" w:eastAsia="Arial" w:hAnsi="Arial"/>
          <w:sz w:val="16"/>
          <w:szCs w:val="16"/>
          <w:color w:val="auto"/>
        </w:rPr>
      </w:pPr>
      <w:r>
        <w:rPr>
          <w:rFonts w:ascii="Arial" w:cs="Arial" w:eastAsia="Arial" w:hAnsi="Arial"/>
          <w:sz w:val="18"/>
          <w:szCs w:val="18"/>
          <w:color w:val="auto"/>
        </w:rPr>
        <w:t>$0.2 million and $3.4 million, respectively, incurred in connection with the regulatory requests, both of which were offset in part by a $0.7 million legal settlement gain related to certain expenses incurred in prior periods in connection with our legacy Fab 4 (which was sold during the year ended December 31, 2020) and awarded in the third quarter. As these adjustments meaningfully impacted our operating results and are not expected to represent ongoing operating expenses to us, we believe our operating performance results are more usefully compared if these adjustments are excluded.</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three and nine months ended September 30, 2022, this adjustment eliminates the income tax effect on non-GAAP adjustments of</w:t>
      </w:r>
    </w:p>
    <w:p>
      <w:pPr>
        <w:spacing w:after="0" w:line="20" w:lineRule="exact"/>
        <w:rPr>
          <w:rFonts w:ascii="Arial" w:cs="Arial" w:eastAsia="Arial" w:hAnsi="Arial"/>
          <w:sz w:val="17"/>
          <w:szCs w:val="17"/>
          <w:color w:val="auto"/>
        </w:rPr>
      </w:pPr>
    </w:p>
    <w:p>
      <w:pPr>
        <w:ind w:left="540" w:right="340"/>
        <w:spacing w:after="0" w:line="260" w:lineRule="auto"/>
        <w:rPr>
          <w:rFonts w:ascii="Arial" w:cs="Arial" w:eastAsia="Arial" w:hAnsi="Arial"/>
          <w:sz w:val="17"/>
          <w:szCs w:val="17"/>
          <w:color w:val="auto"/>
        </w:rPr>
      </w:pPr>
      <w:r>
        <w:rPr>
          <w:rFonts w:ascii="Arial" w:cs="Arial" w:eastAsia="Arial" w:hAnsi="Arial"/>
          <w:sz w:val="18"/>
          <w:szCs w:val="18"/>
          <w:color w:val="auto"/>
        </w:rPr>
        <w:t>$2.3 million and $7.5 million, respectively, which mainly related to our Korean subsidiary using a calculation method that we compare the tax expense with and without the non-GAAP adjustments.</w:t>
      </w:r>
    </w:p>
    <w:p>
      <w:pPr>
        <w:spacing w:after="0" w:line="77"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6"/>
          <w:szCs w:val="16"/>
          <w:color w:val="auto"/>
        </w:rPr>
        <w:t>We believe that all adjustments to net income (loss) used to calculate Adjusted Net Income was applied consistently to the periods presented.</w:t>
      </w:r>
    </w:p>
    <w:p>
      <w:pPr>
        <w:spacing w:after="0" w:line="140" w:lineRule="exact"/>
        <w:rPr>
          <w:rFonts w:ascii="Arial" w:cs="Arial" w:eastAsia="Arial" w:hAnsi="Arial"/>
          <w:sz w:val="17"/>
          <w:szCs w:val="17"/>
          <w:color w:val="auto"/>
        </w:rPr>
      </w:pPr>
    </w:p>
    <w:p>
      <w:pPr>
        <w:ind w:left="560" w:right="160"/>
        <w:spacing w:after="0" w:line="277" w:lineRule="auto"/>
        <w:rPr>
          <w:rFonts w:ascii="Arial" w:cs="Arial" w:eastAsia="Arial" w:hAnsi="Arial"/>
          <w:sz w:val="17"/>
          <w:szCs w:val="17"/>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7"/>
          <w:szCs w:val="17"/>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40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substantially all of our sales (net of sales returns and allowances) from our standard products business. We outsource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nine months ended September 30, 2022 and 2021, we sold products to 169 and 175 customers, respectively, and our net sales to our ten largest customers represented 70% and 81% of our net sales—standard products business,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provide the Transitional Fab 3 Foundry Services up to September 1, 2023 at an agreed upon cost plus a mark-up.</w:t>
      </w:r>
    </w:p>
    <w:p>
      <w:pPr>
        <w:spacing w:after="0" w:line="22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September 30, 2022, approximately 97% of our employees were eligible for severance benefits.</w:t>
      </w:r>
    </w:p>
    <w:p>
      <w:pPr>
        <w:spacing w:after="0" w:line="16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w:t>
      </w:r>
    </w:p>
    <w:p>
      <w:pPr>
        <w:sectPr>
          <w:pgSz w:w="11900" w:h="16838" w:orient="portrait"/>
          <w:cols w:equalWidth="0" w:num="1">
            <w:col w:w="11080"/>
          </w:cols>
          <w:pgMar w:left="320" w:top="486" w:right="499" w:bottom="1440" w:gutter="0" w:footer="0" w:header="0"/>
        </w:sectPr>
      </w:pP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80"/>
          </w:cols>
          <w:pgMar w:left="320" w:top="486" w:right="4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cost of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September 30, 2022, the outstanding intercompany loan balance including accrued interest between our Korean subsidiary and our Dutch subsidiary was $356.7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7. Derivative Financial Instruments” to our consolidated financial statements under “Item 1. Interim Consolidated Financial Statements” for additional information regarding our foreign exchange hedging activities.</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49"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6"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Three Months Ended September 30, 2022 and 2021</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three months ended September 30, 2022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11"/>
          </w:tcPr>
          <w:p>
            <w:pPr>
              <w:jc w:val="right"/>
              <w:ind w:right="608"/>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22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11"/>
          </w:tcPr>
          <w:p>
            <w:pPr>
              <w:ind w:left="10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rPr>
              <w:t>September 30, 2021</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top w:val="single" w:sz="8" w:color="auto"/>
            </w:tcBorders>
            <w:gridSpan w:val="2"/>
            <w:vMerge w:val="restart"/>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84"/>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Borders>
              <w:top w:val="single" w:sz="8" w:color="auto"/>
            </w:tcBorders>
            <w:gridSpan w:val="2"/>
            <w:vMerge w:val="restart"/>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12"/>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Total revenues</w:t>
            </w:r>
          </w:p>
        </w:tc>
        <w:tc>
          <w:tcPr>
            <w:tcW w:w="400" w:type="dxa"/>
            <w:vAlign w:val="bottom"/>
            <w:gridSpan w:val="2"/>
          </w:tcPr>
          <w:p>
            <w:pPr>
              <w:spacing w:after="0"/>
              <w:rPr>
                <w:sz w:val="14"/>
                <w:szCs w:val="14"/>
                <w:color w:val="auto"/>
              </w:rPr>
            </w:pPr>
          </w:p>
        </w:tc>
        <w:tc>
          <w:tcPr>
            <w:tcW w:w="520" w:type="dxa"/>
            <w:vAlign w:val="bottom"/>
            <w:tcBorders>
              <w:bottom w:val="single" w:sz="8" w:color="auto"/>
            </w:tcBorders>
            <w:gridSpan w:val="4"/>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Total revenues</w:t>
            </w: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8"/>
          </w:tcPr>
          <w:p>
            <w:pPr>
              <w:jc w:val="center"/>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42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62.8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3"/>
              </w:rPr>
              <w:t>$ 117.4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92.5%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 (54.6)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71.2</w:t>
            </w: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127.0</w:t>
            </w:r>
          </w:p>
        </w:tc>
        <w:tc>
          <w:tcPr>
            <w:tcW w:w="3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45.5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6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54.0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80.4</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63.3</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11.4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Merger-related costs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468"/>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net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(14.1)</w:t>
            </w: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20.0</w:t>
            </w:r>
          </w:p>
        </w:tc>
        <w:tc>
          <w:tcPr>
            <w:tcW w:w="3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Foreign currency loss, net</w:t>
            </w: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8"/>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(15.6)</w:t>
            </w: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(4.8)</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2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7"/>
              </w:rPr>
              <w:t>(3.9)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8"/>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(17.2)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$ 10.8</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(28.0)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11"/>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22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11"/>
          </w:tcPr>
          <w:p>
            <w:pPr>
              <w:jc w:val="right"/>
              <w:ind w:right="608"/>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7"/>
          </w:tcPr>
          <w:p>
            <w:pPr>
              <w:ind w:left="40"/>
              <w:spacing w:after="0"/>
              <w:rPr>
                <w:sz w:val="20"/>
                <w:szCs w:val="20"/>
                <w:color w:val="auto"/>
              </w:rPr>
            </w:pPr>
            <w:r>
              <w:rPr>
                <w:rFonts w:ascii="Arial" w:cs="Arial" w:eastAsia="Arial" w:hAnsi="Arial"/>
                <w:sz w:val="14"/>
                <w:szCs w:val="14"/>
                <w:b w:val="1"/>
                <w:bCs w:val="1"/>
                <w:color w:val="auto"/>
              </w:rPr>
              <w:t>September 30, 2021</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Borders>
              <w:top w:val="single" w:sz="8" w:color="auto"/>
            </w:tcBorders>
            <w:vMerge w:val="restart"/>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44"/>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tcBorders>
            <w:gridSpan w:val="2"/>
            <w:vMerge w:val="restart"/>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12"/>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Total revenues</w:t>
            </w:r>
          </w:p>
        </w:tc>
        <w:tc>
          <w:tcPr>
            <w:tcW w:w="4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gridSpan w:val="3"/>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Total revenues</w:t>
            </w: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8"/>
          </w:tcPr>
          <w:p>
            <w:pPr>
              <w:jc w:val="center"/>
              <w:ind w:left="28"/>
              <w:spacing w:after="0" w:line="155" w:lineRule="exact"/>
              <w:rPr>
                <w:sz w:val="20"/>
                <w:szCs w:val="20"/>
                <w:color w:val="auto"/>
              </w:rPr>
            </w:pPr>
            <w:r>
              <w:rPr>
                <w:rFonts w:ascii="Arial" w:cs="Arial" w:eastAsia="Arial" w:hAnsi="Arial"/>
                <w:sz w:val="14"/>
                <w:szCs w:val="14"/>
                <w:b w:val="1"/>
                <w:bCs w:val="1"/>
                <w:color w:val="auto"/>
                <w:w w:val="90"/>
              </w:rPr>
              <w:t>(Dollars in millions)</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42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$ 58.5</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(52.2)</w:t>
            </w:r>
          </w:p>
        </w:tc>
        <w:tc>
          <w:tcPr>
            <w:tcW w:w="0" w:type="dxa"/>
            <w:vAlign w:val="bottom"/>
          </w:tcPr>
          <w:p>
            <w:pPr>
              <w:spacing w:after="0"/>
              <w:rPr>
                <w:sz w:val="1"/>
                <w:szCs w:val="1"/>
                <w:color w:val="auto"/>
              </w:rPr>
            </w:pPr>
          </w:p>
        </w:tc>
      </w:tr>
      <w:tr>
        <w:trPr>
          <w:trHeight w:val="216"/>
        </w:trPr>
        <w:tc>
          <w:tcPr>
            <w:tcW w:w="46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8"/>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18"/>
                <w:szCs w:val="18"/>
                <w:color w:val="auto"/>
              </w:rPr>
            </w:pPr>
          </w:p>
        </w:tc>
        <w:tc>
          <w:tcPr>
            <w:tcW w:w="820" w:type="dxa"/>
            <w:vAlign w:val="bottom"/>
            <w:gridSpan w:val="5"/>
          </w:tcPr>
          <w:p>
            <w:pPr>
              <w:jc w:val="right"/>
              <w:ind w:right="260"/>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46.4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117.4</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8"/>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820" w:type="dxa"/>
            <w:vAlign w:val="bottom"/>
            <w:gridSpan w:val="5"/>
          </w:tcPr>
          <w:p>
            <w:pPr>
              <w:jc w:val="right"/>
              <w:ind w:right="26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13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127.0</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(55.8)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8"/>
          </w:tcPr>
          <w:p>
            <w:pPr>
              <w:jc w:val="right"/>
              <w:ind w:right="22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8"/>
          </w:tcPr>
          <w:p>
            <w:pPr>
              <w:jc w:val="right"/>
              <w:ind w:right="288"/>
              <w:spacing w:after="0"/>
              <w:rPr>
                <w:sz w:val="20"/>
                <w:szCs w:val="20"/>
                <w:color w:val="auto"/>
              </w:rPr>
            </w:pPr>
            <w:r>
              <w:rPr>
                <w:rFonts w:ascii="Arial" w:cs="Arial" w:eastAsia="Arial" w:hAnsi="Arial"/>
                <w:sz w:val="14"/>
                <w:szCs w:val="14"/>
                <w:b w:val="1"/>
                <w:bCs w:val="1"/>
                <w:color w:val="auto"/>
                <w:w w:val="94"/>
              </w:rPr>
              <w:t>September 30, 2022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3"/>
              </w:rPr>
              <w:t>September 30, 2021</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gridSpan w:val="5"/>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vMerge w:val="restart"/>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6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top w:val="single" w:sz="8" w:color="auto"/>
            </w:tcBorders>
            <w:vMerge w:val="restart"/>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Net sales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Net sales</w:t>
            </w: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8"/>
          </w:tcPr>
          <w:p>
            <w:pPr>
              <w:ind w:left="120"/>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rPr>
              <w:t>17.3</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27.5%</w:t>
            </w: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45.8</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39.0%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 (28.5)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0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468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24.2%</w:t>
            </w: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36.7%</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20" w:type="dxa"/>
            <w:vAlign w:val="bottom"/>
            <w:vMerge w:val="restart"/>
          </w:tcPr>
          <w:p>
            <w:pPr>
              <w:jc w:val="right"/>
              <w:ind w:right="2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revenues were $71.2 million for the three months ended September 30, 2022, a $55.8 million, or 43.9%, decrease compared to</w:t>
      </w:r>
    </w:p>
    <w:p>
      <w:pPr>
        <w:spacing w:after="0" w:line="23"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$127.0 million for the three months ended September 30, 2021. This decrease was primarily due to a decrease in revenue related to our standard products business as described below.</w:t>
      </w:r>
    </w:p>
    <w:p>
      <w:pPr>
        <w:spacing w:after="0" w:line="185"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Net sales from our standard products business were $62.8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 $54.6 million, or 46.5%, decrease compared to $117.4 million for the three months ended September 30, 2021. The significant decrease in net sales from our Display Solutions business line was primarily attributable to a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our auto-LCD display driver ICs and OLED TV display driver ICs. The decrease in net sales from our Power Solutions business line was attributable to a lower demand for MOSFETs primarily for smartphone and e-bikes, which was affected by COVID-19 lockdowns in China. This decrease was almost offset by a strong demand for IGBTs mainly for solar inverters.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$8.4 million and $9.6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2022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color w:val="auto"/>
        </w:rPr>
        <w:t>Total gross profit was $17.2 million for the three months ended September 30, 2022 compared to $46.6 million for the three months ended September 30, 2021, a $29.4 million, or 63.0%, decrease. Gross profit as a percentage of net sales for the three months ended September 30, 2022 decreased to 24.2% compared to 36.7% for the three months ended September 30, 2021. The decrease in both gross profit and gross profit as a percentage of net sales was primarily due to our standard products business as further described below.</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Gross profit from our standard products business was $17.3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which represented a $28.5 million, or 62.3%, decrease from gross profit of $45.8 million for the three months ended September 30, 2021. The decrease in gross profit was primarily attributable to a significant decrease in net sales from our Display Solutions business line as explained above. Gross profit as a percentage of net sales for the three months ended September 30, 2022 decreased to 27.5% compared to 39.0% for the three months ended September 30, 2021. The decrease in gross profit as a percentage of net sales was primarily attributable to certain inventory reserve and scrap cost related to 12-inch display products resulted from lower demand for China smartphones and a lower utilization rate of our internal fabrication facility. For the three months ended September 30, 2021, a partial sales of inventories for which excess and obsolete reserves were previously recognized in relation to the U.S. Government’s export restrictions on Huawei, which is a downstream customer of some of our direct customers, favorably affected both gross profit and gross profit as a percentage of net sales, as such reserved inventory was subsequently sold to certain other customers in the third quarter of 2021.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6"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September 30, 2022 and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w w:val="90"/>
              </w:rPr>
              <w:t>September 30, 2022</w:t>
            </w:r>
          </w:p>
        </w:tc>
        <w:tc>
          <w:tcPr>
            <w:tcW w:w="10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0"/>
              </w:rPr>
              <w:t>Net sales –</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standard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0"/>
              </w:rPr>
              <w:t>products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2"/>
              </w:rPr>
              <w:t>business</w:t>
            </w:r>
          </w:p>
        </w:tc>
        <w:tc>
          <w:tcPr>
            <w:tcW w:w="780" w:type="dxa"/>
            <w:vAlign w:val="bottom"/>
            <w:gridSpan w:val="3"/>
            <w:vMerge w:val="continue"/>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w w:val="86"/>
              </w:rPr>
              <w:t>(Dollars in millions)</w:t>
            </w:r>
          </w:p>
        </w:tc>
        <w:tc>
          <w:tcPr>
            <w:tcW w:w="6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(49.6)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117.4</w:t>
            </w:r>
          </w:p>
        </w:tc>
        <w:tc>
          <w:tcPr>
            <w:tcW w:w="260" w:type="dxa"/>
            <w:vAlign w:val="bottom"/>
            <w:vMerge w:val="continue"/>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2"/>
              </w:rPr>
              <w:t>(54.6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Net sales – standard products business in Korea for the three months ended September 30, 2022 decreased from $29.7 million to $23.9 million compared to the three months ended September 30, 2021, or by $5.8 million, or 19.5%, primarily due to a decrease in revenue from our mobile OLED display driver ICs and weaker demand for power products such as MOSFETs, including high-end MOSFETs, primarily for TVs and smartphone applications, which was offset in part by higher demand for OLED TV display driver ICs.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sales – standard products business in Asia Pacific (other than Korea) for the three months ended September 30, 2022 decreased to</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$34.6 million from $84.2 million in the three months ended September 30, 2021, or by $49.6 million, or 58.9%, primarily due to a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power products such as IGBTs mainly for solar inverters. The increased demand for our auto-LCD display driver ICs also favorably affected in this quarter.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$11.4 million, or 16.0% of total revenues,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2022, compared to $12.6 million, or 9.9% of total revenues, for the three months ended September 30, 2021. The decrease of $1.1 million, or 9.1%, was primarily attributable to a decrease in estimated employee compensation reflecting the current year’s financial performance.</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$13.3 million, or 18.7% of total revenues,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2022, compared to $12.3 million, or 9.7% of total revenues, for the three months ended September 30, 2021. The increase of $1.1 million, or 8.6%, was primarily attributable to increase in outside service fees, including those for software design tools, and variable overhead expenses.</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Merger-related Costs. </w:t>
      </w:r>
      <w:r>
        <w:rPr>
          <w:rFonts w:ascii="Arial" w:cs="Arial" w:eastAsia="Arial" w:hAnsi="Arial"/>
          <w:sz w:val="18"/>
          <w:szCs w:val="18"/>
          <w:color w:val="auto"/>
        </w:rPr>
        <w:t>For the three months ended September 30, 2021, we recorded $1.6 million of professional service fees and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in connection with the contemplated Merger transaction.</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Other Charges, Net. </w:t>
      </w:r>
      <w:r>
        <w:rPr>
          <w:rFonts w:ascii="Arial" w:cs="Arial" w:eastAsia="Arial" w:hAnsi="Arial"/>
          <w:sz w:val="16"/>
          <w:szCs w:val="16"/>
          <w:color w:val="auto"/>
        </w:rPr>
        <w:t>For the three months ended September 30, 2022, we recorded $2.8 million of one-time employee incentives and $0.2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professional service fees and expenses incurred in connection with certain strategic evaluations, which was offset in part by a $0.5 million gain on sale of certain legacy equipment of the closed back-end line in our fabrication facility in Gumi. For the three months ended September 30, 2021, we recorded $0.2 million of non-recurring professional service fees and expenses incurred in connection with the regulatory requests.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of the foregoing, operating loss was $10.0 million for the three months ended September 30, 2022 compared to operating income of $20.0 million the three months ended September 30, 2021. As discussed above, the decrease in operating income of $30.0 million resulted primarily from a $29.4 million decrease in gross profit, a $2.3 million increase in other charge, net, and a $1.1 million increase in research and development expenses. This increase was offset in part by a $1.6 million decrease in Merger-related costs and a $1.1 million decrease in selling, general and administrative expenses.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60"/>
          </w:cols>
          <w:pgMar w:left="320" w:top="486" w:right="7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was $0.3 million and $0.1 million for the three months ended September 30, 2022 and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three months ended September 30, 2022 was $12.8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$7.6 million for the three months ended September 30, 2021. The net foreign currency loss for the three months ended September 30, 2022 and September 30, 2021 was due to the depreciation in value of the Korean won relative to the U.S. dollar during the period.</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September 30, 2022 and September 30, 2021, the outstanding intercompany loan balances, including accrued interest between our Korean subsidiary and our Dutch subsidiary, were $357 million and $393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primarily comprised of interest income, rental income, and gains and losses from valuation of derivatives which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as hedging instruments. Others for the three months ended September 30, 2022 and September 30, 2021 was $2.0 million and $1.6 million, respectively. In the third quarter of 2021, others, net included a $0.7 million legal settlement gain related to certain expenses incurred in prior periods in connection with our legacy Fab 4 (which was sold during the year ended December 31, 2020) and awarded in the current quarter.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Income tax benefit was $3.9 million for the three months ended September 30, 2022, which was primarily attributable to the decrease in the pre-tax income due to foreign currency translation losses associated with intercompany long-term loans in our Korean subsidiary for the respective period.</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Income tax expense was $3.1 million for the three months ended September 30, 2021, which was primarily attributable to interest on intercompany loan balances and the estimated taxable income for the respective period in our Korean subsidiary, combined with its ability to utilize net operating loss carryforwards up to 60%.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a result of the foregoing, a net loss of $17.2 million was recorded for the three months ended September 30, 2022 compared to a net income of $10.8 million for the three months ended September 30, 2021. As discussed above, the $28.0 million decrease in net income was primarily attributable to a $30.0 million decrease in operating income and $5.2 million increase in net foreign currency loss, which was offset in part by a $7.1 million decrease in income tax expense.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Nine Months Ended September 30, 2022 and 2021</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2022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ind w:left="14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9"/>
          </w:tcPr>
          <w:p>
            <w:pPr>
              <w:ind w:left="20"/>
              <w:spacing w:after="0"/>
              <w:rPr>
                <w:sz w:val="20"/>
                <w:szCs w:val="20"/>
                <w:color w:val="auto"/>
              </w:rPr>
            </w:pPr>
            <w:r>
              <w:rPr>
                <w:rFonts w:ascii="Arial" w:cs="Arial" w:eastAsia="Arial" w:hAnsi="Arial"/>
                <w:sz w:val="14"/>
                <w:szCs w:val="14"/>
                <w:b w:val="1"/>
                <w:bCs w:val="1"/>
                <w:color w:val="auto"/>
              </w:rPr>
              <w:t>September 30, 2021</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Borders>
              <w:top w:val="single" w:sz="8" w:color="auto"/>
            </w:tcBorders>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gridSpan w:val="5"/>
            <w:vMerge w:val="restart"/>
          </w:tcPr>
          <w:p>
            <w:pPr>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91"/>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4"/>
              </w:rPr>
              <w:t>Total revenues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89"/>
              </w:rPr>
              <w:t>Total revenues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760" w:type="dxa"/>
            <w:vAlign w:val="bottom"/>
            <w:gridSpan w:val="4"/>
          </w:tcPr>
          <w:p>
            <w:pPr>
              <w:jc w:val="right"/>
              <w:ind w:right="80"/>
              <w:spacing w:after="0"/>
              <w:rPr>
                <w:sz w:val="20"/>
                <w:szCs w:val="20"/>
                <w:color w:val="auto"/>
              </w:rPr>
            </w:pPr>
            <w:r>
              <w:rPr>
                <w:rFonts w:ascii="Arial" w:cs="Arial" w:eastAsia="Arial" w:hAnsi="Arial"/>
                <w:sz w:val="18"/>
                <w:szCs w:val="18"/>
                <w:color w:val="auto"/>
              </w:rPr>
              <w:t>$248.1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9"/>
              <w:spacing w:after="0"/>
              <w:rPr>
                <w:sz w:val="20"/>
                <w:szCs w:val="20"/>
                <w:color w:val="auto"/>
              </w:rPr>
            </w:pPr>
            <w:r>
              <w:rPr>
                <w:rFonts w:ascii="Arial" w:cs="Arial" w:eastAsia="Arial" w:hAnsi="Arial"/>
                <w:sz w:val="18"/>
                <w:szCs w:val="18"/>
                <w:color w:val="auto"/>
              </w:rPr>
              <w:t>89.7%</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$333.6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91.7%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 (85.5)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w:t>
            </w: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100.0</w:t>
            </w: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276.7</w:t>
            </w:r>
          </w:p>
        </w:tc>
        <w:tc>
          <w:tcPr>
            <w:tcW w:w="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363.9</w:t>
            </w:r>
          </w:p>
        </w:tc>
        <w:tc>
          <w:tcPr>
            <w:tcW w:w="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760" w:type="dxa"/>
            <w:vAlign w:val="bottom"/>
            <w:gridSpan w:val="4"/>
          </w:tcPr>
          <w:p>
            <w:pPr>
              <w:jc w:val="right"/>
              <w:ind w:right="80"/>
              <w:spacing w:after="0"/>
              <w:rPr>
                <w:sz w:val="20"/>
                <w:szCs w:val="20"/>
                <w:color w:val="auto"/>
              </w:rPr>
            </w:pPr>
            <w:r>
              <w:rPr>
                <w:rFonts w:ascii="Arial" w:cs="Arial" w:eastAsia="Arial" w:hAnsi="Arial"/>
                <w:sz w:val="18"/>
                <w:szCs w:val="18"/>
                <w:color w:val="auto"/>
              </w:rPr>
              <w:t>165.2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221.3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60.8</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6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1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249.0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68.4</w:t>
            </w:r>
          </w:p>
        </w:tc>
        <w:tc>
          <w:tcPr>
            <w:tcW w:w="4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85.2</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gridSpan w:val="4"/>
          </w:tcPr>
          <w:p>
            <w:pPr>
              <w:jc w:val="right"/>
              <w:ind w:right="80"/>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Merger-related costs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charges, net</w:t>
            </w:r>
          </w:p>
        </w:tc>
        <w:tc>
          <w:tcPr>
            <w:tcW w:w="1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1.8</w:t>
            </w: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5.4</w:t>
            </w: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19.5</w:t>
            </w:r>
          </w:p>
        </w:tc>
        <w:tc>
          <w:tcPr>
            <w:tcW w:w="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9"/>
              <w:spacing w:after="0"/>
              <w:rPr>
                <w:sz w:val="20"/>
                <w:szCs w:val="20"/>
                <w:color w:val="auto"/>
              </w:rPr>
            </w:pPr>
            <w:r>
              <w:rPr>
                <w:rFonts w:ascii="Arial" w:cs="Arial" w:eastAsia="Arial" w:hAnsi="Arial"/>
                <w:sz w:val="18"/>
                <w:szCs w:val="18"/>
                <w:color w:val="auto"/>
              </w:rPr>
              <w:t>(0.3)</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Foreign currency loss, net</w:t>
            </w: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89"/>
              <w:spacing w:after="0"/>
              <w:rPr>
                <w:sz w:val="20"/>
                <w:szCs w:val="20"/>
                <w:color w:val="auto"/>
              </w:rPr>
            </w:pPr>
            <w:r>
              <w:rPr>
                <w:rFonts w:ascii="Arial" w:cs="Arial" w:eastAsia="Arial" w:hAnsi="Arial"/>
                <w:sz w:val="18"/>
                <w:szCs w:val="18"/>
                <w:color w:val="auto"/>
              </w:rPr>
              <w:t>(7.4)</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vMerge w:val="restart"/>
          </w:tcPr>
          <w:p>
            <w:pPr>
              <w:jc w:val="right"/>
              <w:ind w:right="89"/>
              <w:spacing w:after="0"/>
              <w:rPr>
                <w:sz w:val="20"/>
                <w:szCs w:val="20"/>
                <w:color w:val="auto"/>
              </w:rPr>
            </w:pPr>
            <w:r>
              <w:rPr>
                <w:rFonts w:ascii="Arial" w:cs="Arial" w:eastAsia="Arial" w:hAnsi="Arial"/>
                <w:sz w:val="18"/>
                <w:szCs w:val="18"/>
                <w:color w:val="auto"/>
              </w:rPr>
              <w:t>(6.2)</w:t>
            </w:r>
          </w:p>
        </w:tc>
        <w:tc>
          <w:tcPr>
            <w:tcW w:w="2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89"/>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6.0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(11.0)</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9"/>
              <w:spacing w:after="0"/>
              <w:rPr>
                <w:sz w:val="20"/>
                <w:szCs w:val="20"/>
                <w:color w:val="auto"/>
              </w:rPr>
            </w:pPr>
            <w:r>
              <w:rPr>
                <w:rFonts w:ascii="Arial" w:cs="Arial" w:eastAsia="Arial" w:hAnsi="Arial"/>
                <w:sz w:val="18"/>
                <w:szCs w:val="18"/>
                <w:color w:val="auto"/>
              </w:rPr>
              <w:t>(4.0)</w:t>
            </w: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w:t>
            </w: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(14.1)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10"/>
          </w:tcPr>
          <w:p>
            <w:pPr>
              <w:ind w:left="14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9"/>
          </w:tcPr>
          <w:p>
            <w:pPr>
              <w:spacing w:after="0"/>
              <w:rPr>
                <w:sz w:val="20"/>
                <w:szCs w:val="20"/>
                <w:color w:val="auto"/>
              </w:rPr>
            </w:pPr>
            <w:r>
              <w:rPr>
                <w:rFonts w:ascii="Arial" w:cs="Arial" w:eastAsia="Arial" w:hAnsi="Arial"/>
                <w:sz w:val="14"/>
                <w:szCs w:val="14"/>
                <w:b w:val="1"/>
                <w:bCs w:val="1"/>
                <w:color w:val="auto"/>
              </w:rPr>
              <w:t>September 30, 2021</w:t>
            </w:r>
          </w:p>
        </w:tc>
        <w:tc>
          <w:tcPr>
            <w:tcW w:w="62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31"/>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9"/>
              </w:rPr>
              <w:t>Total revenues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4"/>
              </w:rPr>
              <w:t>Total revenues</w:t>
            </w:r>
          </w:p>
        </w:tc>
        <w:tc>
          <w:tcPr>
            <w:tcW w:w="62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10"/>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2100" w:type="dxa"/>
            <w:vAlign w:val="bottom"/>
            <w:tcBorders>
              <w:right w:val="single" w:sz="8" w:color="CCEEFF"/>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$ 63.9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0"/>
              </w:rPr>
              <w:t>$(100.1)</w:t>
            </w:r>
          </w:p>
        </w:tc>
        <w:tc>
          <w:tcPr>
            <w:tcW w:w="0" w:type="dxa"/>
            <w:vAlign w:val="bottom"/>
          </w:tcPr>
          <w:p>
            <w:pPr>
              <w:spacing w:after="0"/>
              <w:rPr>
                <w:sz w:val="1"/>
                <w:szCs w:val="1"/>
                <w:color w:val="auto"/>
              </w:rPr>
            </w:pPr>
          </w:p>
        </w:tc>
      </w:tr>
      <w:tr>
        <w:trPr>
          <w:trHeight w:val="216"/>
        </w:trPr>
        <w:tc>
          <w:tcPr>
            <w:tcW w:w="46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1260" w:type="dxa"/>
            <w:vAlign w:val="bottom"/>
            <w:gridSpan w:val="2"/>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169.6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1260" w:type="dxa"/>
            <w:vAlign w:val="bottom"/>
            <w:gridSpan w:val="2"/>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260" w:type="dxa"/>
            <w:vAlign w:val="bottom"/>
            <w:gridSpan w:val="2"/>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2100" w:type="dxa"/>
            <w:vAlign w:val="bottom"/>
            <w:tcBorders>
              <w:right w:val="single" w:sz="8" w:color="CCEEFF"/>
            </w:tcBorders>
            <w:gridSpan w:val="5"/>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363.9</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(87.2)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9"/>
          </w:tcPr>
          <w:p>
            <w:pPr>
              <w:jc w:val="right"/>
              <w:ind w:right="128"/>
              <w:spacing w:after="0"/>
              <w:rPr>
                <w:sz w:val="20"/>
                <w:szCs w:val="20"/>
                <w:color w:val="auto"/>
              </w:rPr>
            </w:pPr>
            <w:r>
              <w:rPr>
                <w:rFonts w:ascii="Arial" w:cs="Arial" w:eastAsia="Arial" w:hAnsi="Arial"/>
                <w:sz w:val="14"/>
                <w:szCs w:val="14"/>
                <w:b w:val="1"/>
                <w:bCs w:val="1"/>
                <w:color w:val="auto"/>
                <w:w w:val="97"/>
              </w:rPr>
              <w:t>Nine Months Ended</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9"/>
          </w:tcPr>
          <w:p>
            <w:pPr>
              <w:jc w:val="right"/>
              <w:ind w:right="148"/>
              <w:spacing w:after="0"/>
              <w:rPr>
                <w:sz w:val="20"/>
                <w:szCs w:val="20"/>
                <w:color w:val="auto"/>
              </w:rPr>
            </w:pPr>
            <w:r>
              <w:rPr>
                <w:rFonts w:ascii="Arial" w:cs="Arial" w:eastAsia="Arial" w:hAnsi="Arial"/>
                <w:sz w:val="14"/>
                <w:szCs w:val="14"/>
                <w:b w:val="1"/>
                <w:bCs w:val="1"/>
                <w:color w:val="auto"/>
                <w:w w:val="96"/>
              </w:rPr>
              <w:t>September 30, 2022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1"/>
              </w:rPr>
              <w:t>September 30, 2021</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tcBorders>
            <w:gridSpan w:val="2"/>
            <w:vMerge w:val="restart"/>
          </w:tcPr>
          <w:p>
            <w:pPr>
              <w:spacing w:after="0"/>
              <w:rPr>
                <w:sz w:val="10"/>
                <w:szCs w:val="10"/>
                <w:color w:val="auto"/>
              </w:rPr>
            </w:pPr>
          </w:p>
        </w:tc>
        <w:tc>
          <w:tcPr>
            <w:tcW w:w="560" w:type="dxa"/>
            <w:vAlign w:val="bottom"/>
            <w:tcBorders>
              <w:top w:val="single" w:sz="8" w:color="auto"/>
            </w:tcBorders>
            <w:gridSpan w:val="4"/>
          </w:tcPr>
          <w:p>
            <w:pPr>
              <w:jc w:val="right"/>
              <w:ind w:right="68"/>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top w:val="single" w:sz="8" w:color="auto"/>
            </w:tcBorders>
            <w:vMerge w:val="restart"/>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4"/>
              </w:rPr>
              <w:t>Net sales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4"/>
              </w:rPr>
              <w:t>Net sales</w:t>
            </w:r>
          </w:p>
        </w:tc>
        <w:tc>
          <w:tcPr>
            <w:tcW w:w="4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w w:val="86"/>
              </w:rPr>
              <w:t>(Dollars in millions)</w:t>
            </w:r>
          </w:p>
        </w:tc>
        <w:tc>
          <w:tcPr>
            <w:tcW w:w="56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7"/>
              </w:rPr>
              <w:t>33.4%</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$ 112.3</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33.7%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 (29.4)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118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68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7"/>
              </w:rPr>
              <w:t>30.8%</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$ 114.9</w:t>
            </w:r>
          </w:p>
        </w:tc>
        <w:tc>
          <w:tcPr>
            <w:tcW w:w="40" w:type="dxa"/>
            <w:vAlign w:val="bottom"/>
          </w:tcPr>
          <w:p>
            <w:pPr>
              <w:spacing w:after="0"/>
              <w:rPr>
                <w:sz w:val="19"/>
                <w:szCs w:val="19"/>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31.6%</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revenues were $276.7 million for the nine months ended September 30, 2022, a $87.2 million, or 24.0%, decrease compared to</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$363.9 million for the nine months ended September 30, 2021. This decrease was primarily due to a decrease in revenue related to our standard products business as described below.</w:t>
      </w:r>
    </w:p>
    <w:p>
      <w:pPr>
        <w:spacing w:after="0" w:line="18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Net sales from our standard products business were $248.1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 $85.5 million, or 25.6%, decrease compared to $333.6 million for the nine months ended September 30, 2021. The significant decrease in net sales from our Display Solutions business line was primarily attributable to a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our OLED TV display driver ICs and auto-LCD display driver ICs. The increase in net sales from our Power Solutions business line was attributable to a strong demand for power products such as MOSFETs, including high-end MOSFETs, primarily for TVs and e-bikes, and IGBTs mainly for solar inverters.</w:t>
      </w:r>
    </w:p>
    <w:p>
      <w:pPr>
        <w:spacing w:after="0" w:line="16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$28.6 million and $30.3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2022 and 2021,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540" w:firstLine="440"/>
        <w:spacing w:after="0" w:line="279" w:lineRule="auto"/>
        <w:rPr>
          <w:sz w:val="20"/>
          <w:szCs w:val="20"/>
          <w:color w:val="auto"/>
        </w:rPr>
      </w:pPr>
      <w:r>
        <w:rPr>
          <w:rFonts w:ascii="Arial" w:cs="Arial" w:eastAsia="Arial" w:hAnsi="Arial"/>
          <w:sz w:val="17"/>
          <w:szCs w:val="17"/>
          <w:color w:val="auto"/>
        </w:rPr>
        <w:t>Total gross profit was $85.2 million for the nine months ended September 30, 2022 compared to $114.9 million for the nine months ended September 30, 2021, a $29.8 million, or 25.9%, decrease. Gross profit as a percentage of net sales for the nine months ended September 30, 2022 decreased to 30.8% compared to 31.6% for the nine months ended September 30, 2021. The decrease in both gross profit and gross profit as a percentage of net sales was primarily due to our standard products business as further described below.</w:t>
      </w:r>
    </w:p>
    <w:p>
      <w:pPr>
        <w:spacing w:after="0" w:line="171"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Gross profit from our standard products business was $82.9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which represented a $29.4 million, or 26.2%, decrease from gross profit of $112.3 million for the nine months ended September 30, 2021. The decrease in gross profit was primarily attributable to a significant decrease in net sales from our Display Solutions business line as explained above.</w:t>
      </w:r>
    </w:p>
    <w:p>
      <w:pPr>
        <w:spacing w:after="0" w:line="2"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Gross profit as a percentage of net sales for the nine months ended September 30, 2022 decreased slightly to 33.4% compared to 33.7% for the nine months ended September 30, 2021. The decrease in gross profit as a percentage of net sales was primarily attributable to certain inventory reserve and scrap cost related to 12-inch display products resulted from lower demand for China smartphones, which was offset in part by an improved product mix and an increase in average selling price benefited from the favorable pricing environment, primarily for our Power Solutions business line.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86"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nine months ended September 30, 2022 and 2021: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87"/>
              </w:rPr>
              <w:t>Net sales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standard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gridSpan w:val="2"/>
            <w:vMerge w:val="restart"/>
          </w:tcPr>
          <w:p>
            <w:pPr>
              <w:spacing w:after="0"/>
              <w:rPr>
                <w:sz w:val="12"/>
                <w:szCs w:val="12"/>
                <w:color w:val="auto"/>
              </w:rPr>
            </w:pPr>
          </w:p>
        </w:tc>
        <w:tc>
          <w:tcPr>
            <w:tcW w:w="92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products</w:t>
            </w:r>
          </w:p>
        </w:tc>
        <w:tc>
          <w:tcPr>
            <w:tcW w:w="12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vMerge w:val="restart"/>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business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business</w:t>
            </w:r>
          </w:p>
        </w:tc>
        <w:tc>
          <w:tcPr>
            <w:tcW w:w="4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w w:val="89"/>
              </w:rPr>
              <w:t>(Dollars in millions)</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86.1</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148.9</w:t>
            </w:r>
          </w:p>
        </w:tc>
        <w:tc>
          <w:tcPr>
            <w:tcW w:w="2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237.3</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(88.4)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248.1</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333.6</w:t>
            </w:r>
          </w:p>
        </w:tc>
        <w:tc>
          <w:tcPr>
            <w:tcW w:w="260" w:type="dxa"/>
            <w:vAlign w:val="bottom"/>
            <w:vMerge w:val="continue"/>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2"/>
              </w:rPr>
              <w:t>(85.5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Net sales – standard products business in Korea for the nine months ended September 30, 2022 decreased from $87.0 million to $86.1 million compared to the nine months ended September 30, 2021, or by $0.9 million, or 1.0%, primarily due to weaker demand for power products such as high-end MOSFETs primarily for TVs and decrease in revenue from our mobile OLED display driver ICs, which was offset in part by an increase in revenue from OLED TV display driver ICs.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sales – standard products business in Asia Pacific (other than Korea) for the nine months ended September 30, 2022 decreased to</w:t>
      </w:r>
    </w:p>
    <w:p>
      <w:pPr>
        <w:spacing w:after="0" w:line="3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$148.9 million from $237.3 million in the nine months ended September 30, 2021, or by $88.4 million, or 37.2%, primarily due to a significant decrease in revenue from our mobile OLED display driver ICs stemming from a lower customer demand resulting from a slowdown in the Chinese smartphone market, and a lack of secured manufacturing capacity (in particular for 28nm 12-inch OLED wafers) at external 12-inch foundries, which was offset in part by a higher demand for power products such as MOSFETs, including high-end MOSFETs, primarily for TVs and e-bike, and IGBTs mainly for solar inverters. The increased demand for our auto-LCD display driver ICs also favorably affected in this year.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sales – standard products business in the United States for the nine months ended September 30, 2022 increased to $8.1 million from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$4.4 million compared to the nine months ended September 30, 2021, or by $3.7 million, or 83.8%, primarily due to a change in billing location of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customer who offers lighting solutions combined with the increase of high-end MOSFET design wins with the customer.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$38.3 million, or 13.8% of total revenues,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2022, compared to $39.2 million, or 10.8% of total revenues, for the nine months ended September 30, 2021. The decrease of $0.9 million, or 2.2%, was primarily attributable to a decrease in running royalties recognized based on the revenue of certain mobile OLED display driver ICs.</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$38.7 million, or 14.0% of total revenues,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2022, which remained almost flat, compared to $39.0 million, or 10.7% of total revenues, for the nine months ended September 30, 2021.</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Merger-related Costs. </w:t>
      </w:r>
      <w:r>
        <w:rPr>
          <w:rFonts w:ascii="Arial" w:cs="Arial" w:eastAsia="Arial" w:hAnsi="Arial"/>
          <w:sz w:val="18"/>
          <w:szCs w:val="18"/>
          <w:color w:val="auto"/>
        </w:rPr>
        <w:t>For the nine months ended September 30, 2021, we recorded $13.8 million of professional service fees and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in connection with the contemplated Merger transaction.</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Other Charges, Net. </w:t>
      </w:r>
      <w:r>
        <w:rPr>
          <w:rFonts w:ascii="Arial" w:cs="Arial" w:eastAsia="Arial" w:hAnsi="Arial"/>
          <w:sz w:val="16"/>
          <w:szCs w:val="16"/>
          <w:color w:val="auto"/>
        </w:rPr>
        <w:t>For the nine months ended September 30, 2022, we recorded $2.8 million of one-time employee incentives and $1.0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professional service fees and expenses incurred in connection with certain strategic evaluations, which was offset in part by a $0.5 million gain on sale of certain legacy equipment of the closed back-end line in our fabrication facility in Gumi. For the nine months ended September 30, 2021, we recorded $3.4 million of non-recurring professional service fees and expenses incurred in connection with the regulatory requests.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a result of the foregoing, operating income was $4.9 million for the nine months ended September 30, 2022 compared to operating income of $19.5 million the nine months ended September 30, 2021. As discussed above, the decrease in operating income of $14.7 million resulted primarily from a $29.8 million decrease in gross profit, which was offset in part by a $13.8 million decrease in Merger-related costs, a $0.9 million decrease in selling, general and administrative expenses and a $0.3 million decrease in research and development expenses.</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320" w:top="486" w:right="6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was $0.9 million and $1.2 million for the nine months ended September 30, 2022 and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nine months ended September 30, 2022 was $20.5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$12.0 million for the nine months ended September 30, 2021. The net foreign currency loss for the nine months ended September 30, 2022 and September 30, 2021 was due to the depreciation in value of the Korean won relative to the U.S. dollar during the period.</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September 30, 2022 and September 30, 2021, the outstanding intercompany loan balances, including accrued interest between our Korean subsidiary and our Dutch subsidiary, were $357 million and $393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primarily comprised of interest income, rental income and gains and losses from valuation of derivatives which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as hedging instruments. Others for the nine months ended September 30, 2022 and September 30, 2021 was $4.2 million and $2.8 million, respectively. In the third quarter of 2021, others, net included a $0.7 million legal settlement gain related to certain expenses incurred in prior periods in connection with our legacy Fab 4 (which was sold during the year ended December 31, 2020) and awarded in the current quarter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Income tax benefit was $1.4 million for the nine months ended September 30, 2022, which was primarily attributable to the decrease in the pre-tax income due to foreign currency translation losses associated with intercompany long-term loans in our Korean subsidiary for the respective period.</w:t>
      </w:r>
    </w:p>
    <w:p>
      <w:pPr>
        <w:spacing w:after="0" w:line="12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Income tax expense was $6.0 million for the nine months ended September 30, 2021, which was primarily attributable to interest on intercompany loan balances and the estimated taxable income for the respective period in our Korean subsidiary, combined with its ability to utilize net operating loss carryforwards up to 60%.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a result of the foregoing, a net loss of $11.0 million was recorded for the nine months ended September 30, 2022 compared to a net income of $3.1 million for the nine months ended September 30, 2021. As discussed above, the $14.1 million decrease in net income was primarily attributable to a $14.7 million decrease in operating income and an $8.5 million increase in net foreign currency loss, which was offset in part by a $7.4 million decrease in income tax expense.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September 30, 2022, we did not have any accounts payable on extended terms or payment deferment with our vendors.</w:t>
      </w:r>
    </w:p>
    <w:p>
      <w:pPr>
        <w:spacing w:after="0" w:line="192"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September 30, 2022, the outstanding obligation of this arrangement is approximately $22.7 million for remaining service term through 2028.</w:t>
      </w:r>
    </w:p>
    <w:p>
      <w:pPr>
        <w:spacing w:after="0" w:line="17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As of September 30, 2022, cash and cash equivalents held by our Korean subsidiary were $241.3 million, which represents 96%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working capital balance as of September 30, 2022 was $304.7 million compared to $323.6 million as of December 31, 2021.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$19.0 million decrease was primarily attributable to a $28.7 million decrease in cash and cash equivalents and a $17.6 million decrease in other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receivable mainly resulted from receipt of reverse termination fee, which was offset in part by a $11.0 million decrease in account payables, a</w:t>
      </w:r>
    </w:p>
    <w:p>
      <w:pPr>
        <w:spacing w:after="0" w:line="21"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$12.3 million net increase in hedge collateral and a $7.8 million increase in advance payments to certain suppliers, including external foundries to meet our planned production.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Cash inflow provided by operating activities totaled $50.2 million for the nine months ended September 30, 2022, compared to $30.0 million of cash inflow provided by operating activities for the nine months ended September 30, 2021. The net operating cash inflow for the nine months ended September 30, 2022 reflects our net loss of $11.0 million, as adjusted favorably by $95.6 million, which mainly consisted of depreciation and amortization, provision for severance benefits, stock-based compensation and net foreign currency loss, and net unfavorable impact of $34.3 million from changes of operating assets and liabilities.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Cash outflow used in investing activities totaled $25.9 million for the nine months ended September 30, 2022, compared to $14.4 million of cash outflow used in investing activities for the nine months ended September 30, 2021. The $11.4 million increase in cash outflow was primarily attributable to a $13.7 million net increase in hedge collateral, which was offset in part by a $1.6 million decrease in purchase of property, plant and equipment.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Cash outflow used in financing activities totaled $3.7 million for the nine months ended September 30, 2022, compared to $1.8 million of cash inflow provided by financing activities for the nine months ended September 30, 2021. The financing cash outflow for the nine months ended September 30, 2022 was primarily attributable to a payment of $3.2 million for the repurchases of our common stock in September 2022 pursuant to our stock repurchase program and a payment of $1.8 million for the repurchase of our common stock to satisfy tax withholding obligations in connection with the vesting of restricted stock units, which was offset in part by $1.8 million of proceeds received from the issuance of common stock in connection with the exercise of stock options. The financing cash inflow for the nine months ended September 30, 2021 was primarily attributable to $3.9 million of proceeds received from the issuance of common stock in connection with the exercise of stock options, which was offset in part by a payment of</w:t>
      </w:r>
    </w:p>
    <w:p>
      <w:pPr>
        <w:spacing w:after="0" w:line="2"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$1.7 million for the repurchase of our common stock to satisfy tax withholding obligations in connection with the vesting of restricted stock units. 47</w:t>
      </w:r>
    </w:p>
    <w:p>
      <w:pPr>
        <w:sectPr>
          <w:pgSz w:w="11900" w:h="16838" w:orient="portrait"/>
          <w:cols w:equalWidth="0" w:num="1">
            <w:col w:w="11120"/>
          </w:cols>
          <w:pgMar w:left="320" w:top="486"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routinely make capital expenditures for fabrication facility maintenance, enhancement of our existing facility and reinforcement of our global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 capability. For the nine months ended September 30, 2022, capital expenditures for property, plant and equipment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$11.8 million, a $1.6 million, or 11.6%, decrease from $13.4 million for the nine months ended September 30, 2021. The capital expenditures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nine months ended September 30, 2022 and 2021 were related to meeting our customer demand and supporting technology and capacity improvement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fabrication facility.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2021, or our 2021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2021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2021 Form 10-K.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86"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2022 for our Korean subsidiary, a 10% devaluation of the Korean won against the U.S. dollar would have resulted in a decrease of $1.2 million in our U.S. dollar financial instruments and cash balances.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preparation of this Report, we carried out an evaluation under the supervision of and with the participation of our management, including our Chief Executive Officer and Chief Financial Officer, as of September 30, 2022,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2022 that have materially affected, or are reasonably likely to materially affect, our internal control over financial reporting.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86" w:right="5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legal proceedings, see “Part I: Item 3. Legal Proceedings” of our 2021 Form 10-K.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“Item 1A. Risk Factors” in this Report and “Part I: Item 1A. Risk Factors” of our 2021 Form 10-K for additional information.</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 is subject to risks and uncertainties, any of which could have a significant or material adverse effect on our business, financial condition, liquidity or consolidated financial statements.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the other information contained in this Report and the other reports and materials the Company files with the SEC, investors should carefully consider the risk factors disclosed in Part I, Item 1A of our 2021 Form 10-K as well as in our subsequent filings with the SEC. The risks described herein and therein are not the only ones we face.</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our 2021 Form 10-K and Part II, Item 1A of our most recent Quarterly Report on Form 10-Q.</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monthly activity related to our repurchases of common stock for the quarter ended September 30, 2022.</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Total Number</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Total Number</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780" w:type="dxa"/>
            <w:vAlign w:val="bottom"/>
            <w:vMerge w:val="restart"/>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520" w:type="dxa"/>
            <w:vAlign w:val="bottom"/>
            <w:gridSpan w:val="3"/>
          </w:tcPr>
          <w:p>
            <w:pPr>
              <w:jc w:val="center"/>
              <w:ind w:right="660"/>
              <w:spacing w:after="0" w:line="158" w:lineRule="exact"/>
              <w:rPr>
                <w:sz w:val="20"/>
                <w:szCs w:val="20"/>
                <w:color w:val="auto"/>
              </w:rPr>
            </w:pPr>
            <w:r>
              <w:rPr>
                <w:rFonts w:ascii="Arial" w:cs="Arial" w:eastAsia="Arial" w:hAnsi="Arial"/>
                <w:sz w:val="14"/>
                <w:szCs w:val="14"/>
                <w:b w:val="1"/>
                <w:bCs w:val="1"/>
                <w:color w:val="auto"/>
                <w:w w:val="92"/>
              </w:rPr>
              <w:t>Purchased</w:t>
            </w:r>
          </w:p>
        </w:tc>
        <w:tc>
          <w:tcPr>
            <w:tcW w:w="12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7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3"/>
              </w:rPr>
              <w:t>or Programs(1)</w:t>
            </w:r>
          </w:p>
        </w:tc>
        <w:tc>
          <w:tcPr>
            <w:tcW w:w="120" w:type="dxa"/>
            <w:vAlign w:val="bottom"/>
          </w:tcPr>
          <w:p>
            <w:pPr>
              <w:spacing w:after="0"/>
              <w:rPr>
                <w:sz w:val="15"/>
                <w:szCs w:val="15"/>
                <w:color w:val="auto"/>
              </w:rPr>
            </w:pPr>
          </w:p>
        </w:tc>
        <w:tc>
          <w:tcPr>
            <w:tcW w:w="12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(in thousands)(1)</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2022</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ind w:left="5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August 2022</w:t>
            </w:r>
          </w:p>
        </w:tc>
        <w:tc>
          <w:tcPr>
            <w:tcW w:w="15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2022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324,643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11.21</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324,643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46,362</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324,643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324,643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60" w:hanging="424"/>
        <w:spacing w:after="0" w:line="273"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August 31, 2022, the Company’s Board of Directors authorized an expansion of the Company’s previously announced stock repurchase program from $75 million to $87.5 million of the Company’s common stock. The Company has already repurchased shares worth $37.5 million under the program through an accelerated stock repurchase agreement on December 21, 2021 with JPMorgan Chase Bank, National Association. The remaining $50.0 million of the expanded $87.5 million program will be repurchased in the open market or through privately negotiated transactions. In connection with the repurchase program, the Company has established a stock trading plan with Oppenheimer &amp; Co. Inc. in accordance with Rule 10b5-1 under the Securities Exchange Act of 1934, as amended.</w:t>
      </w:r>
    </w:p>
    <w:p>
      <w:pPr>
        <w:spacing w:after="0" w:line="32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86" w:right="5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19"/>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gridSpan w:val="14"/>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594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line="270" w:lineRule="exact"/>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p>
        </w:tc>
        <w:tc>
          <w:tcPr>
            <w:tcW w:w="300" w:type="dxa"/>
            <w:vAlign w:val="bottom"/>
          </w:tcPr>
          <w:p>
            <w:pPr>
              <w:spacing w:after="0"/>
              <w:rPr>
                <w:sz w:val="23"/>
                <w:szCs w:val="23"/>
                <w:color w:val="auto"/>
              </w:rPr>
            </w:pPr>
          </w:p>
        </w:tc>
        <w:tc>
          <w:tcPr>
            <w:tcW w:w="50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Form of Restricted Stock Units Agreement (Non-employee Directors)</w:t>
            </w:r>
          </w:p>
        </w:tc>
        <w:tc>
          <w:tcPr>
            <w:tcW w:w="482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5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Form of Restricted Stock Units Agreement (CEO and other Section 16 Officers)</w:t>
            </w:r>
          </w:p>
        </w:tc>
        <w:tc>
          <w:tcPr>
            <w:tcW w:w="40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rPr>
              <w:t>Form of Restricted Stock Units Agreement—Financial Performance (CEO)</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10.4‡</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72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Form of Restricted Stock Units Agreement—Financial Performance (Non-CEO Section 16 Officers)</w:t>
            </w:r>
          </w:p>
        </w:tc>
        <w:tc>
          <w:tcPr>
            <w:tcW w:w="26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10.5‡</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rPr>
              <w:t>Form of Restricted Stock Units Agreement—TSR Performance (CEO)</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69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Form of Restricted Stock Units Agreement—TSR Performance (Non-CEO Section 16 Officers)</w:t>
            </w:r>
          </w:p>
        </w:tc>
        <w:tc>
          <w:tcPr>
            <w:tcW w:w="2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26"/>
                <w:szCs w:val="26"/>
                <w:color w:val="auto"/>
                <w:vertAlign w:val="superscript"/>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Second Amendment to Termination and Settlement Agreement, dated as of August 5, 2022, by and between Magnachip Semiconductor</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Arial" w:cs="Arial" w:eastAsia="Arial" w:hAnsi="Arial"/>
                <w:sz w:val="18"/>
                <w:szCs w:val="18"/>
                <w:color w:val="0000EE"/>
              </w:rPr>
              <w:t>Corporation, South Dearborn Limited and Wise Road Capital LTD.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10.8</w:t>
            </w:r>
            <w:r>
              <w:rPr>
                <w:rFonts w:ascii="Arial" w:cs="Arial" w:eastAsia="Arial" w:hAnsi="Arial"/>
                <w:sz w:val="26"/>
                <w:szCs w:val="26"/>
                <w:color w:val="auto"/>
                <w:w w:val="86"/>
                <w:vertAlign w:val="superscript"/>
              </w:rPr>
              <w:t>#</w:t>
            </w:r>
            <w:r>
              <w:rPr>
                <w:rFonts w:ascii="Arial" w:cs="Arial" w:eastAsia="Arial" w:hAnsi="Arial"/>
                <w:sz w:val="18"/>
                <w:szCs w:val="18"/>
                <w:color w:val="auto"/>
                <w:w w:val="86"/>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0"/>
              </w:rPr>
              <w:t>Patent Cross-License Agreement, with an effective date as of June 15, 2017, by and between Infineon Technologies AG and Magnachip</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Semiconductor, Ltd.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10.9</w:t>
            </w:r>
            <w:r>
              <w:rPr>
                <w:rFonts w:ascii="Arial" w:cs="Arial" w:eastAsia="Arial" w:hAnsi="Arial"/>
                <w:sz w:val="26"/>
                <w:szCs w:val="26"/>
                <w:color w:val="auto"/>
                <w:w w:val="86"/>
                <w:vertAlign w:val="superscript"/>
              </w:rPr>
              <w:t>#</w:t>
            </w:r>
            <w:r>
              <w:rPr>
                <w:rFonts w:ascii="Arial" w:cs="Arial" w:eastAsia="Arial" w:hAnsi="Arial"/>
                <w:sz w:val="18"/>
                <w:szCs w:val="18"/>
                <w:color w:val="auto"/>
                <w:w w:val="86"/>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First Amendment to the Patent Cross-License Agreement, with an effective date as of January 1, 2022, by and between Infineon</w:t>
            </w:r>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Arial" w:cs="Arial" w:eastAsia="Arial" w:hAnsi="Arial"/>
                <w:sz w:val="18"/>
                <w:szCs w:val="18"/>
                <w:color w:val="0000EE"/>
              </w:rPr>
              <w:t>Technologies AG and Magnachip Semiconductor, Ltd.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31.1</w:t>
            </w:r>
            <w:r>
              <w:rPr>
                <w:rFonts w:ascii="Arial" w:cs="Arial" w:eastAsia="Arial" w:hAnsi="Arial"/>
                <w:sz w:val="26"/>
                <w:szCs w:val="26"/>
                <w:color w:val="auto"/>
                <w:vertAlign w:val="superscript"/>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Certification pursuant to Rule 13a-14(a) or Rule 15d-14(a) of the Securities Exchange Act of 1934 of the Chief Executive Officer.</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26"/>
                <w:szCs w:val="26"/>
                <w:color w:val="auto"/>
                <w:vertAlign w:val="superscript"/>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0000EE"/>
                <w:w w:val="97"/>
              </w:rPr>
              <w:t>Certification pursuant to Rule 13a-14(a) or Rule 15d-14(a) of the Securities Exchange Act of 1934 of the Chief Financial Officer.</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980" w:type="dxa"/>
            <w:vAlign w:val="bottom"/>
            <w:gridSpan w:val="11"/>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of the Chief</w:t>
            </w:r>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Executive Officer.</w:t>
            </w:r>
          </w:p>
        </w:tc>
        <w:tc>
          <w:tcPr>
            <w:tcW w:w="8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of the Chief</w:t>
            </w:r>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60" w:type="dxa"/>
            <w:vAlign w:val="bottom"/>
            <w:gridSpan w:val="18"/>
          </w:tcPr>
          <w:p>
            <w:pPr>
              <w:spacing w:after="0" w:line="196" w:lineRule="exact"/>
              <w:rPr>
                <w:sz w:val="20"/>
                <w:szCs w:val="20"/>
                <w:color w:val="auto"/>
              </w:rPr>
            </w:pPr>
            <w:r>
              <w:rPr>
                <w:rFonts w:ascii="Arial" w:cs="Arial" w:eastAsia="Arial" w:hAnsi="Arial"/>
                <w:sz w:val="18"/>
                <w:szCs w:val="18"/>
                <w:color w:val="0000EE"/>
              </w:rPr>
              <w:t>Financial Officer.</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6"/>
                <w:szCs w:val="26"/>
                <w:color w:val="auto"/>
                <w:vertAlign w:val="superscript"/>
              </w:rPr>
              <w:t>#</w:t>
            </w: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26"/>
                <w:szCs w:val="26"/>
                <w:color w:val="auto"/>
                <w:vertAlign w:val="superscript"/>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9" w:lineRule="exact"/>
        <w:rPr>
          <w:sz w:val="20"/>
          <w:szCs w:val="20"/>
          <w:color w:val="auto"/>
        </w:rPr>
      </w:pPr>
    </w:p>
    <w:p>
      <w:pPr>
        <w:jc w:val="both"/>
        <w:ind w:left="340" w:right="200" w:hanging="224"/>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identified information in such exhibit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86"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MAGNACHIP SEMICONDUCTOR CORPORATION</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Dated: November 8, 2022</w:t>
            </w:r>
          </w:p>
        </w:tc>
        <w:tc>
          <w:tcPr>
            <w:tcW w:w="2300" w:type="dxa"/>
            <w:vAlign w:val="bottom"/>
          </w:tcPr>
          <w:p>
            <w:pPr>
              <w:ind w:left="19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Young-Joon Kim</w:t>
            </w:r>
          </w:p>
        </w:tc>
      </w:tr>
      <w:tr>
        <w:trPr>
          <w:trHeight w:val="195"/>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Young-Joon Kim</w:t>
            </w:r>
          </w:p>
        </w:tc>
      </w:tr>
      <w:tr>
        <w:trPr>
          <w:trHeight w:val="216"/>
        </w:trPr>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45"/>
        </w:trPr>
        <w:tc>
          <w:tcPr>
            <w:tcW w:w="3640" w:type="dxa"/>
            <w:vAlign w:val="bottom"/>
          </w:tcPr>
          <w:p>
            <w:pPr>
              <w:spacing w:after="0"/>
              <w:rPr>
                <w:sz w:val="20"/>
                <w:szCs w:val="20"/>
                <w:color w:val="auto"/>
              </w:rPr>
            </w:pPr>
            <w:r>
              <w:rPr>
                <w:rFonts w:ascii="Arial" w:cs="Arial" w:eastAsia="Arial" w:hAnsi="Arial"/>
                <w:sz w:val="18"/>
                <w:szCs w:val="18"/>
                <w:color w:val="auto"/>
              </w:rPr>
              <w:t>Dated: November 8, 2022</w:t>
            </w:r>
          </w:p>
        </w:tc>
        <w:tc>
          <w:tcPr>
            <w:tcW w:w="2300" w:type="dxa"/>
            <w:vAlign w:val="bottom"/>
          </w:tcPr>
          <w:p>
            <w:pPr>
              <w:ind w:left="19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Shin Young Park</w:t>
            </w:r>
          </w:p>
        </w:tc>
      </w:tr>
      <w:tr>
        <w:trPr>
          <w:trHeight w:val="195"/>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Shin Young Park</w:t>
            </w:r>
          </w:p>
        </w:tc>
      </w:tr>
      <w:tr>
        <w:trPr>
          <w:trHeight w:val="216"/>
        </w:trPr>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78"/>
        </w:trPr>
        <w:tc>
          <w:tcPr>
            <w:tcW w:w="3640" w:type="dxa"/>
            <w:vAlign w:val="bottom"/>
          </w:tcPr>
          <w:p>
            <w:pPr>
              <w:spacing w:after="0"/>
              <w:rPr>
                <w:sz w:val="24"/>
                <w:szCs w:val="24"/>
                <w:color w:val="auto"/>
              </w:rPr>
            </w:pPr>
          </w:p>
        </w:tc>
        <w:tc>
          <w:tcPr>
            <w:tcW w:w="2300" w:type="dxa"/>
            <w:vAlign w:val="bottom"/>
          </w:tcPr>
          <w:p>
            <w:pPr>
              <w:ind w:left="1780"/>
              <w:spacing w:after="0"/>
              <w:rPr>
                <w:sz w:val="20"/>
                <w:szCs w:val="20"/>
                <w:color w:val="auto"/>
              </w:rPr>
            </w:pPr>
            <w:r>
              <w:rPr>
                <w:rFonts w:ascii="Arial" w:cs="Arial" w:eastAsia="Arial" w:hAnsi="Arial"/>
                <w:sz w:val="18"/>
                <w:szCs w:val="18"/>
                <w:color w:val="auto"/>
              </w:rPr>
              <w:t>54</w:t>
            </w: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Magnachip Semiconductor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has granted to the Participant named in the Notice of Grant of Restricted Stock Units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to which this Restricted Stock Units Agreement is attached an Award consisting of Restricted Stock Units subject to the terms and conditions set forth in the Grant Notice and this Restricted Stock Units Agreement, including any additional terms and conditions for the Participant’s country set forth in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and, together with the Restricted Stock Units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The Participant shall be entitled to Dividend Equivalent Rights with respect to the Award.</w:t>
      </w:r>
    </w:p>
    <w:p>
      <w:pPr>
        <w:spacing w:after="0" w:line="17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620" w:hanging="18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680" w:hanging="252"/>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3.3.</w:t>
      </w:r>
    </w:p>
    <w:p>
      <w:pPr>
        <w:spacing w:after="0" w:line="225"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9.</w:t>
      </w:r>
    </w:p>
    <w:p>
      <w:pPr>
        <w:spacing w:after="0" w:line="166"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ectPr>
          <w:pgSz w:w="11900" w:h="16838" w:orient="portrait"/>
          <w:cols w:equalWidth="0" w:num="1">
            <w:col w:w="11020"/>
          </w:cols>
          <w:pgMar w:left="440" w:top="121" w:right="439" w:bottom="1440" w:gutter="0" w:footer="0" w:header="0"/>
        </w:sectPr>
      </w:pPr>
    </w:p>
    <w:bookmarkStart w:id="56" w:name="page57"/>
    <w:bookmarkEnd w:id="56"/>
    <w:p>
      <w:pPr>
        <w:ind w:left="620" w:hanging="184"/>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80" w:lineRule="exact"/>
        <w:rPr>
          <w:sz w:val="20"/>
          <w:szCs w:val="20"/>
          <w:color w:val="auto"/>
        </w:rPr>
      </w:pPr>
    </w:p>
    <w:p>
      <w:pPr>
        <w:ind w:left="620" w:hanging="18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On the Date of Grant, the Participant shall acquire, subject to the provisions of this Agreement, the Total Number of Restricted Stock Units set forth in the Grant Notice, subject to adjustment as provided in Section 3.3 and Section 9.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w:t>
      </w:r>
    </w:p>
    <w:p>
      <w:pPr>
        <w:spacing w:after="0" w:line="162"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4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64" w:lineRule="exact"/>
        <w:rPr>
          <w:sz w:val="20"/>
          <w:szCs w:val="20"/>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0" w:lineRule="exact"/>
        <w:rPr>
          <w:sz w:val="20"/>
          <w:szCs w:val="20"/>
          <w:color w:val="auto"/>
        </w:rPr>
      </w:pPr>
    </w:p>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Except to the extent expressly provided otherwise in an agreement between the Participant and the Company, in the event that the Participant’s Service terminates for any reason or no reason, with or without cause, insofar as permitted under Local Law the Participant shall forfeit and the Company shall automatically reacquire all Units which are not, as of the time of such termination, Vested Units, and the Participant shall not be entitled to any payment therefor.</w:t>
      </w:r>
    </w:p>
    <w:p>
      <w:pPr>
        <w:sectPr>
          <w:pgSz w:w="11900" w:h="16838" w:orient="portrait"/>
          <w:cols w:equalWidth="0" w:num="1">
            <w:col w:w="10980"/>
          </w:cols>
          <w:pgMar w:left="440" w:top="270" w:right="479" w:bottom="1440" w:gutter="0" w:footer="0" w:header="0"/>
        </w:sectPr>
      </w:pPr>
    </w:p>
    <w:bookmarkStart w:id="57" w:name="page58"/>
    <w:bookmarkEnd w:id="57"/>
    <w:p>
      <w:pPr>
        <w:ind w:left="620" w:hanging="18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40" w:firstLine="991"/>
        <w:spacing w:after="0" w:line="274"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Issuance of Shares of Stock.</w:t>
      </w:r>
      <w:r>
        <w:rPr>
          <w:rFonts w:ascii="Arial" w:cs="Arial" w:eastAsia="Arial" w:hAnsi="Arial"/>
          <w:sz w:val="17"/>
          <w:szCs w:val="17"/>
          <w:color w:val="auto"/>
        </w:rPr>
        <w:t xml:space="preserve"> Subject to the provisions of Section 6.3, Section 7 and Section 8, on or as soon as reasonably practicable following the date upon which the Participant’s Service terminates for any reason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but in no event later than the later of (i) the last day of the year in which the Termination Date occurs and (ii) the fifteenth day of the third calendar month following the Termination Date (such applicable date, the “</w:t>
      </w:r>
      <w:r>
        <w:rPr>
          <w:rFonts w:ascii="Arial" w:cs="Arial" w:eastAsia="Arial" w:hAnsi="Arial"/>
          <w:sz w:val="17"/>
          <w:szCs w:val="17"/>
          <w:b w:val="1"/>
          <w:bCs w:val="1"/>
          <w:i w:val="1"/>
          <w:iCs w:val="1"/>
          <w:color w:val="auto"/>
        </w:rPr>
        <w:t>Settlement Date</w:t>
      </w:r>
      <w:r>
        <w:rPr>
          <w:rFonts w:ascii="Arial" w:cs="Arial" w:eastAsia="Arial" w:hAnsi="Arial"/>
          <w:sz w:val="17"/>
          <w:szCs w:val="17"/>
          <w:color w:val="auto"/>
        </w:rPr>
        <w:t>”), the Company shall issue to the Participant with respect to each Unit that is a Vested Unit as of the Termination Date one (1) share of Stock. Shares of Stock issued in settlement of Units shall not be subject to any restriction on transfer other than any such restriction as may be required pursuant to Section 6.3, Section 7 or the Company’s Securities Trading Policy.</w:t>
      </w:r>
    </w:p>
    <w:p>
      <w:pPr>
        <w:spacing w:after="0" w:line="173"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17" w:lineRule="exact"/>
        <w:rPr>
          <w:sz w:val="20"/>
          <w:szCs w:val="20"/>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 AND</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IMITED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ASH</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ETTLEMENT FOR</w:t>
      </w:r>
      <w:r>
        <w:rPr>
          <w:rFonts w:ascii="Arial" w:cs="Arial" w:eastAsia="Arial" w:hAnsi="Arial"/>
          <w:sz w:val="18"/>
          <w:szCs w:val="18"/>
          <w:b w:val="1"/>
          <w:bCs w:val="1"/>
          <w:u w:val="single" w:color="auto"/>
          <w:color w:val="auto"/>
        </w:rPr>
        <w:t xml:space="preserve"> F</w:t>
      </w:r>
      <w:r>
        <w:rPr>
          <w:rFonts w:ascii="Arial" w:cs="Arial" w:eastAsia="Arial" w:hAnsi="Arial"/>
          <w:sz w:val="14"/>
          <w:szCs w:val="14"/>
          <w:b w:val="1"/>
          <w:bCs w:val="1"/>
          <w:u w:val="single" w:color="auto"/>
          <w:color w:val="auto"/>
        </w:rPr>
        <w:t>OREIGN</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In General.</w:t>
      </w:r>
      <w:r>
        <w:rPr>
          <w:rFonts w:ascii="Arial" w:cs="Arial" w:eastAsia="Arial" w:hAnsi="Arial"/>
          <w:sz w:val="18"/>
          <w:szCs w:val="18"/>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non-U.S.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ectPr>
          <w:pgSz w:w="11900" w:h="16838" w:orient="portrait"/>
          <w:cols w:equalWidth="0" w:num="1">
            <w:col w:w="11000"/>
          </w:cols>
          <w:pgMar w:left="440" w:top="270" w:right="459" w:bottom="1440" w:gutter="0" w:footer="0" w:header="0"/>
        </w:sectPr>
      </w:pPr>
    </w:p>
    <w:bookmarkStart w:id="58" w:name="page59"/>
    <w:bookmarkEnd w:id="58"/>
    <w:p>
      <w:pPr>
        <w:ind w:right="16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 </w:t>
      </w:r>
      <w:r>
        <w:rPr>
          <w:rFonts w:ascii="Arial" w:cs="Arial" w:eastAsia="Arial" w:hAnsi="Arial"/>
          <w:sz w:val="18"/>
          <w:szCs w:val="18"/>
          <w:b w:val="1"/>
          <w:bCs w:val="1"/>
          <w:color w:val="auto"/>
        </w:rPr>
        <w:t>Assignment of Sale Proceeds</w:t>
      </w:r>
      <w:r>
        <w:rPr>
          <w:rFonts w:ascii="Arial" w:cs="Arial" w:eastAsia="Arial" w:hAnsi="Arial"/>
          <w:sz w:val="18"/>
          <w:szCs w:val="18"/>
          <w:color w:val="auto"/>
        </w:rPr>
        <w:t>. Subject to compliance with applicable law and the Company’s Securities Trading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83"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Withholding in Shares.</w:t>
      </w:r>
      <w:r>
        <w:rPr>
          <w:rFonts w:ascii="Arial" w:cs="Arial" w:eastAsia="Arial" w:hAnsi="Arial"/>
          <w:sz w:val="16"/>
          <w:szCs w:val="16"/>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w:t>
      </w:r>
    </w:p>
    <w:p>
      <w:pPr>
        <w:spacing w:after="0" w:line="151" w:lineRule="exact"/>
        <w:rPr>
          <w:sz w:val="20"/>
          <w:szCs w:val="20"/>
          <w:color w:val="auto"/>
        </w:rPr>
      </w:pPr>
    </w:p>
    <w:p>
      <w:pPr>
        <w:ind w:right="80" w:firstLine="991"/>
        <w:spacing w:after="0" w:line="25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Limited Cash Settlement for Foreign Tax Obligations.</w:t>
      </w:r>
      <w:r>
        <w:rPr>
          <w:rFonts w:ascii="Arial" w:cs="Arial" w:eastAsia="Arial" w:hAnsi="Arial"/>
          <w:sz w:val="18"/>
          <w:szCs w:val="18"/>
          <w:color w:val="auto"/>
        </w:rPr>
        <w:t xml:space="preserve"> Notwithstanding the issuance schedule set forth in Section 6.1, to the extent Participant is subject to non-U.S. tax obligations (including any social insurance obligations) as a result of the vesting of one or more Units subject to this Award, Participant shall receive a partial cash settlement of this Award in connection with the applicable vesting date(s). The partial cash settlement is intended to enable Participant to pay the tax liability due from Participant to the non-U.S. tax authority when the Award vests. Any partial cash settlement shall occur in accordance with the following:</w:t>
      </w:r>
    </w:p>
    <w:p>
      <w:pPr>
        <w:spacing w:after="0" w:line="187" w:lineRule="exact"/>
        <w:rPr>
          <w:sz w:val="20"/>
          <w:szCs w:val="20"/>
          <w:color w:val="auto"/>
        </w:rPr>
      </w:pPr>
    </w:p>
    <w:p>
      <w:pPr>
        <w:ind w:right="340" w:firstLine="1428"/>
        <w:spacing w:after="0" w:line="277" w:lineRule="auto"/>
        <w:tabs>
          <w:tab w:leader="none" w:pos="16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number of Vested Units will be forfeited on the applicable vesting date in exchange for a lump sum cash payment from the Company to the Participant in an amount equal to the Fair Market Value of the forfeited Vested Units.</w:t>
      </w:r>
    </w:p>
    <w:p>
      <w:pPr>
        <w:spacing w:after="0" w:line="170" w:lineRule="exact"/>
        <w:rPr>
          <w:rFonts w:ascii="Arial" w:cs="Arial" w:eastAsia="Arial" w:hAnsi="Arial"/>
          <w:sz w:val="18"/>
          <w:szCs w:val="18"/>
          <w:color w:val="auto"/>
        </w:rPr>
      </w:pPr>
    </w:p>
    <w:p>
      <w:pPr>
        <w:ind w:right="100" w:firstLine="1428"/>
        <w:spacing w:after="0" w:line="263" w:lineRule="auto"/>
        <w:tabs>
          <w:tab w:leader="none" w:pos="1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Vested Units to be forfeited will be such number of whole shares of Stock having a Fair Market Value as close to as possible, but in no event to exceed, the tax obligation required to be paid by the Participant to the applicable non-U.S. tax authority as result of the vesting of the Units.</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Fair Market Value of the forfeited Vested Units will be determined pursuant to Section 2(u) of the Plan on the vesting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Units.</w:t>
      </w:r>
    </w:p>
    <w:p>
      <w:pPr>
        <w:spacing w:after="0" w:line="210" w:lineRule="exact"/>
        <w:rPr>
          <w:rFonts w:ascii="Arial" w:cs="Arial" w:eastAsia="Arial" w:hAnsi="Arial"/>
          <w:sz w:val="16"/>
          <w:szCs w:val="16"/>
          <w:color w:val="auto"/>
        </w:rPr>
      </w:pPr>
    </w:p>
    <w:p>
      <w:pPr>
        <w:ind w:left="1680" w:hanging="252"/>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lump sum cash payment shall be paid by the Company to the Participant within seven business days from the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vesting date.</w:t>
      </w:r>
    </w:p>
    <w:p>
      <w:pPr>
        <w:sectPr>
          <w:pgSz w:w="11900" w:h="16838" w:orient="portrait"/>
          <w:cols w:equalWidth="0" w:num="1">
            <w:col w:w="11020"/>
          </w:cols>
          <w:pgMar w:left="440" w:top="270" w:right="439" w:bottom="1440" w:gutter="0" w:footer="0" w:header="0"/>
        </w:sectPr>
      </w:pPr>
    </w:p>
    <w:bookmarkStart w:id="59" w:name="page60"/>
    <w:bookmarkEnd w:id="59"/>
    <w:p>
      <w:pPr>
        <w:ind w:left="620" w:hanging="184"/>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In the event of a Change in Control, all Units granted hereunder shall automatically become Vested Units and shall be settled, paid, continued or substituted, as determined by the Committee, in connection with such Change in Control in accordance with the terms of the Plan.</w:t>
      </w:r>
    </w:p>
    <w:p>
      <w:pPr>
        <w:spacing w:after="0" w:line="142" w:lineRule="exact"/>
        <w:rPr>
          <w:sz w:val="20"/>
          <w:szCs w:val="20"/>
          <w:color w:val="auto"/>
        </w:rPr>
      </w:pPr>
    </w:p>
    <w:p>
      <w:pPr>
        <w:ind w:left="620" w:hanging="18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3.3)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67" w:lineRule="exact"/>
        <w:rPr>
          <w:sz w:val="20"/>
          <w:szCs w:val="20"/>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3.3 and Section 9.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57" w:lineRule="exact"/>
        <w:rPr>
          <w:sz w:val="20"/>
          <w:szCs w:val="20"/>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ectPr>
          <w:pgSz w:w="11900" w:h="16838" w:orient="portrait"/>
          <w:cols w:equalWidth="0" w:num="1">
            <w:col w:w="11000"/>
          </w:cols>
          <w:pgMar w:left="440" w:top="270" w:right="459" w:bottom="1440" w:gutter="0" w:footer="0" w:header="0"/>
        </w:sectPr>
      </w:pPr>
    </w:p>
    <w:bookmarkStart w:id="60" w:name="page61"/>
    <w:bookmarkEnd w:id="60"/>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Arial" w:cs="Arial" w:eastAsia="Arial" w:hAnsi="Arial"/>
          <w:sz w:val="14"/>
          <w:szCs w:val="14"/>
          <w:b w:val="1"/>
          <w:bCs w:val="1"/>
          <w:u w:val="single" w:color="auto"/>
          <w:color w:val="auto"/>
        </w:rPr>
        <w:t>OMPLIANCE WITH</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ECTION</w:t>
      </w:r>
      <w:r>
        <w:rPr>
          <w:rFonts w:ascii="Arial" w:cs="Arial" w:eastAsia="Arial" w:hAnsi="Arial"/>
          <w:sz w:val="18"/>
          <w:szCs w:val="18"/>
          <w:b w:val="1"/>
          <w:bCs w:val="1"/>
          <w:u w:val="single" w:color="auto"/>
          <w:color w:val="auto"/>
        </w:rPr>
        <w:t xml:space="preserve"> 409A.</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To the extent applicable, 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 to the extent applicable:</w:t>
      </w:r>
    </w:p>
    <w:p>
      <w:pPr>
        <w:spacing w:after="0" w:line="184"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Separation from Service; Required Delay in Payment to Specified Employee.</w:t>
      </w:r>
      <w:r>
        <w:rPr>
          <w:rFonts w:ascii="Arial" w:cs="Arial" w:eastAsia="Arial" w:hAnsi="Arial"/>
          <w:sz w:val="16"/>
          <w:szCs w:val="16"/>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Arial" w:cs="Arial" w:eastAsia="Arial" w:hAnsi="Arial"/>
          <w:sz w:val="16"/>
          <w:szCs w:val="16"/>
          <w:b w:val="1"/>
          <w:bCs w:val="1"/>
          <w:i w:val="1"/>
          <w:iCs w:val="1"/>
          <w:color w:val="auto"/>
        </w:rPr>
        <w:t>“Section 409A Regulations”</w:t>
      </w:r>
      <w:r>
        <w:rPr>
          <w:rFonts w:ascii="Arial" w:cs="Arial" w:eastAsia="Arial" w:hAnsi="Arial"/>
          <w:sz w:val="16"/>
          <w:szCs w:val="16"/>
          <w:color w:val="auto"/>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paid to the Participant before the date (the </w:t>
      </w:r>
      <w:r>
        <w:rPr>
          <w:rFonts w:ascii="Arial" w:cs="Arial" w:eastAsia="Arial" w:hAnsi="Arial"/>
          <w:sz w:val="16"/>
          <w:szCs w:val="16"/>
          <w:b w:val="1"/>
          <w:bCs w:val="1"/>
          <w:i w:val="1"/>
          <w:iCs w:val="1"/>
          <w:color w:val="auto"/>
        </w:rPr>
        <w:t>“Delayed Payment Date”</w:t>
      </w:r>
      <w:r>
        <w:rPr>
          <w:rFonts w:ascii="Arial" w:cs="Arial" w:eastAsia="Arial" w:hAnsi="Arial"/>
          <w:sz w:val="16"/>
          <w:szCs w:val="16"/>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66"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Other Delays in Payment.</w:t>
      </w:r>
      <w:r>
        <w:rPr>
          <w:rFonts w:ascii="Arial" w:cs="Arial" w:eastAsia="Arial" w:hAnsi="Arial"/>
          <w:sz w:val="18"/>
          <w:szCs w:val="18"/>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62" w:lineRule="exact"/>
        <w:rPr>
          <w:sz w:val="20"/>
          <w:szCs w:val="20"/>
          <w:color w:val="auto"/>
        </w:rPr>
      </w:pPr>
    </w:p>
    <w:p>
      <w:pPr>
        <w:ind w:right="280" w:firstLine="991"/>
        <w:spacing w:after="0" w:line="34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Separate Payments</w:t>
      </w:r>
      <w:r>
        <w:rPr>
          <w:rFonts w:ascii="Arial" w:cs="Arial" w:eastAsia="Arial" w:hAnsi="Arial"/>
          <w:sz w:val="16"/>
          <w:szCs w:val="16"/>
          <w:color w:val="auto"/>
        </w:rPr>
        <w:t>. To the extent required to comply with the Section 409A Regulations, each amount to be paid or benefit to be provided under this Agreement shall be construed as a separate identified payment for purposes of the Section 409A Regulations.</w:t>
      </w:r>
    </w:p>
    <w:p>
      <w:pPr>
        <w:spacing w:after="0" w:line="116"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Amendments to Comply with Section 409A; Indemnification.</w:t>
      </w:r>
      <w:r>
        <w:rPr>
          <w:rFonts w:ascii="Arial" w:cs="Arial" w:eastAsia="Arial" w:hAnsi="Arial"/>
          <w:sz w:val="18"/>
          <w:szCs w:val="18"/>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ectPr>
          <w:pgSz w:w="11900" w:h="16838" w:orient="portrait"/>
          <w:cols w:equalWidth="0" w:num="1">
            <w:col w:w="11000"/>
          </w:cols>
          <w:pgMar w:left="440" w:top="270" w:right="459" w:bottom="1440" w:gutter="0" w:footer="0" w:header="0"/>
        </w:sectPr>
      </w:pPr>
    </w:p>
    <w:bookmarkStart w:id="61" w:name="page62"/>
    <w:bookmarkEnd w:id="61"/>
    <w:p>
      <w:pPr>
        <w:ind w:firstLine="99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12.5 </w:t>
      </w:r>
      <w:r>
        <w:rPr>
          <w:rFonts w:ascii="Arial" w:cs="Arial" w:eastAsia="Arial" w:hAnsi="Arial"/>
          <w:sz w:val="16"/>
          <w:szCs w:val="16"/>
          <w:b w:val="1"/>
          <w:bCs w:val="1"/>
          <w:color w:val="auto"/>
        </w:rPr>
        <w:t>Advice of Independent Tax Advisor.</w:t>
      </w:r>
      <w:r>
        <w:rPr>
          <w:rFonts w:ascii="Arial" w:cs="Arial" w:eastAsia="Arial" w:hAnsi="Arial"/>
          <w:sz w:val="16"/>
          <w:szCs w:val="16"/>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46" w:lineRule="exact"/>
        <w:rPr>
          <w:sz w:val="20"/>
          <w:szCs w:val="20"/>
          <w:color w:val="auto"/>
        </w:rPr>
      </w:pPr>
    </w:p>
    <w:p>
      <w:pPr>
        <w:ind w:left="700" w:hanging="26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80"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provided in Section 8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51"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2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6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ectPr>
          <w:pgSz w:w="11900" w:h="16838" w:orient="portrait"/>
          <w:cols w:equalWidth="0" w:num="1">
            <w:col w:w="10980"/>
          </w:cols>
          <w:pgMar w:left="440" w:top="270" w:right="479" w:bottom="1440" w:gutter="0" w:footer="0" w:header="0"/>
        </w:sectPr>
      </w:pPr>
    </w:p>
    <w:bookmarkStart w:id="62" w:name="page63"/>
    <w:bookmarkEnd w:id="62"/>
    <w:p>
      <w:pPr>
        <w:ind w:firstLine="1428"/>
        <w:spacing w:after="0" w:line="273" w:lineRule="auto"/>
        <w:tabs>
          <w:tab w:leader="none" w:pos="1677"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7" w:lineRule="exact"/>
        <w:rPr>
          <w:rFonts w:ascii="Arial" w:cs="Arial" w:eastAsia="Arial" w:hAnsi="Arial"/>
          <w:sz w:val="17"/>
          <w:szCs w:val="17"/>
          <w:color w:val="auto"/>
        </w:rPr>
      </w:pPr>
    </w:p>
    <w:p>
      <w:pPr>
        <w:ind w:right="40" w:firstLine="1428"/>
        <w:spacing w:after="0" w:line="288" w:lineRule="auto"/>
        <w:tabs>
          <w:tab w:leader="none" w:pos="1687"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right="60"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Non-U.S. Terms and Conditions</w:t>
      </w:r>
      <w:r>
        <w:rPr>
          <w:rFonts w:ascii="Arial" w:cs="Arial" w:eastAsia="Arial" w:hAnsi="Arial"/>
          <w:sz w:val="18"/>
          <w:szCs w:val="18"/>
          <w:color w:val="auto"/>
        </w:rPr>
        <w:t>.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ectPr>
          <w:pgSz w:w="11900" w:h="16838" w:orient="portrait"/>
          <w:cols w:equalWidth="0" w:num="1">
            <w:col w:w="11000"/>
          </w:cols>
          <w:pgMar w:left="440" w:top="274" w:right="459" w:bottom="1440" w:gutter="0" w:footer="0" w:header="0"/>
        </w:sectPr>
      </w:pPr>
    </w:p>
    <w:bookmarkStart w:id="63" w:name="page64"/>
    <w:bookmarkEnd w:id="63"/>
    <w:p>
      <w:pPr>
        <w:ind w:right="100" w:firstLine="99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51" w:lineRule="exact"/>
        <w:rPr>
          <w:sz w:val="20"/>
          <w:szCs w:val="20"/>
          <w:color w:val="auto"/>
        </w:rPr>
      </w:pPr>
    </w:p>
    <w:p>
      <w:pPr>
        <w:jc w:val="both"/>
        <w:ind w:firstLine="991"/>
        <w:spacing w:after="0" w:line="281"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b w:val="1"/>
          <w:bCs w:val="1"/>
          <w:color w:val="auto"/>
        </w:rPr>
        <w:t>Language.</w:t>
      </w:r>
      <w:r>
        <w:rPr>
          <w:rFonts w:ascii="Arial" w:cs="Arial" w:eastAsia="Arial" w:hAnsi="Arial"/>
          <w:sz w:val="17"/>
          <w:szCs w:val="17"/>
          <w:color w:val="auto"/>
        </w:rPr>
        <w:t xml:space="preserve"> 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5" w:lineRule="exact"/>
        <w:rPr>
          <w:sz w:val="20"/>
          <w:szCs w:val="20"/>
          <w:color w:val="auto"/>
        </w:rPr>
      </w:pPr>
    </w:p>
    <w:p>
      <w:pPr>
        <w:ind w:right="120" w:firstLine="991"/>
        <w:spacing w:after="0" w:line="274"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b w:val="1"/>
          <w:bCs w:val="1"/>
          <w:color w:val="auto"/>
        </w:rPr>
        <w:t>Insider Trading / Market Abuse Restrictions.</w:t>
      </w:r>
      <w:r>
        <w:rPr>
          <w:rFonts w:ascii="Arial" w:cs="Arial" w:eastAsia="Arial" w:hAnsi="Arial"/>
          <w:sz w:val="17"/>
          <w:szCs w:val="17"/>
          <w:color w:val="auto"/>
        </w:rPr>
        <w:t xml:space="preserve">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the laws in the Participant’s country). Any restrictions under these laws or regulations are separate from and in addition to any restrictions that may be imposed under the Company’s insider trading policy. The Participant is responsible for ensuring compliance with any applicable restrictions.</w:t>
      </w:r>
    </w:p>
    <w:p>
      <w:pPr>
        <w:spacing w:after="0" w:line="173"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b w:val="1"/>
          <w:bCs w:val="1"/>
          <w:color w:val="auto"/>
        </w:rPr>
        <w:t>Foreign Asset / Account Reporting and Exchange Control Requirements.</w:t>
      </w:r>
      <w:r>
        <w:rPr>
          <w:rFonts w:ascii="Arial" w:cs="Arial" w:eastAsia="Arial" w:hAnsi="Arial"/>
          <w:sz w:val="18"/>
          <w:szCs w:val="18"/>
          <w:color w:val="auto"/>
        </w:rPr>
        <w:t xml:space="preserve"> Certain foreign asset and/or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and/or within a certain time after receipt. The Participant is responsible for complying with any applicable regulations and should consult the Participant’s personal legal and tax advisors for any details.</w:t>
      </w:r>
    </w:p>
    <w:p>
      <w:pPr>
        <w:spacing w:after="0" w:line="189" w:lineRule="exact"/>
        <w:rPr>
          <w:sz w:val="20"/>
          <w:szCs w:val="20"/>
          <w:color w:val="auto"/>
        </w:rPr>
      </w:pPr>
    </w:p>
    <w:p>
      <w:pPr>
        <w:ind w:right="20" w:firstLine="991"/>
        <w:spacing w:after="0" w:line="312"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b w:val="1"/>
          <w:bCs w:val="1"/>
          <w:color w:val="auto"/>
        </w:rPr>
        <w:t>Waiver.</w:t>
      </w:r>
      <w:r>
        <w:rPr>
          <w:rFonts w:ascii="Arial" w:cs="Arial" w:eastAsia="Arial" w:hAnsi="Arial"/>
          <w:sz w:val="17"/>
          <w:szCs w:val="17"/>
          <w:color w:val="auto"/>
        </w:rPr>
        <w:t xml:space="preserve"> The Participant acknowledges that a waiver by the Company of breach of any provision of this Agreement shall not operate or be construed as a waiver of any other provision of this Agreement, or of any subsequent breach by you or any other participant.</w:t>
      </w:r>
    </w:p>
    <w:p>
      <w:pPr>
        <w:spacing w:after="0" w:line="140"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0980"/>
          </w:cols>
          <w:pgMar w:left="440" w:top="270" w:right="479" w:bottom="1440" w:gutter="0" w:footer="0" w:header="0"/>
        </w:sectPr>
      </w:pPr>
    </w:p>
    <w:bookmarkStart w:id="64" w:name="page65"/>
    <w:bookmarkEnd w:id="64"/>
    <w:p>
      <w:pPr>
        <w:ind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13.14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clawback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ectPr>
          <w:pgSz w:w="11900" w:h="16838" w:orient="portrait"/>
          <w:cols w:equalWidth="0" w:num="1">
            <w:col w:w="10860"/>
          </w:cols>
          <w:pgMar w:left="440" w:top="270" w:right="59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and/or in the Restricted Stock Units Agreement (the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Appendix, includes additional terms and conditions that govern the Restricted Stock Units granted to the Participant under the Plan if the Participant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grant of the Restricted Stock Units, the Company shall, in its discretion, determine to what extent the additional terms and conditions contained herein shall be applicable to the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Finally, if the Participant is a citizen or resident (or is considered as such for local law purposes) of a country other than the country in which the Participant is currently residing and/or working, or if the Participant relocates to another country after the grant of the Restricted Stock Units, the notifications contained herein may not be applicable to the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additional terms and conditions, as well as notifications, that apply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terms and conditions.</w:t>
      </w:r>
    </w:p>
    <w:p>
      <w:pPr>
        <w:sectPr>
          <w:pgSz w:w="11900" w:h="16838" w:orient="portrait"/>
          <w:cols w:equalWidth="0" w:num="1">
            <w:col w:w="10940"/>
          </w:cols>
          <w:pgMar w:left="440" w:top="270" w:right="51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Participant receives and owns the shares of the Company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inserted as a new Section 13.15 to the RSU Agreement:</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ectPr>
          <w:pgSz w:w="11900" w:h="16838" w:orient="portrait"/>
          <w:cols w:equalWidth="0" w:num="1">
            <w:col w:w="10960"/>
          </w:cols>
          <w:pgMar w:left="440" w:top="274" w:right="4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and the terms and conditions for the Participant’s country set forth therein are incorporated by reference into this Agreement. The Participant shall be entitled to Dividend Equivalent Rights with respect to the Award.</w:t>
      </w:r>
    </w:p>
    <w:p>
      <w:pPr>
        <w:spacing w:after="0" w:line="188"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620" w:hanging="184"/>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52"/>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117"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9.</w:t>
      </w:r>
    </w:p>
    <w:p>
      <w:pPr>
        <w:spacing w:after="0" w:line="58"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58" w:lineRule="exact"/>
        <w:rPr>
          <w:sz w:val="20"/>
          <w:szCs w:val="20"/>
          <w:color w:val="auto"/>
        </w:rPr>
      </w:pPr>
    </w:p>
    <w:p>
      <w:pPr>
        <w:ind w:left="620" w:hanging="1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8" w:name="page69"/>
    <w:bookmarkEnd w:id="6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Arial" w:cs="Arial" w:eastAsia="Arial" w:hAnsi="Arial"/>
          <w:sz w:val="18"/>
          <w:szCs w:val="18"/>
          <w:b w:val="1"/>
          <w:bCs w:val="1"/>
          <w:color w:val="auto"/>
        </w:rPr>
        <w:t>Service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left="4" w:right="100" w:firstLine="1428"/>
        <w:spacing w:after="0" w:line="257" w:lineRule="auto"/>
        <w:tabs>
          <w:tab w:leader="none" w:pos="16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79" w:lineRule="exact"/>
        <w:rPr>
          <w:rFonts w:ascii="Arial" w:cs="Arial" w:eastAsia="Arial" w:hAnsi="Arial"/>
          <w:sz w:val="18"/>
          <w:szCs w:val="18"/>
          <w:color w:val="auto"/>
        </w:rPr>
      </w:pPr>
    </w:p>
    <w:p>
      <w:pPr>
        <w:ind w:left="4" w:firstLine="1428"/>
        <w:spacing w:after="0" w:line="283" w:lineRule="auto"/>
        <w:tabs>
          <w:tab w:leader="none" w:pos="16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Participant’s employment or service is terminated by the Participating Company to which the Participant renders Service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without Cause or if the Participant resigns for Good Reason, in each case not in connection with a CIC Qualified Termination (as each capitalized term is defined in the Participant’s employment, consulting or other service contract, which remains in effect at the time such term requires application, with the Participating Company) and prior to full settlement of the Award, the Participant will remain eligible to vest with respect to a pro rata portion of the next tranche of the Units scheduled to vest pursuant to the Grant Notice applicable to such Award. The pro rata portion will be determined by multiplying the number of shares underlying such tranche of the Award by a fraction, (x) the numerator of which is the number of full months (without any rounding) from the Prior Vesting Date (as defined below) to the date of such termination and (y) the denominator of which is the number of full months from the Prior Vesting Date to the next vesting date. All Awards in excess of the pro rata portion thereof that remains outstanding in accordance with the immediately preceding sentence shall immediately be forfeited and cancelled, and the Participant shall not be entitled to any compensation or other amount with respect thereto. “</w:t>
      </w:r>
      <w:r>
        <w:rPr>
          <w:rFonts w:ascii="Arial" w:cs="Arial" w:eastAsia="Arial" w:hAnsi="Arial"/>
          <w:sz w:val="16"/>
          <w:szCs w:val="16"/>
          <w:b w:val="1"/>
          <w:bCs w:val="1"/>
          <w:i w:val="1"/>
          <w:iCs w:val="1"/>
          <w:color w:val="auto"/>
        </w:rPr>
        <w:t>Prior Vesting Date</w:t>
      </w:r>
      <w:r>
        <w:rPr>
          <w:rFonts w:ascii="Arial" w:cs="Arial" w:eastAsia="Arial" w:hAnsi="Arial"/>
          <w:sz w:val="16"/>
          <w:szCs w:val="16"/>
          <w:color w:val="auto"/>
        </w:rPr>
        <w:t>” means</w:t>
      </w:r>
    </w:p>
    <w:p>
      <w:pPr>
        <w:spacing w:after="0" w:line="4" w:lineRule="exact"/>
        <w:rPr>
          <w:rFonts w:ascii="Arial" w:cs="Arial" w:eastAsia="Arial" w:hAnsi="Arial"/>
          <w:sz w:val="16"/>
          <w:szCs w:val="16"/>
          <w:color w:val="auto"/>
        </w:rPr>
      </w:pPr>
    </w:p>
    <w:p>
      <w:pPr>
        <w:ind w:left="4" w:right="280" w:hanging="4"/>
        <w:spacing w:after="0" w:line="260"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vesting date immediately preceding the date of such termination or (2) if no such vesting date exists, then the date that is 364 days prior to the next vesting date.</w:t>
      </w:r>
    </w:p>
    <w:p>
      <w:pPr>
        <w:spacing w:after="0" w:line="77" w:lineRule="exact"/>
        <w:rPr>
          <w:rFonts w:ascii="Arial" w:cs="Arial" w:eastAsia="Arial" w:hAnsi="Arial"/>
          <w:sz w:val="18"/>
          <w:szCs w:val="18"/>
          <w:color w:val="auto"/>
        </w:rPr>
      </w:pPr>
    </w:p>
    <w:p>
      <w:pPr>
        <w:ind w:left="1684" w:hanging="252"/>
        <w:spacing w:after="0"/>
        <w:tabs>
          <w:tab w:leader="none" w:pos="16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unvested Units will fully vest on the date of such termination.</w:t>
      </w:r>
    </w:p>
    <w:p>
      <w:pPr>
        <w:spacing w:after="0" w:line="117" w:lineRule="exact"/>
        <w:rPr>
          <w:rFonts w:ascii="Arial" w:cs="Arial" w:eastAsia="Arial" w:hAnsi="Arial"/>
          <w:sz w:val="18"/>
          <w:szCs w:val="18"/>
          <w:color w:val="auto"/>
        </w:rPr>
      </w:pPr>
    </w:p>
    <w:p>
      <w:pPr>
        <w:jc w:val="both"/>
        <w:ind w:left="4" w:firstLine="1428"/>
        <w:spacing w:after="0" w:line="263" w:lineRule="auto"/>
        <w:tabs>
          <w:tab w:leader="none" w:pos="1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spacing w:after="0" w:line="75" w:lineRule="exact"/>
        <w:rPr>
          <w:rFonts w:ascii="Arial" w:cs="Arial" w:eastAsia="Arial" w:hAnsi="Arial"/>
          <w:sz w:val="18"/>
          <w:szCs w:val="18"/>
          <w:color w:val="auto"/>
        </w:rPr>
      </w:pPr>
    </w:p>
    <w:p>
      <w:pPr>
        <w:ind w:left="4" w:right="100" w:firstLine="1428"/>
        <w:spacing w:after="0" w:line="277" w:lineRule="auto"/>
        <w:tabs>
          <w:tab w:leader="none" w:pos="16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62" w:lineRule="exact"/>
        <w:rPr>
          <w:rFonts w:ascii="Arial" w:cs="Arial" w:eastAsia="Arial" w:hAnsi="Arial"/>
          <w:sz w:val="18"/>
          <w:szCs w:val="18"/>
          <w:color w:val="auto"/>
        </w:rPr>
      </w:pPr>
    </w:p>
    <w:p>
      <w:pPr>
        <w:ind w:left="4" w:right="200" w:firstLine="1428"/>
        <w:spacing w:after="0" w:line="277" w:lineRule="auto"/>
        <w:tabs>
          <w:tab w:leader="none" w:pos="16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69" w:name="page70"/>
    <w:bookmarkEnd w:id="69"/>
    <w:p>
      <w:pPr>
        <w:ind w:firstLine="1428"/>
        <w:spacing w:after="0" w:line="263" w:lineRule="auto"/>
        <w:tabs>
          <w:tab w:leader="none" w:pos="1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5" w:lineRule="exact"/>
        <w:rPr>
          <w:rFonts w:ascii="Arial" w:cs="Arial" w:eastAsia="Arial" w:hAnsi="Arial"/>
          <w:sz w:val="18"/>
          <w:szCs w:val="18"/>
          <w:color w:val="auto"/>
        </w:rPr>
      </w:pPr>
    </w:p>
    <w:p>
      <w:pPr>
        <w:ind w:left="1640" w:hanging="212"/>
        <w:spacing w:after="0"/>
        <w:tabs>
          <w:tab w:leader="none" w:pos="1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17" w:lineRule="exact"/>
        <w:rPr>
          <w:rFonts w:ascii="Arial" w:cs="Arial" w:eastAsia="Arial" w:hAnsi="Arial"/>
          <w:sz w:val="18"/>
          <w:szCs w:val="18"/>
          <w:color w:val="auto"/>
        </w:rPr>
      </w:pPr>
    </w:p>
    <w:p>
      <w:pPr>
        <w:jc w:val="both"/>
        <w:ind w:firstLine="1428"/>
        <w:spacing w:after="0" w:line="263" w:lineRule="auto"/>
        <w:tabs>
          <w:tab w:leader="none" w:pos="1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spacing w:after="0" w:line="75" w:lineRule="exact"/>
        <w:rPr>
          <w:rFonts w:ascii="Arial" w:cs="Arial" w:eastAsia="Arial" w:hAnsi="Arial"/>
          <w:sz w:val="18"/>
          <w:szCs w:val="18"/>
          <w:color w:val="auto"/>
        </w:rPr>
      </w:pPr>
    </w:p>
    <w:p>
      <w:pPr>
        <w:ind w:right="220" w:firstLine="1428"/>
        <w:spacing w:after="0" w:line="263" w:lineRule="auto"/>
        <w:tabs>
          <w:tab w:leader="none" w:pos="1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spacing w:after="0" w:line="75" w:lineRule="exact"/>
        <w:rPr>
          <w:rFonts w:ascii="Arial" w:cs="Arial" w:eastAsia="Arial" w:hAnsi="Arial"/>
          <w:sz w:val="18"/>
          <w:szCs w:val="18"/>
          <w:color w:val="auto"/>
        </w:rPr>
      </w:pPr>
    </w:p>
    <w:p>
      <w:pPr>
        <w:ind w:right="20" w:firstLine="1428"/>
        <w:spacing w:after="0" w:line="277" w:lineRule="auto"/>
        <w:tabs>
          <w:tab w:leader="none" w:pos="1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the Participant does not provide Service to the Participating Company, the Award grant will not be interpreted to form an employment, consulting or other service contract or relationship with the Participating Company.</w:t>
      </w:r>
    </w:p>
    <w:p>
      <w:pPr>
        <w:spacing w:after="0" w:line="62" w:lineRule="exact"/>
        <w:rPr>
          <w:rFonts w:ascii="Arial" w:cs="Arial" w:eastAsia="Arial" w:hAnsi="Arial"/>
          <w:sz w:val="18"/>
          <w:szCs w:val="18"/>
          <w:color w:val="auto"/>
        </w:rPr>
      </w:pPr>
    </w:p>
    <w:p>
      <w:pPr>
        <w:ind w:right="240" w:firstLine="1428"/>
        <w:spacing w:after="0" w:line="277" w:lineRule="auto"/>
        <w:tabs>
          <w:tab w:leader="none" w:pos="17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right="100" w:firstLine="1428"/>
        <w:spacing w:after="0" w:line="296" w:lineRule="auto"/>
        <w:tabs>
          <w:tab w:leader="none" w:pos="16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53" w:lineRule="exact"/>
        <w:rPr>
          <w:rFonts w:ascii="Arial" w:cs="Arial" w:eastAsia="Arial" w:hAnsi="Arial"/>
          <w:sz w:val="16"/>
          <w:szCs w:val="16"/>
          <w:color w:val="auto"/>
        </w:rPr>
      </w:pPr>
    </w:p>
    <w:p>
      <w:pPr>
        <w:jc w:val="both"/>
        <w:ind w:right="320" w:firstLine="1428"/>
        <w:spacing w:after="0" w:line="263" w:lineRule="auto"/>
        <w:tabs>
          <w:tab w:leader="none" w:pos="1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p>
    <w:p>
      <w:pPr>
        <w:spacing w:after="0" w:line="117" w:lineRule="exact"/>
        <w:rPr>
          <w:sz w:val="20"/>
          <w:szCs w:val="20"/>
          <w:color w:val="auto"/>
        </w:rPr>
      </w:pPr>
    </w:p>
    <w:p>
      <w:pPr>
        <w:jc w:val="both"/>
        <w:ind w:firstLine="143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IN</w:t>
      </w:r>
      <w:r>
        <w:rPr>
          <w:rFonts w:ascii="Arial" w:cs="Arial" w:eastAsia="Arial" w:hAnsi="Arial"/>
          <w:sz w:val="18"/>
          <w:szCs w:val="18"/>
          <w:color w:val="auto"/>
        </w:rPr>
        <w:t xml:space="preserve"> </w:t>
      </w:r>
      <w:r>
        <w:rPr>
          <w:rFonts w:ascii="Arial" w:cs="Arial" w:eastAsia="Arial" w:hAnsi="Arial"/>
          <w:sz w:val="14"/>
          <w:szCs w:val="14"/>
          <w:b w:val="1"/>
          <w:bCs w:val="1"/>
          <w:color w:val="auto"/>
        </w:rPr>
        <w:t>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70" w:name="page71"/>
    <w:bookmarkEnd w:id="70"/>
    <w:p>
      <w:pPr>
        <w:ind w:right="180" w:firstLine="1432"/>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4"/>
          <w:szCs w:val="14"/>
          <w:color w:val="auto"/>
        </w:rPr>
        <w:t>B</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ARTICIPATING</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4"/>
          <w:szCs w:val="14"/>
          <w:b w:val="1"/>
          <w:bCs w:val="1"/>
          <w:color w:val="auto"/>
        </w:rPr>
        <w:t>ROUP HOLDS CERTAIN PERSONAL</w:t>
      </w:r>
      <w:r>
        <w:rPr>
          <w:rFonts w:ascii="Arial" w:cs="Arial" w:eastAsia="Arial" w:hAnsi="Arial"/>
          <w:sz w:val="18"/>
          <w:szCs w:val="18"/>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SECURITY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FAVOR </w:t>
      </w:r>
      <w:r>
        <w:rPr>
          <w:rFonts w:ascii="Arial" w:cs="Arial" w:eastAsia="Arial" w:hAnsi="Arial"/>
          <w:sz w:val="17"/>
          <w:szCs w:val="17"/>
          <w:b w:val="1"/>
          <w:bCs w:val="1"/>
          <w:color w:val="auto"/>
        </w:rPr>
        <w:t>(</w:t>
      </w:r>
      <w:r>
        <w:rPr>
          <w:rFonts w:ascii="Arial" w:cs="Arial" w:eastAsia="Arial" w:hAnsi="Arial"/>
          <w:sz w:val="14"/>
          <w:szCs w:val="14"/>
          <w:b w:val="1"/>
          <w:bCs w:val="1"/>
          <w:color w:val="auto"/>
        </w:rPr>
        <w:t>COLLECTIVELY</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D</w:t>
      </w:r>
      <w:r>
        <w:rPr>
          <w:rFonts w:ascii="Arial" w:cs="Arial" w:eastAsia="Arial" w:hAnsi="Arial"/>
          <w:sz w:val="14"/>
          <w:szCs w:val="14"/>
          <w:b w:val="1"/>
          <w:bCs w:val="1"/>
          <w:i w:val="1"/>
          <w:i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AND THAT THE 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w:t>
      </w:r>
    </w:p>
    <w:p>
      <w:pPr>
        <w:spacing w:after="0" w:line="286" w:lineRule="exact"/>
        <w:rPr>
          <w:sz w:val="20"/>
          <w:szCs w:val="20"/>
          <w:color w:val="auto"/>
        </w:rPr>
      </w:pPr>
    </w:p>
    <w:p>
      <w:pPr>
        <w:ind w:firstLine="1428"/>
        <w:spacing w:after="0" w:line="267" w:lineRule="auto"/>
        <w:tabs>
          <w:tab w:leader="none" w:pos="1717"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HE OR SHE MAY REQUEST A LIST WITH THE NAMES AND ADDRESSES OF ANY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POTENTIAL RECIPIENTS OF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184" w:lineRule="exact"/>
        <w:rPr>
          <w:rFonts w:ascii="Arial" w:cs="Arial" w:eastAsia="Arial" w:hAnsi="Arial"/>
          <w:sz w:val="18"/>
          <w:szCs w:val="18"/>
          <w:color w:val="auto"/>
        </w:rPr>
      </w:pPr>
    </w:p>
    <w:p>
      <w:pPr>
        <w:ind w:left="620" w:hanging="18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71" w:name="page72"/>
    <w:bookmarkEnd w:id="71"/>
    <w:p>
      <w:pPr>
        <w:ind w:left="620" w:hanging="184"/>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2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the Units set forth in the Grant Notice, subject to adjustment as provided in Section 4.3 and Section 9. Subject to the terms and conditions set forth in the Grant Notice, this Agreement and the Plan, each Unit represents a right to receive on a date determined in accordance with the Grant Notice and this Agreement one (1) share of Stock.</w:t>
      </w:r>
    </w:p>
    <w:p>
      <w:pPr>
        <w:spacing w:after="0" w:line="72"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w:t>
      </w:r>
    </w:p>
    <w:p>
      <w:pPr>
        <w:spacing w:after="0" w:line="5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spacing w:after="0" w:line="172" w:lineRule="exact"/>
        <w:rPr>
          <w:sz w:val="20"/>
          <w:szCs w:val="20"/>
          <w:color w:val="auto"/>
        </w:rPr>
      </w:pPr>
    </w:p>
    <w:p>
      <w:pPr>
        <w:ind w:left="620" w:hanging="184"/>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Units acquired pursuant to this Agreement shall become Vested Units as provided in the Grant Notice. Dividend Equivalent Units shall become Vested Units at the same time as the Units originally subject to the Award with respect to which they have been credited.</w:t>
      </w:r>
    </w:p>
    <w:p>
      <w:pPr>
        <w:spacing w:after="0" w:line="166" w:lineRule="exact"/>
        <w:rPr>
          <w:sz w:val="20"/>
          <w:szCs w:val="20"/>
          <w:color w:val="auto"/>
        </w:rPr>
      </w:pPr>
    </w:p>
    <w:p>
      <w:pPr>
        <w:ind w:left="620" w:hanging="184"/>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p>
    <w:p>
      <w:pPr>
        <w:spacing w:after="0" w:line="180" w:lineRule="exact"/>
        <w:rPr>
          <w:sz w:val="20"/>
          <w:szCs w:val="20"/>
          <w:color w:val="auto"/>
        </w:rPr>
      </w:pPr>
    </w:p>
    <w:p>
      <w:pPr>
        <w:ind w:left="620" w:hanging="184"/>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91"/>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”)(but in no event later than March 15th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72" w:name="page73"/>
    <w:bookmarkEnd w:id="72"/>
    <w:p>
      <w:pPr>
        <w:jc w:val="both"/>
        <w:ind w:firstLine="991"/>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225" w:lineRule="exact"/>
        <w:rPr>
          <w:sz w:val="20"/>
          <w:szCs w:val="20"/>
          <w:color w:val="auto"/>
        </w:rPr>
      </w:pPr>
    </w:p>
    <w:p>
      <w:pPr>
        <w:ind w:left="620" w:hanging="184"/>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Service Recipient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73" w:name="page74"/>
    <w:bookmarkEnd w:id="73"/>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may refuse to deliver the shares if the Participant fails to comply with the Participant’s obligations in connection with Tax-Related Items.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advisor regarding the Participant’s tax obligations prior to such settlement or disposition.</w:t>
      </w:r>
    </w:p>
    <w:p>
      <w:pPr>
        <w:spacing w:after="0" w:line="166" w:lineRule="exact"/>
        <w:rPr>
          <w:sz w:val="20"/>
          <w:szCs w:val="20"/>
          <w:color w:val="auto"/>
        </w:rPr>
      </w:pPr>
    </w:p>
    <w:p>
      <w:pPr>
        <w:ind w:left="620" w:hanging="184"/>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4" w:name="page75"/>
    <w:bookmarkEnd w:id="74"/>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74" w:lineRule="exact"/>
        <w:rPr>
          <w:sz w:val="20"/>
          <w:szCs w:val="20"/>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9.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spacing w:after="0" w:line="188" w:lineRule="exact"/>
        <w:rPr>
          <w:sz w:val="20"/>
          <w:szCs w:val="20"/>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700" w:hanging="26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set forth in Section 9 or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65"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5" w:name="page76"/>
    <w:bookmarkEnd w:id="75"/>
    <w:p>
      <w:pPr>
        <w:ind w:right="6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54"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69" w:lineRule="exact"/>
        <w:rPr>
          <w:sz w:val="20"/>
          <w:szCs w:val="20"/>
          <w:color w:val="auto"/>
        </w:rPr>
      </w:pPr>
    </w:p>
    <w:p>
      <w:pPr>
        <w:ind w:firstLine="1428"/>
        <w:spacing w:after="0" w:line="273" w:lineRule="auto"/>
        <w:tabs>
          <w:tab w:leader="none" w:pos="1677"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69" w:lineRule="exact"/>
        <w:rPr>
          <w:rFonts w:ascii="Arial" w:cs="Arial" w:eastAsia="Arial" w:hAnsi="Arial"/>
          <w:sz w:val="17"/>
          <w:szCs w:val="17"/>
          <w:color w:val="auto"/>
        </w:rPr>
      </w:pPr>
    </w:p>
    <w:p>
      <w:pPr>
        <w:ind w:right="20" w:firstLine="1428"/>
        <w:spacing w:after="0" w:line="288" w:lineRule="auto"/>
        <w:tabs>
          <w:tab w:leader="none" w:pos="1687"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12.5(a)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76" w:name="page77"/>
    <w:bookmarkEnd w:id="76"/>
    <w:p>
      <w:pPr>
        <w:ind w:right="4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75"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79" w:lineRule="exact"/>
        <w:rPr>
          <w:sz w:val="20"/>
          <w:szCs w:val="20"/>
          <w:color w:val="auto"/>
        </w:rPr>
      </w:pPr>
    </w:p>
    <w:p>
      <w:pPr>
        <w:ind w:right="120" w:firstLine="991"/>
        <w:spacing w:after="0" w:line="303"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3" w:lineRule="exact"/>
        <w:rPr>
          <w:sz w:val="20"/>
          <w:szCs w:val="20"/>
          <w:color w:val="auto"/>
        </w:rPr>
      </w:pPr>
    </w:p>
    <w:p>
      <w:pPr>
        <w:jc w:val="both"/>
        <w:ind w:right="20" w:firstLine="991"/>
        <w:spacing w:after="0" w:line="281"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b w:val="1"/>
          <w:bCs w:val="1"/>
          <w:color w:val="auto"/>
        </w:rPr>
        <w:t>Language.</w:t>
      </w:r>
      <w:r>
        <w:rPr>
          <w:rFonts w:ascii="Arial" w:cs="Arial" w:eastAsia="Arial" w:hAnsi="Arial"/>
          <w:sz w:val="17"/>
          <w:szCs w:val="17"/>
          <w:color w:val="auto"/>
        </w:rPr>
        <w:t xml:space="preserve"> 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57" w:lineRule="exact"/>
        <w:rPr>
          <w:sz w:val="20"/>
          <w:szCs w:val="20"/>
          <w:color w:val="auto"/>
        </w:rPr>
      </w:pPr>
    </w:p>
    <w:p>
      <w:pPr>
        <w:ind w:right="120" w:firstLine="991"/>
        <w:spacing w:after="0" w:line="274"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b w:val="1"/>
          <w:bCs w:val="1"/>
          <w:color w:val="auto"/>
        </w:rPr>
        <w:t>Insider Trading / Market Abuse Restrictions.</w:t>
      </w:r>
      <w:r>
        <w:rPr>
          <w:rFonts w:ascii="Arial" w:cs="Arial" w:eastAsia="Arial" w:hAnsi="Arial"/>
          <w:sz w:val="17"/>
          <w:szCs w:val="17"/>
          <w:color w:val="auto"/>
        </w:rPr>
        <w:t xml:space="preserve">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77" w:name="page78"/>
    <w:bookmarkEnd w:id="77"/>
    <w:p>
      <w:pPr>
        <w:ind w:firstLine="991"/>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12.11 </w:t>
      </w:r>
      <w:r>
        <w:rPr>
          <w:rFonts w:ascii="Arial" w:cs="Arial" w:eastAsia="Arial" w:hAnsi="Arial"/>
          <w:sz w:val="16"/>
          <w:szCs w:val="16"/>
          <w:b w:val="1"/>
          <w:bCs w:val="1"/>
          <w:color w:val="auto"/>
        </w:rPr>
        <w:t>Foreign Asset and Account Reporting and Exchange Control Requirements.</w:t>
      </w:r>
      <w:r>
        <w:rPr>
          <w:rFonts w:ascii="Arial" w:cs="Arial" w:eastAsia="Arial" w:hAnsi="Arial"/>
          <w:sz w:val="16"/>
          <w:szCs w:val="16"/>
          <w:color w:val="auto"/>
        </w:rPr>
        <w:t xml:space="preserve">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spacing w:after="0" w:line="52" w:lineRule="exact"/>
        <w:rPr>
          <w:sz w:val="20"/>
          <w:szCs w:val="20"/>
          <w:color w:val="auto"/>
        </w:rPr>
      </w:pPr>
    </w:p>
    <w:p>
      <w:pPr>
        <w:ind w:right="520" w:firstLine="991"/>
        <w:spacing w:after="0" w:line="347"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b w:val="1"/>
          <w:bCs w:val="1"/>
          <w:color w:val="auto"/>
        </w:rPr>
        <w:t>Waiver.</w:t>
      </w:r>
      <w:r>
        <w:rPr>
          <w:rFonts w:ascii="Arial" w:cs="Arial" w:eastAsia="Arial" w:hAnsi="Arial"/>
          <w:sz w:val="16"/>
          <w:szCs w:val="16"/>
          <w:color w:val="auto"/>
        </w:rPr>
        <w:t xml:space="preserve"> The Participant acknowledges that a waiver by the Company of breach of any provision of this Agreement by the Participant shall not operate or be construed as a waiver of any other provision of this Agreement, or of any subsequent breach by the Participant.</w:t>
      </w:r>
    </w:p>
    <w:p>
      <w:pPr>
        <w:spacing w:after="0" w:line="8"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Company’s Clawback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 the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additional terms and conditions, as well as notifications, that apply to Korea and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0" w:right="51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country-specific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paragraph is inserted as a new Section 12.15 to the Agreement:</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UNITS AGREEMENT</w:t>
      </w:r>
    </w:p>
    <w:p>
      <w:pPr>
        <w:spacing w:after="0" w:line="21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Magnachip Semiconductor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has granted to the Participant named in the Notice of Grant of Performance-Based Restricted Stock Units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to which this Performance-Based Restricted Stock Units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attached an Award consisting of Restricted Stock Units subject to the terms and conditions set forth in the Grant Notice and this Agreement.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and the terms and conditions for the Participant’s country set forth therein are incorporated by reference into this Agreement. The Participant shall be entitled to Dividend Equivalent Rights with respect to the Award.</w:t>
      </w:r>
    </w:p>
    <w:p>
      <w:pPr>
        <w:spacing w:after="0" w:line="17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00"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52"/>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117"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58"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85" w:lineRule="exact"/>
        <w:rPr>
          <w:sz w:val="20"/>
          <w:szCs w:val="20"/>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1" w:name="page82"/>
    <w:bookmarkEnd w:id="81"/>
    <w:p>
      <w:pPr>
        <w:ind w:lef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Arial" w:cs="Arial" w:eastAsia="Arial" w:hAnsi="Arial"/>
          <w:sz w:val="18"/>
          <w:szCs w:val="18"/>
          <w:b w:val="1"/>
          <w:bCs w:val="1"/>
          <w:color w:val="auto"/>
        </w:rPr>
        <w:t>Service Conditions.</w:t>
      </w:r>
      <w:r>
        <w:rPr>
          <w:rFonts w:ascii="Arial" w:cs="Arial" w:eastAsia="Arial" w:hAnsi="Arial"/>
          <w:sz w:val="18"/>
          <w:szCs w:val="18"/>
          <w:color w:val="auto"/>
        </w:rPr>
        <w:t xml:space="preserve"> By accepting the Award, the Participant acknowledges and agrees that:</w:t>
      </w:r>
    </w:p>
    <w:p>
      <w:pPr>
        <w:spacing w:after="0" w:line="229" w:lineRule="exact"/>
        <w:rPr>
          <w:sz w:val="20"/>
          <w:szCs w:val="20"/>
          <w:color w:val="auto"/>
        </w:rPr>
      </w:pPr>
    </w:p>
    <w:p>
      <w:pPr>
        <w:ind w:left="-780" w:right="100" w:firstLine="1428"/>
        <w:spacing w:after="0" w:line="257" w:lineRule="auto"/>
        <w:tabs>
          <w:tab w:leader="none" w:pos="8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left="-780" w:firstLine="1428"/>
        <w:spacing w:after="0" w:line="269" w:lineRule="auto"/>
        <w:tabs>
          <w:tab w:leader="none" w:pos="9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Participant’s employment or service is terminated by the Participating Company to which the Participant renders Service (the “</w:t>
      </w:r>
      <w:r>
        <w:rPr>
          <w:rFonts w:ascii="Arial" w:cs="Arial" w:eastAsia="Arial" w:hAnsi="Arial"/>
          <w:sz w:val="17"/>
          <w:szCs w:val="17"/>
          <w:b w:val="1"/>
          <w:bCs w:val="1"/>
          <w:i w:val="1"/>
          <w:iCs w:val="1"/>
          <w:color w:val="auto"/>
        </w:rPr>
        <w:t>Service Recipient</w:t>
      </w:r>
      <w:r>
        <w:rPr>
          <w:rFonts w:ascii="Arial" w:cs="Arial" w:eastAsia="Arial" w:hAnsi="Arial"/>
          <w:sz w:val="17"/>
          <w:szCs w:val="17"/>
          <w:color w:val="auto"/>
        </w:rPr>
        <w:t>”) without Cause or if the Participant resigns for Good Reason, in each case not in connection with a CIC Qualified Termination (as each capitalized term is defined in the Participant’s employment, consulting or other service contract) prior to full settlement of the Award, the Participant will remain eligible to vest (determined in accordance with the terms set forth in the Grant Notice) in a pro rata portion (which may be the entirety) of the Certified Restricted Stock Units or the Certified Make-Whole Units (each as defined below). “</w:t>
      </w:r>
      <w:r>
        <w:rPr>
          <w:rFonts w:ascii="Arial" w:cs="Arial" w:eastAsia="Arial" w:hAnsi="Arial"/>
          <w:sz w:val="17"/>
          <w:szCs w:val="17"/>
          <w:b w:val="1"/>
          <w:bCs w:val="1"/>
          <w:i w:val="1"/>
          <w:iCs w:val="1"/>
          <w:color w:val="auto"/>
        </w:rPr>
        <w:t>Certified Restricted Stock Units</w:t>
      </w:r>
      <w:r>
        <w:rPr>
          <w:rFonts w:ascii="Arial" w:cs="Arial" w:eastAsia="Arial" w:hAnsi="Arial"/>
          <w:sz w:val="17"/>
          <w:szCs w:val="17"/>
          <w:color w:val="auto"/>
        </w:rPr>
        <w:t>” means the Restricted Stock Units eligible to vest, as determined on the Certification Date following the end of the Performance Period based on actual Company performance. “</w:t>
      </w:r>
      <w:r>
        <w:rPr>
          <w:rFonts w:ascii="Arial" w:cs="Arial" w:eastAsia="Arial" w:hAnsi="Arial"/>
          <w:sz w:val="17"/>
          <w:szCs w:val="17"/>
          <w:b w:val="1"/>
          <w:bCs w:val="1"/>
          <w:i w:val="1"/>
          <w:iCs w:val="1"/>
          <w:color w:val="auto"/>
        </w:rPr>
        <w:t>Certified Make-Whole Units</w:t>
      </w:r>
      <w:r>
        <w:rPr>
          <w:rFonts w:ascii="Arial" w:cs="Arial" w:eastAsia="Arial" w:hAnsi="Arial"/>
          <w:sz w:val="17"/>
          <w:szCs w:val="17"/>
          <w:color w:val="auto"/>
        </w:rPr>
        <w:t>” means the Make-Whole Units (as defined in the Grant Notice) eligible to vest, as determined on the Certification Date following the end of the Performance Period based on actual Company performance. For purposes of this Section 2.2(b), the pro rata portion (which may be the entirety) of the Certified Restricted Stock Units or the Certified Make-Whole Units, as the case may be, shall be determined as set forth in the below table:</w:t>
      </w:r>
    </w:p>
    <w:p>
      <w:pPr>
        <w:sectPr>
          <w:pgSz w:w="11900" w:h="16838" w:orient="portrait"/>
          <w:cols w:equalWidth="0" w:num="1">
            <w:col w:w="10220"/>
          </w:cols>
          <w:pgMar w:left="1220" w:top="270" w:right="459" w:bottom="1440" w:gutter="0" w:footer="0" w:header="0"/>
        </w:sectPr>
      </w:pPr>
    </w:p>
    <w:p>
      <w:pPr>
        <w:spacing w:after="0" w:line="212" w:lineRule="exact"/>
        <w:rPr>
          <w:sz w:val="20"/>
          <w:szCs w:val="20"/>
          <w:color w:val="auto"/>
        </w:rPr>
      </w:pPr>
    </w:p>
    <w:p>
      <w:pPr>
        <w:ind w:hanging="782"/>
        <w:spacing w:after="0" w:line="277" w:lineRule="auto"/>
        <w:rPr>
          <w:sz w:val="20"/>
          <w:szCs w:val="20"/>
          <w:color w:val="auto"/>
        </w:rPr>
      </w:pPr>
      <w:r>
        <w:rPr>
          <w:rFonts w:ascii="Arial" w:cs="Arial" w:eastAsia="Arial" w:hAnsi="Arial"/>
          <w:sz w:val="18"/>
          <w:szCs w:val="18"/>
          <w:color w:val="auto"/>
        </w:rPr>
        <w:t>Case 1</w:t>
      </w:r>
      <w:r>
        <w:rPr>
          <w:sz w:val="20"/>
          <w:szCs w:val="20"/>
          <w:color w:val="auto"/>
        </w:rPr>
        <w:t xml:space="preserve"> </w:t>
      </w:r>
      <w:r>
        <w:rPr>
          <w:rFonts w:ascii="Arial" w:cs="Arial" w:eastAsia="Arial" w:hAnsi="Arial"/>
          <w:sz w:val="18"/>
          <w:szCs w:val="18"/>
          <w:color w:val="auto"/>
        </w:rPr>
        <w:t>Termination of Service occurs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hanging="782"/>
        <w:spacing w:after="0" w:line="263" w:lineRule="auto"/>
        <w:rPr>
          <w:sz w:val="20"/>
          <w:szCs w:val="20"/>
          <w:color w:val="auto"/>
        </w:rPr>
      </w:pPr>
      <w:r>
        <w:rPr>
          <w:rFonts w:ascii="Arial" w:cs="Arial" w:eastAsia="Arial" w:hAnsi="Arial"/>
          <w:sz w:val="18"/>
          <w:szCs w:val="18"/>
          <w:color w:val="auto"/>
        </w:rPr>
        <w:t>Case 2</w:t>
      </w:r>
      <w:r>
        <w:rPr>
          <w:sz w:val="20"/>
          <w:szCs w:val="20"/>
          <w:color w:val="auto"/>
        </w:rPr>
        <w:t xml:space="preserve"> </w:t>
      </w:r>
      <w:r>
        <w:rPr>
          <w:rFonts w:ascii="Arial" w:cs="Arial" w:eastAsia="Arial" w:hAnsi="Arial"/>
          <w:sz w:val="18"/>
          <w:szCs w:val="18"/>
          <w:color w:val="auto"/>
        </w:rPr>
        <w:t>Termination of Service occurs after the Performance Period but before the Certification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product calculated by multiplying (a) the total number of Certified Restricted Stock Units by (b) a fraction, (x) the numerator of which is the number of full months (without any rounding) of continuous Service that the Participant provided during the Performance Period and (y) the denominator of which is 12, multiplied by one-third (1/3).</w:t>
      </w:r>
    </w:p>
    <w:p>
      <w:pPr>
        <w:spacing w:after="0" w:line="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For Make-Whole Units</w:t>
      </w:r>
      <w:r>
        <w:rPr>
          <w:rFonts w:ascii="Arial" w:cs="Arial" w:eastAsia="Arial" w:hAnsi="Arial"/>
          <w:sz w:val="17"/>
          <w:szCs w:val="17"/>
          <w:color w:val="auto"/>
        </w:rPr>
        <w:t>: The product calculated by multiplying (a) the total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Certified Make-Whole Units by (b) a fraction, (x) the numerator of which is the number of full months (without any rounding) of continuous Service that the Participant provided during the Performance Period and (y) the denominator of which is 12.</w:t>
      </w:r>
    </w:p>
    <w:p>
      <w:pPr>
        <w:spacing w:after="0" w:line="9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sum calculated by adding (a) the product of the total number of Certified Restricted Stock Units multiplied by one-third (1/3) (such product, “</w:t>
      </w:r>
      <w:r>
        <w:rPr>
          <w:rFonts w:ascii="Arial" w:cs="Arial" w:eastAsia="Arial" w:hAnsi="Arial"/>
          <w:sz w:val="16"/>
          <w:szCs w:val="16"/>
          <w:b w:val="1"/>
          <w:bCs w:val="1"/>
          <w:i w:val="1"/>
          <w:iCs w:val="1"/>
          <w:color w:val="auto"/>
        </w:rPr>
        <w:t>One Year’s RSUs</w:t>
      </w:r>
      <w:r>
        <w:rPr>
          <w:rFonts w:ascii="Arial" w:cs="Arial" w:eastAsia="Arial" w:hAnsi="Arial"/>
          <w:sz w:val="16"/>
          <w:szCs w:val="16"/>
          <w:color w:val="auto"/>
        </w:rPr>
        <w:t>”) and (b) the product of One Year’s RSUs multiplied by a fraction, (x) the numerator of which is the number of full months (without any rounding) of continuous Service that the Participant provided after the Performance Period and (y) the denominator of which is 12.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Make-Whole Units</w:t>
      </w:r>
      <w:r>
        <w:rPr>
          <w:rFonts w:ascii="Arial" w:cs="Arial" w:eastAsia="Arial" w:hAnsi="Arial"/>
          <w:sz w:val="18"/>
          <w:szCs w:val="18"/>
          <w:color w:val="auto"/>
        </w:rPr>
        <w:t>: The total number of Certified Make-Whole Units.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2940" w:space="580"/>
            <w:col w:w="6700"/>
          </w:cols>
          <w:pgMar w:left="1220" w:top="270" w:right="459" w:bottom="1440" w:gutter="0" w:footer="0" w:header="0"/>
          <w:type w:val="continuous"/>
        </w:sectPr>
      </w:pPr>
    </w:p>
    <w:bookmarkStart w:id="82" w:name="page83"/>
    <w:bookmarkEnd w:id="82"/>
    <w:p>
      <w:pPr>
        <w:ind w:left="780" w:hanging="782"/>
        <w:spacing w:after="0" w:line="277" w:lineRule="auto"/>
        <w:tabs>
          <w:tab w:leader="none" w:pos="760" w:val="left"/>
        </w:tabs>
        <w:rPr>
          <w:sz w:val="20"/>
          <w:szCs w:val="20"/>
          <w:color w:val="auto"/>
        </w:rPr>
      </w:pPr>
      <w:r>
        <w:rPr>
          <w:rFonts w:ascii="Arial" w:cs="Arial" w:eastAsia="Arial" w:hAnsi="Arial"/>
          <w:sz w:val="18"/>
          <w:szCs w:val="18"/>
          <w:color w:val="auto"/>
        </w:rPr>
        <w:t>Case 3</w:t>
      </w:r>
      <w:r>
        <w:rPr>
          <w:sz w:val="20"/>
          <w:szCs w:val="20"/>
          <w:color w:val="auto"/>
        </w:rPr>
        <w:tab/>
      </w:r>
      <w:r>
        <w:rPr>
          <w:rFonts w:ascii="Arial" w:cs="Arial" w:eastAsia="Arial" w:hAnsi="Arial"/>
          <w:sz w:val="18"/>
          <w:szCs w:val="18"/>
          <w:color w:val="auto"/>
        </w:rPr>
        <w:t>Termination of Service occurs on or after the Certification Date</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The product calculated by multiplying One Year’s RSUs by a fraction, (x) the numerator of which is the number of full months (without any rounding) of continuous Service that the Participant provided during the year in which the separation occurred and (y) the denominator of which is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-652145</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000" w:space="300"/>
            <w:col w:w="6700"/>
          </w:cols>
          <w:pgMar w:left="440" w:top="274" w:right="459" w:bottom="1440" w:gutter="0" w:footer="0" w:header="0"/>
        </w:sectPr>
      </w:pPr>
    </w:p>
    <w:p>
      <w:pPr>
        <w:ind w:right="280" w:firstLine="1432"/>
        <w:spacing w:after="0" w:line="277" w:lineRule="auto"/>
        <w:rPr>
          <w:sz w:val="20"/>
          <w:szCs w:val="20"/>
          <w:color w:val="auto"/>
        </w:rPr>
      </w:pPr>
      <w:r>
        <w:rPr>
          <w:rFonts w:ascii="Arial" w:cs="Arial" w:eastAsia="Arial" w:hAnsi="Arial"/>
          <w:sz w:val="18"/>
          <w:szCs w:val="18"/>
          <w:color w:val="auto"/>
        </w:rPr>
        <w:t>All Units in excess of the pro rata portion determined in accordance the above table shall immediately be forfeited and cancelled, and the Participant shall not be entitled to any compensation or other amount with respect thereto.</w:t>
      </w:r>
    </w:p>
    <w:p>
      <w:pPr>
        <w:spacing w:after="0" w:line="170" w:lineRule="exact"/>
        <w:rPr>
          <w:sz w:val="20"/>
          <w:szCs w:val="20"/>
          <w:color w:val="auto"/>
        </w:rPr>
      </w:pPr>
    </w:p>
    <w:p>
      <w:pPr>
        <w:ind w:right="40" w:firstLine="1432"/>
        <w:spacing w:after="0" w:line="257" w:lineRule="auto"/>
        <w:rPr>
          <w:sz w:val="20"/>
          <w:szCs w:val="20"/>
          <w:color w:val="auto"/>
        </w:rPr>
      </w:pPr>
      <w:r>
        <w:rPr>
          <w:rFonts w:ascii="Arial" w:cs="Arial" w:eastAsia="Arial" w:hAnsi="Arial"/>
          <w:sz w:val="18"/>
          <w:szCs w:val="18"/>
          <w:color w:val="auto"/>
        </w:rPr>
        <w:t>If a Change in Control occurs upon or following such termination but prior to the end of the Performance Period, then the Units remaining outstanding and unvested immediately prior to the Change in Control (after application of the foregoing provisions in this Section 2.2(b)) shall fully vest and become nonforfeitable at the target level of achievement (determined in accordance with the Grant Notice) immediately upon the occurrence of the Change in Control and the date on which the Change in Control is consummated will be treated as the Settlement Date for purposes of Section 7 hereof.</w:t>
      </w:r>
    </w:p>
    <w:p>
      <w:pPr>
        <w:spacing w:after="0" w:line="188" w:lineRule="exact"/>
        <w:rPr>
          <w:sz w:val="20"/>
          <w:szCs w:val="20"/>
          <w:color w:val="auto"/>
        </w:rPr>
      </w:pPr>
    </w:p>
    <w:p>
      <w:pPr>
        <w:jc w:val="both"/>
        <w:ind w:right="20" w:firstLine="1432"/>
        <w:spacing w:after="0" w:line="279" w:lineRule="auto"/>
        <w:rPr>
          <w:sz w:val="20"/>
          <w:szCs w:val="20"/>
          <w:color w:val="auto"/>
        </w:rPr>
      </w:pPr>
      <w:r>
        <w:rPr>
          <w:rFonts w:ascii="Arial" w:cs="Arial" w:eastAsia="Arial" w:hAnsi="Arial"/>
          <w:sz w:val="17"/>
          <w:szCs w:val="17"/>
          <w:color w:val="auto"/>
        </w:rPr>
        <w:t>If a Change in Control occurs upon or following such termination after the end of the Performance Period, then the Units remaining outstanding and unvested immediately prior to the Change in Control (after application of the foregoing provisions in this Section 2.2(b)) shall fully vest and become nonforfeitable based on actual Company performance immediately upon the occurrence of the Change in Control and the date on which the Change in Control is consummated will be treated as the Settlement Date for purposes of Section 7 hereof.</w:t>
      </w:r>
    </w:p>
    <w:p>
      <w:pPr>
        <w:spacing w:after="0" w:line="171" w:lineRule="exact"/>
        <w:rPr>
          <w:sz w:val="20"/>
          <w:szCs w:val="20"/>
          <w:color w:val="auto"/>
        </w:rPr>
      </w:pPr>
    </w:p>
    <w:p>
      <w:pPr>
        <w:ind w:right="140" w:firstLine="1428"/>
        <w:spacing w:after="0" w:line="311" w:lineRule="auto"/>
        <w:tabs>
          <w:tab w:leader="none" w:pos="16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If the Participant incurs a CIC Qualified Termination, all Units that remain outstanding and unvested shall fully vest on the date of such termination at the target level of achievement (determined in accordance with the Grant Notice); provided, </w:t>
      </w:r>
      <w:r>
        <w:rPr>
          <w:rFonts w:ascii="Arial" w:cs="Arial" w:eastAsia="Arial" w:hAnsi="Arial"/>
          <w:sz w:val="16"/>
          <w:szCs w:val="16"/>
          <w:u w:val="single" w:color="auto"/>
          <w:color w:val="auto"/>
        </w:rPr>
        <w:t>however</w:t>
      </w:r>
      <w:r>
        <w:rPr>
          <w:rFonts w:ascii="Arial" w:cs="Arial" w:eastAsia="Arial" w:hAnsi="Arial"/>
          <w:sz w:val="16"/>
          <w:szCs w:val="16"/>
          <w:color w:val="auto"/>
        </w:rPr>
        <w:t>, if such CIC Qualified Termination occurs after the end of the Performance Period, then the aforesaid Units shall vest based on actual Company performance.</w:t>
      </w:r>
    </w:p>
    <w:p>
      <w:pPr>
        <w:spacing w:after="0" w:line="148" w:lineRule="exact"/>
        <w:rPr>
          <w:rFonts w:ascii="Arial" w:cs="Arial" w:eastAsia="Arial" w:hAnsi="Arial"/>
          <w:sz w:val="16"/>
          <w:szCs w:val="16"/>
          <w:color w:val="auto"/>
        </w:rPr>
      </w:pPr>
    </w:p>
    <w:p>
      <w:pPr>
        <w:jc w:val="both"/>
        <w:ind w:firstLine="1428"/>
        <w:spacing w:after="0" w:line="263" w:lineRule="auto"/>
        <w:tabs>
          <w:tab w:leader="none" w:pos="1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spacing w:after="0" w:line="183" w:lineRule="exact"/>
        <w:rPr>
          <w:rFonts w:ascii="Arial" w:cs="Arial" w:eastAsia="Arial" w:hAnsi="Arial"/>
          <w:sz w:val="18"/>
          <w:szCs w:val="18"/>
          <w:color w:val="auto"/>
        </w:rPr>
      </w:pPr>
    </w:p>
    <w:p>
      <w:pPr>
        <w:ind w:right="100" w:firstLine="1428"/>
        <w:spacing w:after="0" w:line="277" w:lineRule="auto"/>
        <w:tabs>
          <w:tab w:leader="none" w:pos="16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200" w:firstLine="1428"/>
        <w:spacing w:after="0" w:line="277" w:lineRule="auto"/>
        <w:tabs>
          <w:tab w:leader="none" w:pos="16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type w:val="continuous"/>
        </w:sectPr>
      </w:pPr>
    </w:p>
    <w:bookmarkStart w:id="83" w:name="page84"/>
    <w:bookmarkEnd w:id="83"/>
    <w:p>
      <w:pPr>
        <w:ind w:left="1680" w:hanging="252"/>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firstLine="1428"/>
        <w:spacing w:after="0" w:line="263" w:lineRule="auto"/>
        <w:tabs>
          <w:tab w:leader="none" w:pos="1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640" w:hanging="212"/>
        <w:spacing w:after="0"/>
        <w:tabs>
          <w:tab w:leader="none" w:pos="1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jc w:val="both"/>
        <w:ind w:firstLine="1428"/>
        <w:spacing w:after="0" w:line="263" w:lineRule="auto"/>
        <w:tabs>
          <w:tab w:leader="none" w:pos="1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spacing w:after="0" w:line="183" w:lineRule="exact"/>
        <w:rPr>
          <w:rFonts w:ascii="Arial" w:cs="Arial" w:eastAsia="Arial" w:hAnsi="Arial"/>
          <w:sz w:val="18"/>
          <w:szCs w:val="18"/>
          <w:color w:val="auto"/>
        </w:rPr>
      </w:pPr>
    </w:p>
    <w:p>
      <w:pPr>
        <w:ind w:right="220" w:firstLine="1428"/>
        <w:spacing w:after="0" w:line="263" w:lineRule="auto"/>
        <w:tabs>
          <w:tab w:leader="none" w:pos="1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right="20" w:firstLine="1428"/>
        <w:spacing w:after="0" w:line="277" w:lineRule="auto"/>
        <w:tabs>
          <w:tab w:leader="none" w:pos="1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the Participant does not provide Service to the Participating Company, the Award grant will not be interpreted to form an employment, consulting or other service contract or relationship with the Participating Company.</w:t>
      </w:r>
    </w:p>
    <w:p>
      <w:pPr>
        <w:spacing w:after="0" w:line="170" w:lineRule="exact"/>
        <w:rPr>
          <w:rFonts w:ascii="Arial" w:cs="Arial" w:eastAsia="Arial" w:hAnsi="Arial"/>
          <w:sz w:val="18"/>
          <w:szCs w:val="18"/>
          <w:color w:val="auto"/>
        </w:rPr>
      </w:pPr>
    </w:p>
    <w:p>
      <w:pPr>
        <w:ind w:right="240" w:firstLine="1428"/>
        <w:spacing w:after="0" w:line="277" w:lineRule="auto"/>
        <w:tabs>
          <w:tab w:leader="none" w:pos="17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right="100" w:firstLine="1428"/>
        <w:spacing w:after="0" w:line="296" w:lineRule="auto"/>
        <w:tabs>
          <w:tab w:leader="none" w:pos="16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61" w:lineRule="exact"/>
        <w:rPr>
          <w:rFonts w:ascii="Arial" w:cs="Arial" w:eastAsia="Arial" w:hAnsi="Arial"/>
          <w:sz w:val="16"/>
          <w:szCs w:val="16"/>
          <w:color w:val="auto"/>
        </w:rPr>
      </w:pPr>
    </w:p>
    <w:p>
      <w:pPr>
        <w:jc w:val="both"/>
        <w:ind w:right="320" w:firstLine="1428"/>
        <w:spacing w:after="0" w:line="263" w:lineRule="auto"/>
        <w:tabs>
          <w:tab w:leader="none" w:pos="1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p>
    <w:p>
      <w:pPr>
        <w:spacing w:after="0" w:line="225" w:lineRule="exact"/>
        <w:rPr>
          <w:sz w:val="20"/>
          <w:szCs w:val="20"/>
          <w:color w:val="auto"/>
        </w:rPr>
      </w:pPr>
    </w:p>
    <w:p>
      <w:pPr>
        <w:ind w:firstLine="991"/>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IN</w:t>
      </w:r>
      <w:r>
        <w:rPr>
          <w:rFonts w:ascii="Arial" w:cs="Arial" w:eastAsia="Arial" w:hAnsi="Arial"/>
          <w:sz w:val="18"/>
          <w:szCs w:val="18"/>
          <w:color w:val="auto"/>
        </w:rPr>
        <w:t xml:space="preserve"> </w:t>
      </w:r>
      <w:r>
        <w:rPr>
          <w:rFonts w:ascii="Arial" w:cs="Arial" w:eastAsia="Arial" w:hAnsi="Arial"/>
          <w:sz w:val="14"/>
          <w:szCs w:val="14"/>
          <w:b w:val="1"/>
          <w:bCs w:val="1"/>
          <w:color w:val="auto"/>
        </w:rPr>
        <w:t>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84" w:name="page85"/>
    <w:bookmarkEnd w:id="84"/>
    <w:p>
      <w:pPr>
        <w:ind w:right="180" w:firstLine="1432"/>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4"/>
          <w:szCs w:val="14"/>
          <w:color w:val="auto"/>
        </w:rPr>
        <w:t>B</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ARTICIPATING</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4"/>
          <w:szCs w:val="14"/>
          <w:b w:val="1"/>
          <w:bCs w:val="1"/>
          <w:color w:val="auto"/>
        </w:rPr>
        <w:t>ROUP HOLDS CERTAIN PERSONAL</w:t>
      </w:r>
      <w:r>
        <w:rPr>
          <w:rFonts w:ascii="Arial" w:cs="Arial" w:eastAsia="Arial" w:hAnsi="Arial"/>
          <w:sz w:val="18"/>
          <w:szCs w:val="18"/>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SECURITY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FAVOR </w:t>
      </w:r>
      <w:r>
        <w:rPr>
          <w:rFonts w:ascii="Arial" w:cs="Arial" w:eastAsia="Arial" w:hAnsi="Arial"/>
          <w:sz w:val="17"/>
          <w:szCs w:val="17"/>
          <w:b w:val="1"/>
          <w:bCs w:val="1"/>
          <w:color w:val="auto"/>
        </w:rPr>
        <w:t>(</w:t>
      </w:r>
      <w:r>
        <w:rPr>
          <w:rFonts w:ascii="Arial" w:cs="Arial" w:eastAsia="Arial" w:hAnsi="Arial"/>
          <w:sz w:val="14"/>
          <w:szCs w:val="14"/>
          <w:b w:val="1"/>
          <w:bCs w:val="1"/>
          <w:color w:val="auto"/>
        </w:rPr>
        <w:t>COLLECTIVELY</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D</w:t>
      </w:r>
      <w:r>
        <w:rPr>
          <w:rFonts w:ascii="Arial" w:cs="Arial" w:eastAsia="Arial" w:hAnsi="Arial"/>
          <w:sz w:val="14"/>
          <w:szCs w:val="14"/>
          <w:b w:val="1"/>
          <w:bCs w:val="1"/>
          <w:i w:val="1"/>
          <w:i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AND THAT THE 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w:t>
      </w:r>
    </w:p>
    <w:p>
      <w:pPr>
        <w:spacing w:after="0" w:line="394" w:lineRule="exact"/>
        <w:rPr>
          <w:sz w:val="20"/>
          <w:szCs w:val="20"/>
          <w:color w:val="auto"/>
        </w:rPr>
      </w:pPr>
    </w:p>
    <w:p>
      <w:pPr>
        <w:ind w:firstLine="1428"/>
        <w:spacing w:after="0" w:line="267" w:lineRule="auto"/>
        <w:tabs>
          <w:tab w:leader="none" w:pos="1717"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HE OR SHE MAY REQUEST A LIST WITH THE NAMES AND ADDRESSES OF ANY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POTENTIAL RECIPIENTS OF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211"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85" w:name="page86"/>
    <w:bookmarkEnd w:id="85"/>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spacing w:after="0" w:line="188" w:lineRule="exact"/>
        <w:rPr>
          <w:sz w:val="20"/>
          <w:szCs w:val="20"/>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the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w:t>
      </w:r>
    </w:p>
    <w:p>
      <w:pPr>
        <w:spacing w:after="0" w:line="162"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spacing w:after="0" w:line="199"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or Vestable Units as provided in the Grant Notice. Dividend Equivalent Units shall become Vested Units at the same time as the Units originally subject to the Award with respect to which they have been credited.</w:t>
      </w:r>
    </w:p>
    <w:p>
      <w:pPr>
        <w:spacing w:after="0" w:line="147" w:lineRule="exact"/>
        <w:rPr>
          <w:sz w:val="20"/>
          <w:szCs w:val="20"/>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6" w:name="page87"/>
    <w:bookmarkEnd w:id="86"/>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3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as soon as reasonably practicable following the date upon which Units satisfy the vesting conditions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200"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252"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Regardless of any action the Company or the Service Recipient takes with respect to any or all income tax, social insurance, payroll tax, payment on account or other tax-related withholding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Participant acknowledges and agrees that the ultimate liability for all Tax-Related Items legally due or deemed legally due by the Participant is and remains the Participant’s responsibility and that the Company and the Service Recipient (i) make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87" w:name="page88"/>
    <w:bookmarkEnd w:id="8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may refuse to deliver the shares if the Participant fails to comply with the Participant’s obligations in connection with Tax-Related Items.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advisor regarding the Participant’s tax obligations prior to such settlement or disposition.</w:t>
      </w:r>
    </w:p>
    <w:p>
      <w:pPr>
        <w:spacing w:after="0" w:line="193" w:lineRule="exact"/>
        <w:rPr>
          <w:sz w:val="20"/>
          <w:szCs w:val="20"/>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In the event of a Change in Control, subject to the Participant’s continued Service on the date that such Change in Control is consummated, the Units that remain outstanding and unvested shall fully vest at the target level of achievement; provided, </w:t>
      </w:r>
      <w:r>
        <w:rPr>
          <w:rFonts w:ascii="Arial" w:cs="Arial" w:eastAsia="Arial" w:hAnsi="Arial"/>
          <w:sz w:val="16"/>
          <w:szCs w:val="16"/>
          <w:u w:val="single" w:color="auto"/>
          <w:color w:val="auto"/>
        </w:rPr>
        <w:t>however</w:t>
      </w:r>
      <w:r>
        <w:rPr>
          <w:rFonts w:ascii="Arial" w:cs="Arial" w:eastAsia="Arial" w:hAnsi="Arial"/>
          <w:sz w:val="16"/>
          <w:szCs w:val="16"/>
          <w:color w:val="auto"/>
        </w:rPr>
        <w:t>, if the Change in Control occurs after the end of the Performance Period, then the aforesaid Units shall vest based on actual Company performance. The date on which the Change in Control is consummated will be treated as the Settlement Date for purposes of Section 7 hereof. All Units in excess of the aforesaid vesting shall immediately be forfeited and cancelled, and the Participant shall not be entitled to any compensation or other amount with respect thereto.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8" w:name="page89"/>
    <w:bookmarkEnd w:id="88"/>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94" w:lineRule="exact"/>
        <w:rPr>
          <w:sz w:val="20"/>
          <w:szCs w:val="20"/>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89" w:name="page90"/>
    <w:bookmarkEnd w:id="89"/>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10" w:lineRule="exact"/>
        <w:rPr>
          <w:sz w:val="20"/>
          <w:szCs w:val="20"/>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set forth in Section 9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51"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right="20" w:firstLine="1428"/>
        <w:spacing w:after="0" w:line="259" w:lineRule="auto"/>
        <w:tabs>
          <w:tab w:leader="none" w:pos="1677"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Description of Electronic Delivery. </w:t>
      </w:r>
      <w:r>
        <w:rPr>
          <w:rFonts w:ascii="Arial" w:cs="Arial" w:eastAsia="Arial" w:hAnsi="Arial"/>
          <w:sz w:val="18"/>
          <w:szCs w:val="18"/>
          <w:color w:val="auto"/>
        </w:rPr>
        <w:t>The Plan documents, which may include but do not necessarily include the Plan, the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90" w:name="page91"/>
    <w:bookmarkEnd w:id="90"/>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84" w:lineRule="exact"/>
        <w:rPr>
          <w:sz w:val="20"/>
          <w:szCs w:val="20"/>
          <w:color w:val="auto"/>
        </w:rPr>
      </w:pPr>
    </w:p>
    <w:p>
      <w:pPr>
        <w:ind w:firstLine="1428"/>
        <w:spacing w:after="0" w:line="288" w:lineRule="auto"/>
        <w:tabs>
          <w:tab w:leader="none" w:pos="1687"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right="100" w:firstLine="991"/>
        <w:spacing w:after="0" w:line="303"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91" w:name="page92"/>
    <w:bookmarkEnd w:id="91"/>
    <w:p>
      <w:pPr>
        <w:jc w:val="both"/>
        <w:ind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13.9 </w:t>
      </w:r>
      <w:r>
        <w:rPr>
          <w:rFonts w:ascii="Arial" w:cs="Arial" w:eastAsia="Arial" w:hAnsi="Arial"/>
          <w:sz w:val="17"/>
          <w:szCs w:val="17"/>
          <w:b w:val="1"/>
          <w:bCs w:val="1"/>
          <w:color w:val="auto"/>
        </w:rPr>
        <w:t>Language.</w:t>
      </w:r>
      <w:r>
        <w:rPr>
          <w:rFonts w:ascii="Arial" w:cs="Arial" w:eastAsia="Arial" w:hAnsi="Arial"/>
          <w:sz w:val="17"/>
          <w:szCs w:val="17"/>
          <w:color w:val="auto"/>
        </w:rPr>
        <w:t xml:space="preserve"> 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5" w:lineRule="exact"/>
        <w:rPr>
          <w:sz w:val="20"/>
          <w:szCs w:val="20"/>
          <w:color w:val="auto"/>
        </w:rPr>
      </w:pPr>
    </w:p>
    <w:p>
      <w:pPr>
        <w:ind w:right="100" w:firstLine="991"/>
        <w:spacing w:after="0" w:line="274"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b w:val="1"/>
          <w:bCs w:val="1"/>
          <w:color w:val="auto"/>
        </w:rPr>
        <w:t>Insider Trading / Market Abuse Restrictions.</w:t>
      </w:r>
      <w:r>
        <w:rPr>
          <w:rFonts w:ascii="Arial" w:cs="Arial" w:eastAsia="Arial" w:hAnsi="Arial"/>
          <w:sz w:val="17"/>
          <w:szCs w:val="17"/>
          <w:color w:val="auto"/>
        </w:rPr>
        <w:t xml:space="preserve">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spacing w:after="0" w:line="173"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b w:val="1"/>
          <w:bCs w:val="1"/>
          <w:color w:val="auto"/>
        </w:rPr>
        <w:t>Foreign Asset and Account Reporting and Exchange Control Requirements.</w:t>
      </w:r>
      <w:r>
        <w:rPr>
          <w:rFonts w:ascii="Arial" w:cs="Arial" w:eastAsia="Arial" w:hAnsi="Arial"/>
          <w:sz w:val="16"/>
          <w:szCs w:val="16"/>
          <w:color w:val="auto"/>
        </w:rPr>
        <w:t xml:space="preserve">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spacing w:after="0" w:line="160" w:lineRule="exact"/>
        <w:rPr>
          <w:sz w:val="20"/>
          <w:szCs w:val="20"/>
          <w:color w:val="auto"/>
        </w:rPr>
      </w:pPr>
    </w:p>
    <w:p>
      <w:pPr>
        <w:ind w:right="520" w:firstLine="991"/>
        <w:spacing w:after="0" w:line="347"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color w:val="auto"/>
        </w:rPr>
        <w:t>Waiver.</w:t>
      </w:r>
      <w:r>
        <w:rPr>
          <w:rFonts w:ascii="Arial" w:cs="Arial" w:eastAsia="Arial" w:hAnsi="Arial"/>
          <w:sz w:val="16"/>
          <w:szCs w:val="16"/>
          <w:color w:val="auto"/>
        </w:rPr>
        <w:t xml:space="preserve"> The Participant acknowledges that a waiver by the Company of breach of any provision of this Agreement by the Participant shall not operate or be construed as a waiver of any other provision of this Agreement, or of any subsequent breach by the Participant.</w:t>
      </w:r>
    </w:p>
    <w:p>
      <w:pPr>
        <w:spacing w:after="0" w:line="116"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Company’s Clawback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25"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ADDITIONAL TERMS AND CONDITIONS OF MAGNACHIP SEMICONDUCTOR CORPORATION PERFORMANCE-BASED RESTRICTED STOCK UNITS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 the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additional terms and conditions, as well as notifications, that apply to Korea and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0" w:right="5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country-specific terms and conditions.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paragraph is inserted as a new Section 13.15 to the PSU Agreement:</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UNITS AGREEMENT</w:t>
      </w:r>
    </w:p>
    <w:p>
      <w:pPr>
        <w:spacing w:after="0" w:line="21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Magnachip Semiconductor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has granted to the Participant named in the Notice of Grant of Performance-Based Restricted Stock Units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to which this Performance-Based Restricted Stock Units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attached an Award consisting of Restricted Stock Units subject to the terms and conditions set forth in the Grant Notice and this Agreement. The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and the terms and conditions for the Participant’s country set forth therein are incorporated by reference into this Agreement. The Participant shall be entitled to Dividend Equivalent Rights with respect to the Award.</w:t>
      </w:r>
    </w:p>
    <w:p>
      <w:pPr>
        <w:spacing w:after="0" w:line="17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620" w:hanging="184"/>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ind w:left="1680" w:hanging="252"/>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117"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58"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58" w:lineRule="exact"/>
        <w:rPr>
          <w:sz w:val="20"/>
          <w:szCs w:val="20"/>
          <w:color w:val="auto"/>
        </w:rPr>
      </w:pPr>
    </w:p>
    <w:p>
      <w:pPr>
        <w:ind w:left="620" w:hanging="18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5" w:name="page96"/>
    <w:bookmarkEnd w:id="9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Arial" w:cs="Arial" w:eastAsia="Arial" w:hAnsi="Arial"/>
          <w:sz w:val="18"/>
          <w:szCs w:val="18"/>
          <w:b w:val="1"/>
          <w:bCs w:val="1"/>
          <w:color w:val="auto"/>
        </w:rPr>
        <w:t>Service Conditions.</w:t>
      </w:r>
      <w:r>
        <w:rPr>
          <w:rFonts w:ascii="Arial" w:cs="Arial" w:eastAsia="Arial" w:hAnsi="Arial"/>
          <w:sz w:val="18"/>
          <w:szCs w:val="18"/>
          <w:color w:val="auto"/>
        </w:rPr>
        <w:t xml:space="preserve"> By accepting the Award, the Participant acknowledges and agrees that:</w:t>
      </w:r>
    </w:p>
    <w:p>
      <w:pPr>
        <w:spacing w:after="0" w:line="121" w:lineRule="exact"/>
        <w:rPr>
          <w:sz w:val="20"/>
          <w:szCs w:val="20"/>
          <w:color w:val="auto"/>
        </w:rPr>
      </w:pPr>
    </w:p>
    <w:p>
      <w:pPr>
        <w:ind w:right="100" w:firstLine="1428"/>
        <w:spacing w:after="0" w:line="257" w:lineRule="auto"/>
        <w:tabs>
          <w:tab w:leader="none" w:pos="16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79" w:lineRule="exact"/>
        <w:rPr>
          <w:rFonts w:ascii="Arial" w:cs="Arial" w:eastAsia="Arial" w:hAnsi="Arial"/>
          <w:sz w:val="18"/>
          <w:szCs w:val="18"/>
          <w:color w:val="auto"/>
        </w:rPr>
      </w:pPr>
    </w:p>
    <w:p>
      <w:pPr>
        <w:ind w:firstLine="1428"/>
        <w:spacing w:after="0" w:line="269" w:lineRule="auto"/>
        <w:tabs>
          <w:tab w:leader="none" w:pos="1687"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Participant’s employment or service is terminated by the Participating Company to which the Participant renders Service (the “</w:t>
      </w:r>
      <w:r>
        <w:rPr>
          <w:rFonts w:ascii="Arial" w:cs="Arial" w:eastAsia="Arial" w:hAnsi="Arial"/>
          <w:sz w:val="17"/>
          <w:szCs w:val="17"/>
          <w:b w:val="1"/>
          <w:bCs w:val="1"/>
          <w:i w:val="1"/>
          <w:iCs w:val="1"/>
          <w:color w:val="auto"/>
        </w:rPr>
        <w:t>Service Recipient</w:t>
      </w:r>
      <w:r>
        <w:rPr>
          <w:rFonts w:ascii="Arial" w:cs="Arial" w:eastAsia="Arial" w:hAnsi="Arial"/>
          <w:sz w:val="17"/>
          <w:szCs w:val="17"/>
          <w:color w:val="auto"/>
        </w:rPr>
        <w:t>”) without Cause or if the Participant resigns for Good Reason, in each case not in connection with a CIC Qualified Termination (as each capitalized term is defined in the Participant’s employment, consulting or other service contract) prior to full settlement of the Award, the Participant will remain eligible to vest (determined in accordance with the terms set forth in the Grant Notice) in a pro rata portion (which may be the entirety) of the Certified Restricted Stock Units or the Certified Make-Whole Units (each as defined below). “</w:t>
      </w:r>
      <w:r>
        <w:rPr>
          <w:rFonts w:ascii="Arial" w:cs="Arial" w:eastAsia="Arial" w:hAnsi="Arial"/>
          <w:sz w:val="17"/>
          <w:szCs w:val="17"/>
          <w:b w:val="1"/>
          <w:bCs w:val="1"/>
          <w:i w:val="1"/>
          <w:iCs w:val="1"/>
          <w:color w:val="auto"/>
        </w:rPr>
        <w:t>Certified Restricted Stock Units</w:t>
      </w:r>
      <w:r>
        <w:rPr>
          <w:rFonts w:ascii="Arial" w:cs="Arial" w:eastAsia="Arial" w:hAnsi="Arial"/>
          <w:sz w:val="17"/>
          <w:szCs w:val="17"/>
          <w:color w:val="auto"/>
        </w:rPr>
        <w:t>” means the Restricted Stock Units eligible to vest, as determined on the Certification Date following the end of the Performance Period based on actual Company performance. “</w:t>
      </w:r>
      <w:r>
        <w:rPr>
          <w:rFonts w:ascii="Arial" w:cs="Arial" w:eastAsia="Arial" w:hAnsi="Arial"/>
          <w:sz w:val="17"/>
          <w:szCs w:val="17"/>
          <w:b w:val="1"/>
          <w:bCs w:val="1"/>
          <w:i w:val="1"/>
          <w:iCs w:val="1"/>
          <w:color w:val="auto"/>
        </w:rPr>
        <w:t>Certified Make-Whole Units</w:t>
      </w:r>
      <w:r>
        <w:rPr>
          <w:rFonts w:ascii="Arial" w:cs="Arial" w:eastAsia="Arial" w:hAnsi="Arial"/>
          <w:sz w:val="17"/>
          <w:szCs w:val="17"/>
          <w:color w:val="auto"/>
        </w:rPr>
        <w:t>” means the Make-Whole Units (as defined in the Grant Notice) eligible to vest, as determined on the Certification Date following the end of the Performance Period based on actual Company performance. For purposes of this Section 2.2(b), the pro rata portion (which may be the entirety) of the Certified Restricted Stock Units or the Certified Make-Whole Units, as the case may be, shall be determined as set forth in the below table:</w:t>
      </w:r>
    </w:p>
    <w:p>
      <w:pPr>
        <w:sectPr>
          <w:pgSz w:w="11900" w:h="16838" w:orient="portrait"/>
          <w:cols w:equalWidth="0" w:num="1">
            <w:col w:w="11000"/>
          </w:cols>
          <w:pgMar w:left="440" w:top="270" w:right="459" w:bottom="1440" w:gutter="0" w:footer="0" w:header="0"/>
        </w:sectPr>
      </w:pPr>
    </w:p>
    <w:p>
      <w:pPr>
        <w:spacing w:after="0" w:line="212" w:lineRule="exact"/>
        <w:rPr>
          <w:sz w:val="20"/>
          <w:szCs w:val="20"/>
          <w:color w:val="auto"/>
        </w:rPr>
      </w:pPr>
    </w:p>
    <w:p>
      <w:pPr>
        <w:jc w:val="right"/>
        <w:ind w:right="320"/>
        <w:spacing w:after="0" w:line="308" w:lineRule="auto"/>
        <w:rPr>
          <w:sz w:val="20"/>
          <w:szCs w:val="20"/>
          <w:color w:val="auto"/>
        </w:rPr>
      </w:pPr>
      <w:r>
        <w:rPr>
          <w:rFonts w:ascii="Arial" w:cs="Arial" w:eastAsia="Arial" w:hAnsi="Arial"/>
          <w:sz w:val="17"/>
          <w:szCs w:val="17"/>
          <w:color w:val="auto"/>
        </w:rPr>
        <w:t>Case 1   Termination of Service occurs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780" w:hanging="782"/>
        <w:spacing w:after="0" w:line="286" w:lineRule="auto"/>
        <w:tabs>
          <w:tab w:leader="none" w:pos="760" w:val="left"/>
        </w:tabs>
        <w:rPr>
          <w:sz w:val="20"/>
          <w:szCs w:val="20"/>
          <w:color w:val="auto"/>
        </w:rPr>
      </w:pPr>
      <w:r>
        <w:rPr>
          <w:rFonts w:ascii="Arial" w:cs="Arial" w:eastAsia="Arial" w:hAnsi="Arial"/>
          <w:sz w:val="18"/>
          <w:szCs w:val="18"/>
          <w:color w:val="auto"/>
        </w:rPr>
        <w:t>Case 2</w:t>
      </w:r>
      <w:r>
        <w:rPr>
          <w:sz w:val="20"/>
          <w:szCs w:val="20"/>
          <w:color w:val="auto"/>
        </w:rPr>
        <w:tab/>
      </w:r>
      <w:r>
        <w:rPr>
          <w:rFonts w:ascii="Arial" w:cs="Arial" w:eastAsia="Arial" w:hAnsi="Arial"/>
          <w:sz w:val="17"/>
          <w:szCs w:val="17"/>
          <w:color w:val="auto"/>
        </w:rPr>
        <w:t>Termination of Service occurs after the Performance Period but before the Certification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product calculated by multiplying (a) the total number of Certified Restricted Stock Units by (b) a fraction, (x) the numerator of which is the number of full months (without any rounding) of continuous Service that the Participant provided during the Performance Period and (y) the denominator of which is 12, multiplied by one-third (1/3).</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For Make-Whole Units</w:t>
      </w:r>
      <w:r>
        <w:rPr>
          <w:rFonts w:ascii="Arial" w:cs="Arial" w:eastAsia="Arial" w:hAnsi="Arial"/>
          <w:sz w:val="18"/>
          <w:szCs w:val="18"/>
          <w:color w:val="auto"/>
        </w:rPr>
        <w:t>: The product calculated by multiplying (a) the total number of Certified Make-Whole Units by (b) a fraction, (x) the numerator of which is the number of full months (without any rounding) of continuous Service that the Participant provided during the Performance Period and (y) the denominator of which is 12.</w:t>
      </w:r>
    </w:p>
    <w:p>
      <w:pPr>
        <w:spacing w:after="0" w:line="1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sum calculated by adding (a) the product of the total number of Certified Restricted Stock Units multiplied by one-third (1/3) (such product, “</w:t>
      </w:r>
      <w:r>
        <w:rPr>
          <w:rFonts w:ascii="Arial" w:cs="Arial" w:eastAsia="Arial" w:hAnsi="Arial"/>
          <w:sz w:val="18"/>
          <w:szCs w:val="18"/>
          <w:b w:val="1"/>
          <w:bCs w:val="1"/>
          <w:i w:val="1"/>
          <w:iCs w:val="1"/>
          <w:color w:val="auto"/>
        </w:rPr>
        <w:t>One Year’s RSUs</w:t>
      </w:r>
      <w:r>
        <w:rPr>
          <w:rFonts w:ascii="Arial" w:cs="Arial" w:eastAsia="Arial" w:hAnsi="Arial"/>
          <w:sz w:val="18"/>
          <w:szCs w:val="18"/>
          <w:color w:val="auto"/>
        </w:rPr>
        <w:t>”) and (b) the product of One Year’s RSUs multiplied by a fraction, (x) the numerator of which is the number of full months (without any rounding) of continuous Service that the Participant provided after the Performance Period and (y) the denominator of which is 12.</w:t>
      </w:r>
    </w:p>
    <w:p>
      <w:pPr>
        <w:spacing w:after="0" w:line="200" w:lineRule="exact"/>
        <w:rPr>
          <w:sz w:val="20"/>
          <w:szCs w:val="20"/>
          <w:color w:val="auto"/>
        </w:rPr>
      </w:pPr>
    </w:p>
    <w:p>
      <w:pPr>
        <w:sectPr>
          <w:pgSz w:w="11900" w:h="16838" w:orient="portrait"/>
          <w:cols w:equalWidth="0" w:num="2">
            <w:col w:w="3320" w:space="220"/>
            <w:col w:w="7460"/>
          </w:cols>
          <w:pgMar w:left="440" w:top="270" w:right="459" w:bottom="1440"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0"/>
          </w:cols>
          <w:pgMar w:left="440" w:top="270" w:right="459" w:bottom="1440" w:gutter="0" w:footer="0" w:header="0"/>
          <w:type w:val="continuous"/>
        </w:sectPr>
      </w:pPr>
    </w:p>
    <w:bookmarkStart w:id="96" w:name="page97"/>
    <w:bookmarkEnd w:id="96"/>
    <w:p>
      <w:pPr>
        <w:spacing w:after="0" w:line="351" w:lineRule="exact"/>
        <w:rPr>
          <w:sz w:val="20"/>
          <w:szCs w:val="20"/>
          <w:color w:val="auto"/>
        </w:rPr>
      </w:pPr>
    </w:p>
    <w:p>
      <w:pPr>
        <w:ind w:left="780" w:hanging="782"/>
        <w:spacing w:after="0" w:line="277" w:lineRule="auto"/>
        <w:tabs>
          <w:tab w:leader="none" w:pos="760" w:val="left"/>
        </w:tabs>
        <w:rPr>
          <w:sz w:val="20"/>
          <w:szCs w:val="20"/>
          <w:color w:val="auto"/>
        </w:rPr>
      </w:pPr>
      <w:r>
        <w:rPr>
          <w:rFonts w:ascii="Arial" w:cs="Arial" w:eastAsia="Arial" w:hAnsi="Arial"/>
          <w:sz w:val="18"/>
          <w:szCs w:val="18"/>
          <w:color w:val="auto"/>
        </w:rPr>
        <w:t>Case 3</w:t>
      </w:r>
      <w:r>
        <w:rPr>
          <w:sz w:val="20"/>
          <w:szCs w:val="20"/>
          <w:color w:val="auto"/>
        </w:rPr>
        <w:tab/>
      </w:r>
      <w:r>
        <w:rPr>
          <w:rFonts w:ascii="Arial" w:cs="Arial" w:eastAsia="Arial" w:hAnsi="Arial"/>
          <w:sz w:val="18"/>
          <w:szCs w:val="18"/>
          <w:color w:val="auto"/>
        </w:rPr>
        <w:t>Termination of Service occurs on or after the Certification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For Make-Whole Units</w:t>
      </w:r>
      <w:r>
        <w:rPr>
          <w:rFonts w:ascii="Arial" w:cs="Arial" w:eastAsia="Arial" w:hAnsi="Arial"/>
          <w:sz w:val="18"/>
          <w:szCs w:val="18"/>
          <w:color w:val="auto"/>
        </w:rPr>
        <w:t>: The total number of Certified Make-Whole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-215900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product calculated by multiplying One Year’s RSUs by a fraction, (x) the numerator of which is the number of full months (without any rounding) of continuous Service that the Participant provided during the year in which the separation occurred and (y) the denominator of which is 12.</w:t>
      </w:r>
    </w:p>
    <w:p>
      <w:pPr>
        <w:spacing w:after="0" w:line="149" w:lineRule="exact"/>
        <w:rPr>
          <w:sz w:val="20"/>
          <w:szCs w:val="20"/>
          <w:color w:val="auto"/>
        </w:rPr>
      </w:pPr>
    </w:p>
    <w:p>
      <w:pPr>
        <w:sectPr>
          <w:pgSz w:w="11900" w:h="16838" w:orient="portrait"/>
          <w:cols w:equalWidth="0" w:num="2">
            <w:col w:w="3360" w:space="180"/>
            <w:col w:w="7460"/>
          </w:cols>
          <w:pgMar w:left="440" w:top="274" w:right="459" w:bottom="1440" w:gutter="0" w:footer="0" w:header="0"/>
        </w:sectPr>
      </w:pPr>
    </w:p>
    <w:p>
      <w:pPr>
        <w:ind w:right="280" w:firstLine="1432"/>
        <w:spacing w:after="0" w:line="277" w:lineRule="auto"/>
        <w:rPr>
          <w:sz w:val="20"/>
          <w:szCs w:val="20"/>
          <w:color w:val="auto"/>
        </w:rPr>
      </w:pPr>
      <w:r>
        <w:rPr>
          <w:rFonts w:ascii="Arial" w:cs="Arial" w:eastAsia="Arial" w:hAnsi="Arial"/>
          <w:sz w:val="18"/>
          <w:szCs w:val="18"/>
          <w:color w:val="auto"/>
        </w:rPr>
        <w:t>All Units in excess of the pro rata portion determined in accordance the above table shall immediately be forfeited and cancelled, and the Participant shall not be entitled to any compensation or other amount with respect thereto.</w:t>
      </w:r>
    </w:p>
    <w:p>
      <w:pPr>
        <w:spacing w:after="0" w:line="170" w:lineRule="exact"/>
        <w:rPr>
          <w:sz w:val="20"/>
          <w:szCs w:val="20"/>
          <w:color w:val="auto"/>
        </w:rPr>
      </w:pPr>
    </w:p>
    <w:p>
      <w:pPr>
        <w:ind w:right="40" w:firstLine="1432"/>
        <w:spacing w:after="0" w:line="257" w:lineRule="auto"/>
        <w:rPr>
          <w:sz w:val="20"/>
          <w:szCs w:val="20"/>
          <w:color w:val="auto"/>
        </w:rPr>
      </w:pPr>
      <w:r>
        <w:rPr>
          <w:rFonts w:ascii="Arial" w:cs="Arial" w:eastAsia="Arial" w:hAnsi="Arial"/>
          <w:sz w:val="18"/>
          <w:szCs w:val="18"/>
          <w:color w:val="auto"/>
        </w:rPr>
        <w:t>If a Change in Control occurs upon or following such termination but prior to the end of the Performance Period, then the Units remaining outstanding and unvested immediately prior to the Change in Control (after application of the foregoing provisions in this Section 2.2(b)) shall fully vest and become nonforfeitable at the target level of achievement (determined in accordance with the Grant Notice) immediately upon the occurrence of the Change in Control and the date on which the Change in Control is consummated will be treated as the Settlement Date for purposes of Section 7 hereof.</w:t>
      </w:r>
    </w:p>
    <w:p>
      <w:pPr>
        <w:spacing w:after="0" w:line="188" w:lineRule="exact"/>
        <w:rPr>
          <w:sz w:val="20"/>
          <w:szCs w:val="20"/>
          <w:color w:val="auto"/>
        </w:rPr>
      </w:pPr>
    </w:p>
    <w:p>
      <w:pPr>
        <w:jc w:val="both"/>
        <w:ind w:right="20" w:firstLine="1432"/>
        <w:spacing w:after="0" w:line="279" w:lineRule="auto"/>
        <w:rPr>
          <w:sz w:val="20"/>
          <w:szCs w:val="20"/>
          <w:color w:val="auto"/>
        </w:rPr>
      </w:pPr>
      <w:r>
        <w:rPr>
          <w:rFonts w:ascii="Arial" w:cs="Arial" w:eastAsia="Arial" w:hAnsi="Arial"/>
          <w:sz w:val="17"/>
          <w:szCs w:val="17"/>
          <w:color w:val="auto"/>
        </w:rPr>
        <w:t>If a Change in Control occurs upon or following such termination after the end of the Performance Period, then the Units remaining outstanding and unvested immediately prior to the Change in Control (after application of the foregoing provisions in this Section 2.2(b)) shall fully vest and become nonforfeitable based on actual Company performance immediately upon the occurrence of the Change in Control and the date on which the Change in Control is consummated will be treated as the Settlement Date for purposes of Section 7 hereof.</w:t>
      </w:r>
    </w:p>
    <w:p>
      <w:pPr>
        <w:spacing w:after="0" w:line="63" w:lineRule="exact"/>
        <w:rPr>
          <w:sz w:val="20"/>
          <w:szCs w:val="20"/>
          <w:color w:val="auto"/>
        </w:rPr>
      </w:pPr>
    </w:p>
    <w:p>
      <w:pPr>
        <w:ind w:right="40" w:firstLine="1428"/>
        <w:spacing w:after="0" w:line="257" w:lineRule="auto"/>
        <w:tabs>
          <w:tab w:leader="none" w:pos="16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If the Participant incurs a CIC Qualified Termination, all Units that remain outstanding and unvested (after application of the provisions of Section 9) shall fully vest on the date of such termination, and, in the event that the date of such CIC Qualified Termination occurs prior to the occurrence of any Change in Control, the Units that remain outstanding and unvested shall vest at the target level of achievement (determined in accordance with the Grant Notice); provided, </w:t>
      </w:r>
      <w:r>
        <w:rPr>
          <w:rFonts w:ascii="Arial" w:cs="Arial" w:eastAsia="Arial" w:hAnsi="Arial"/>
          <w:sz w:val="18"/>
          <w:szCs w:val="18"/>
          <w:u w:val="single" w:color="auto"/>
          <w:color w:val="auto"/>
        </w:rPr>
        <w:t>however</w:t>
      </w:r>
      <w:r>
        <w:rPr>
          <w:rFonts w:ascii="Arial" w:cs="Arial" w:eastAsia="Arial" w:hAnsi="Arial"/>
          <w:sz w:val="18"/>
          <w:szCs w:val="18"/>
          <w:color w:val="auto"/>
        </w:rPr>
        <w:t>, if such CIC Qualified Termination occurs after the end of the Performance Period, then the aforesaid Units shall vest based on actual Company performance.</w:t>
      </w:r>
    </w:p>
    <w:p>
      <w:pPr>
        <w:spacing w:after="0" w:line="79" w:lineRule="exact"/>
        <w:rPr>
          <w:rFonts w:ascii="Arial" w:cs="Arial" w:eastAsia="Arial" w:hAnsi="Arial"/>
          <w:sz w:val="18"/>
          <w:szCs w:val="18"/>
          <w:color w:val="auto"/>
        </w:rPr>
      </w:pPr>
    </w:p>
    <w:p>
      <w:pPr>
        <w:jc w:val="both"/>
        <w:ind w:firstLine="1428"/>
        <w:spacing w:after="0" w:line="263" w:lineRule="auto"/>
        <w:tabs>
          <w:tab w:leader="none" w:pos="16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spacing w:after="0" w:line="75" w:lineRule="exact"/>
        <w:rPr>
          <w:rFonts w:ascii="Arial" w:cs="Arial" w:eastAsia="Arial" w:hAnsi="Arial"/>
          <w:sz w:val="18"/>
          <w:szCs w:val="18"/>
          <w:color w:val="auto"/>
        </w:rPr>
      </w:pPr>
    </w:p>
    <w:p>
      <w:pPr>
        <w:ind w:right="100" w:firstLine="1428"/>
        <w:spacing w:after="0" w:line="277" w:lineRule="auto"/>
        <w:tabs>
          <w:tab w:leader="none" w:pos="16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type w:val="continuous"/>
        </w:sectPr>
      </w:pPr>
    </w:p>
    <w:bookmarkStart w:id="97" w:name="page98"/>
    <w:bookmarkEnd w:id="97"/>
    <w:p>
      <w:pPr>
        <w:ind w:left="-40" w:right="160" w:firstLine="1428"/>
        <w:spacing w:after="0" w:line="277" w:lineRule="auto"/>
        <w:tabs>
          <w:tab w:leader="none" w:pos="1617"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 of the Award is voluntary and occasional and does not create any contractual or other right to receive future grants of Awards, or benefits in lieu of Awards, even if Awards have been granted repeatedly in the past.</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17" w:lineRule="exact"/>
        <w:rPr>
          <w:rFonts w:ascii="Arial" w:cs="Arial" w:eastAsia="Arial" w:hAnsi="Arial"/>
          <w:sz w:val="18"/>
          <w:szCs w:val="18"/>
          <w:color w:val="auto"/>
        </w:rPr>
      </w:pPr>
    </w:p>
    <w:p>
      <w:pPr>
        <w:ind w:left="-40" w:firstLine="1428"/>
        <w:spacing w:after="0" w:line="263" w:lineRule="auto"/>
        <w:tabs>
          <w:tab w:leader="none" w:pos="1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17" w:lineRule="exact"/>
        <w:rPr>
          <w:rFonts w:ascii="Arial" w:cs="Arial" w:eastAsia="Arial" w:hAnsi="Arial"/>
          <w:sz w:val="18"/>
          <w:szCs w:val="18"/>
          <w:color w:val="auto"/>
        </w:rPr>
      </w:pPr>
    </w:p>
    <w:p>
      <w:pPr>
        <w:jc w:val="both"/>
        <w:ind w:left="-40" w:firstLine="1428"/>
        <w:spacing w:after="0" w:line="263" w:lineRule="auto"/>
        <w:tabs>
          <w:tab w:leader="none" w:pos="16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spacing w:after="0" w:line="75" w:lineRule="exact"/>
        <w:rPr>
          <w:rFonts w:ascii="Arial" w:cs="Arial" w:eastAsia="Arial" w:hAnsi="Arial"/>
          <w:sz w:val="18"/>
          <w:szCs w:val="18"/>
          <w:color w:val="auto"/>
        </w:rPr>
      </w:pPr>
    </w:p>
    <w:p>
      <w:pPr>
        <w:ind w:left="-40" w:right="220" w:firstLine="1428"/>
        <w:spacing w:after="0" w:line="263" w:lineRule="auto"/>
        <w:tabs>
          <w:tab w:leader="none" w:pos="1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spacing w:after="0" w:line="75" w:lineRule="exact"/>
        <w:rPr>
          <w:rFonts w:ascii="Arial" w:cs="Arial" w:eastAsia="Arial" w:hAnsi="Arial"/>
          <w:sz w:val="18"/>
          <w:szCs w:val="18"/>
          <w:color w:val="auto"/>
        </w:rPr>
      </w:pPr>
    </w:p>
    <w:p>
      <w:pPr>
        <w:ind w:left="-40" w:right="20" w:firstLine="1428"/>
        <w:spacing w:after="0" w:line="277" w:lineRule="auto"/>
        <w:tabs>
          <w:tab w:leader="none" w:pos="16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that the Participant does not provide Service to the Participating Company, the Award grant will not be interpreted to form an employment, consulting or other service contract or relationship with the Participating Company.</w:t>
      </w:r>
    </w:p>
    <w:p>
      <w:pPr>
        <w:spacing w:after="0" w:line="62" w:lineRule="exact"/>
        <w:rPr>
          <w:rFonts w:ascii="Arial" w:cs="Arial" w:eastAsia="Arial" w:hAnsi="Arial"/>
          <w:sz w:val="18"/>
          <w:szCs w:val="18"/>
          <w:color w:val="auto"/>
        </w:rPr>
      </w:pPr>
    </w:p>
    <w:p>
      <w:pPr>
        <w:ind w:left="-40" w:right="240" w:firstLine="1428"/>
        <w:spacing w:after="0" w:line="277" w:lineRule="auto"/>
        <w:tabs>
          <w:tab w:leader="none" w:pos="169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62" w:lineRule="exact"/>
        <w:rPr>
          <w:rFonts w:ascii="Arial" w:cs="Arial" w:eastAsia="Arial" w:hAnsi="Arial"/>
          <w:sz w:val="18"/>
          <w:szCs w:val="18"/>
          <w:color w:val="auto"/>
        </w:rPr>
      </w:pPr>
    </w:p>
    <w:p>
      <w:pPr>
        <w:ind w:left="-40" w:right="100" w:firstLine="1428"/>
        <w:spacing w:after="0" w:line="296" w:lineRule="auto"/>
        <w:tabs>
          <w:tab w:leader="none" w:pos="16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53" w:lineRule="exact"/>
        <w:rPr>
          <w:rFonts w:ascii="Arial" w:cs="Arial" w:eastAsia="Arial" w:hAnsi="Arial"/>
          <w:sz w:val="16"/>
          <w:szCs w:val="16"/>
          <w:color w:val="auto"/>
        </w:rPr>
      </w:pPr>
    </w:p>
    <w:p>
      <w:pPr>
        <w:jc w:val="both"/>
        <w:ind w:left="-40" w:right="320" w:firstLine="1428"/>
        <w:spacing w:after="0" w:line="263" w:lineRule="auto"/>
        <w:tabs>
          <w:tab w:leader="none" w:pos="16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4" w:right="499" w:bottom="1440" w:gutter="0" w:footer="0" w:header="0"/>
        </w:sectPr>
      </w:pPr>
    </w:p>
    <w:bookmarkStart w:id="98" w:name="page99"/>
    <w:bookmarkEnd w:id="9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b w:val="1"/>
          <w:bCs w:val="1"/>
          <w:color w:val="auto"/>
        </w:rPr>
        <w:t>Data Privacy Consent.</w:t>
      </w:r>
    </w:p>
    <w:p>
      <w:pPr>
        <w:spacing w:after="0" w:line="117" w:lineRule="exact"/>
        <w:rPr>
          <w:sz w:val="20"/>
          <w:szCs w:val="20"/>
          <w:color w:val="auto"/>
        </w:rPr>
      </w:pPr>
    </w:p>
    <w:p>
      <w:pPr>
        <w:jc w:val="both"/>
        <w:ind w:right="40" w:firstLine="143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IN</w:t>
      </w:r>
      <w:r>
        <w:rPr>
          <w:rFonts w:ascii="Arial" w:cs="Arial" w:eastAsia="Arial" w:hAnsi="Arial"/>
          <w:sz w:val="18"/>
          <w:szCs w:val="18"/>
          <w:color w:val="auto"/>
        </w:rPr>
        <w:t xml:space="preserve"> </w:t>
      </w:r>
      <w:r>
        <w:rPr>
          <w:rFonts w:ascii="Arial" w:cs="Arial" w:eastAsia="Arial" w:hAnsi="Arial"/>
          <w:sz w:val="14"/>
          <w:szCs w:val="14"/>
          <w:b w:val="1"/>
          <w:bCs w:val="1"/>
          <w:color w:val="auto"/>
        </w:rPr>
        <w:t>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66" w:lineRule="exact"/>
        <w:rPr>
          <w:sz w:val="20"/>
          <w:szCs w:val="20"/>
          <w:color w:val="auto"/>
        </w:rPr>
      </w:pPr>
    </w:p>
    <w:p>
      <w:pPr>
        <w:ind w:right="180" w:firstLine="143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B</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ARTICIPATING</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4"/>
          <w:szCs w:val="14"/>
          <w:b w:val="1"/>
          <w:bCs w:val="1"/>
          <w:color w:val="auto"/>
        </w:rPr>
        <w:t>ROUP HOLDS CERTAIN PERSONAL</w:t>
      </w:r>
      <w:r>
        <w:rPr>
          <w:rFonts w:ascii="Arial" w:cs="Arial" w:eastAsia="Arial" w:hAnsi="Arial"/>
          <w:sz w:val="18"/>
          <w:szCs w:val="18"/>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SECURITY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FAVOR </w:t>
      </w:r>
      <w:r>
        <w:rPr>
          <w:rFonts w:ascii="Arial" w:cs="Arial" w:eastAsia="Arial" w:hAnsi="Arial"/>
          <w:sz w:val="17"/>
          <w:szCs w:val="17"/>
          <w:b w:val="1"/>
          <w:bCs w:val="1"/>
          <w:color w:val="auto"/>
        </w:rPr>
        <w:t>(</w:t>
      </w:r>
      <w:r>
        <w:rPr>
          <w:rFonts w:ascii="Arial" w:cs="Arial" w:eastAsia="Arial" w:hAnsi="Arial"/>
          <w:sz w:val="14"/>
          <w:szCs w:val="14"/>
          <w:b w:val="1"/>
          <w:bCs w:val="1"/>
          <w:color w:val="auto"/>
        </w:rPr>
        <w:t>COLLECTIVELY</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D</w:t>
      </w:r>
      <w:r>
        <w:rPr>
          <w:rFonts w:ascii="Arial" w:cs="Arial" w:eastAsia="Arial" w:hAnsi="Arial"/>
          <w:sz w:val="14"/>
          <w:szCs w:val="14"/>
          <w:b w:val="1"/>
          <w:bCs w:val="1"/>
          <w:i w:val="1"/>
          <w:i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AND THAT THE 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w:t>
      </w:r>
    </w:p>
    <w:p>
      <w:pPr>
        <w:spacing w:after="0" w:line="286" w:lineRule="exact"/>
        <w:rPr>
          <w:sz w:val="20"/>
          <w:szCs w:val="20"/>
          <w:color w:val="auto"/>
        </w:rPr>
      </w:pPr>
    </w:p>
    <w:p>
      <w:pPr>
        <w:ind w:firstLine="1428"/>
        <w:spacing w:after="0" w:line="267" w:lineRule="auto"/>
        <w:tabs>
          <w:tab w:leader="none" w:pos="1717"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HE OR SHE MAY REQUEST A LIST WITH THE NAMES AND ADDRESSES OF ANY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POTENTIAL RECIPIENTS OF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99" w:name="page100"/>
    <w:bookmarkEnd w:id="99"/>
    <w:p>
      <w:pPr>
        <w:ind w:left="620" w:hanging="184"/>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spacing w:after="0" w:line="188" w:lineRule="exact"/>
        <w:rPr>
          <w:sz w:val="20"/>
          <w:szCs w:val="20"/>
          <w:color w:val="auto"/>
        </w:rPr>
      </w:pPr>
    </w:p>
    <w:p>
      <w:pPr>
        <w:ind w:left="620" w:hanging="184"/>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the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72"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w:t>
      </w:r>
    </w:p>
    <w:p>
      <w:pPr>
        <w:spacing w:after="0" w:line="5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spacing w:after="0" w:line="172" w:lineRule="exact"/>
        <w:rPr>
          <w:sz w:val="20"/>
          <w:szCs w:val="20"/>
          <w:color w:val="auto"/>
        </w:rPr>
      </w:pPr>
    </w:p>
    <w:p>
      <w:pPr>
        <w:ind w:left="620" w:hanging="184"/>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or Vestable Units as provided in the Grant Notice. Dividend Equivalent Units shall become Vested Units at the same time as the Units originally subject to the Award with respect to which they have been credited.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00" w:name="page101"/>
    <w:bookmarkEnd w:id="100"/>
    <w:p>
      <w:pPr>
        <w:ind w:left="620" w:hanging="184"/>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p>
    <w:p>
      <w:pPr>
        <w:spacing w:after="0" w:line="180" w:lineRule="exact"/>
        <w:rPr>
          <w:sz w:val="20"/>
          <w:szCs w:val="20"/>
          <w:color w:val="auto"/>
        </w:rPr>
      </w:pPr>
    </w:p>
    <w:p>
      <w:pPr>
        <w:ind w:left="620" w:hanging="184"/>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91"/>
        <w:spacing w:after="0" w:line="23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as soon as reasonably practicable following the date upon which Units satisfy the vesting conditions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92"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60"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1" w:name="page102"/>
    <w:bookmarkEnd w:id="101"/>
    <w:p>
      <w:pPr>
        <w:ind w:left="620" w:hanging="184"/>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Service Recipient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may refuse to deliver the shares if the Participant fails to comply with the Participant’s obligations in connection with Tax-Related Items.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advisor regarding the Participant’s tax obligations prior to such settlement or disposition.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02" w:name="page103"/>
    <w:bookmarkEnd w:id="102"/>
    <w:p>
      <w:pPr>
        <w:ind w:left="620" w:hanging="184"/>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Upon the occurrence of a Change in Control during the Performance Period where a Replacement Award (as defined below) is provided to the Participant at the time of the Change in Control in lieu of the Units, the Units that remain outstanding and unvested as of immediately prior to the Change in Control shall remain outstanding and unvested, but the performance conditions with respect thereto shall be deemed satisfied at the target level of achievement. Upon the occurrence of a Change in Control where a Replacement Award is not provided to the Participant in lieu of the Units, the Units shall immediately vest at the target level of achievement; provided, </w:t>
      </w:r>
      <w:r>
        <w:rPr>
          <w:rFonts w:ascii="Arial" w:cs="Arial" w:eastAsia="Arial" w:hAnsi="Arial"/>
          <w:sz w:val="17"/>
          <w:szCs w:val="17"/>
          <w:u w:val="single" w:color="auto"/>
          <w:color w:val="auto"/>
        </w:rPr>
        <w:t>however</w:t>
      </w:r>
      <w:r>
        <w:rPr>
          <w:rFonts w:ascii="Arial" w:cs="Arial" w:eastAsia="Arial" w:hAnsi="Arial"/>
          <w:sz w:val="17"/>
          <w:szCs w:val="17"/>
          <w:color w:val="auto"/>
        </w:rPr>
        <w:t>, if the Change in Control occurs after the end of the Performance Period, then the aforesaid Units shall vest based on actual Company performance. In either case, all Units in excess of the aforesaid vesting shall immediately be forfeited and cancelled, unless otherwise determined by the Committee, and Participant shall not be entitled to any compensation or other amount with respect thereto.</w:t>
      </w:r>
    </w:p>
    <w:p>
      <w:pPr>
        <w:spacing w:after="0" w:line="6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or is of the same type as the Award that is replaced or adjusted by a Replacement Award (the “</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 (iii) 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168" w:lineRule="exact"/>
        <w:rPr>
          <w:sz w:val="20"/>
          <w:szCs w:val="20"/>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03" w:name="page104"/>
    <w:bookmarkEnd w:id="10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74" w:lineRule="exact"/>
        <w:rPr>
          <w:sz w:val="20"/>
          <w:szCs w:val="20"/>
          <w:color w:val="auto"/>
        </w:rPr>
      </w:pPr>
    </w:p>
    <w:p>
      <w:pPr>
        <w:ind w:left="700" w:hanging="26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spacing w:after="0" w:line="188" w:lineRule="exact"/>
        <w:rPr>
          <w:sz w:val="20"/>
          <w:szCs w:val="20"/>
          <w:color w:val="auto"/>
        </w:rPr>
      </w:pPr>
    </w:p>
    <w:p>
      <w:pPr>
        <w:ind w:left="700" w:hanging="264"/>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700" w:hanging="26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set forth in Section 9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04" w:name="page105"/>
    <w:bookmarkEnd w:id="104"/>
    <w:p>
      <w:pPr>
        <w:ind w:right="12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7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54"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8"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69" w:lineRule="exact"/>
        <w:rPr>
          <w:sz w:val="20"/>
          <w:szCs w:val="20"/>
          <w:color w:val="auto"/>
        </w:rPr>
      </w:pPr>
    </w:p>
    <w:p>
      <w:pPr>
        <w:ind w:firstLine="1428"/>
        <w:spacing w:after="0" w:line="273" w:lineRule="auto"/>
        <w:tabs>
          <w:tab w:leader="none" w:pos="1677"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69" w:lineRule="exact"/>
        <w:rPr>
          <w:rFonts w:ascii="Arial" w:cs="Arial" w:eastAsia="Arial" w:hAnsi="Arial"/>
          <w:sz w:val="17"/>
          <w:szCs w:val="17"/>
          <w:color w:val="auto"/>
        </w:rPr>
      </w:pPr>
    </w:p>
    <w:p>
      <w:pPr>
        <w:ind w:right="40" w:firstLine="1428"/>
        <w:spacing w:after="0" w:line="273" w:lineRule="auto"/>
        <w:tabs>
          <w:tab w:leader="none" w:pos="1687"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Consent to Electronic Delivery. </w:t>
      </w:r>
      <w:r>
        <w:rPr>
          <w:rFonts w:ascii="Arial" w:cs="Arial" w:eastAsia="Arial" w:hAnsi="Arial"/>
          <w:sz w:val="17"/>
          <w:szCs w:val="17"/>
          <w:color w:val="auto"/>
        </w:rPr>
        <w:t>The Participant acknowledges that the Participant has read Section 13.5(a)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05" w:name="page106"/>
    <w:bookmarkEnd w:id="105"/>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76"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75"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79" w:lineRule="exact"/>
        <w:rPr>
          <w:sz w:val="20"/>
          <w:szCs w:val="20"/>
          <w:color w:val="auto"/>
        </w:rPr>
      </w:pPr>
    </w:p>
    <w:p>
      <w:pPr>
        <w:ind w:right="120" w:firstLine="991"/>
        <w:spacing w:after="0" w:line="303"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43" w:lineRule="exact"/>
        <w:rPr>
          <w:sz w:val="20"/>
          <w:szCs w:val="20"/>
          <w:color w:val="auto"/>
        </w:rPr>
      </w:pPr>
    </w:p>
    <w:p>
      <w:pPr>
        <w:jc w:val="both"/>
        <w:ind w:right="20" w:firstLine="991"/>
        <w:spacing w:after="0" w:line="281"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b w:val="1"/>
          <w:bCs w:val="1"/>
          <w:color w:val="auto"/>
        </w:rPr>
        <w:t>Language.</w:t>
      </w:r>
      <w:r>
        <w:rPr>
          <w:rFonts w:ascii="Arial" w:cs="Arial" w:eastAsia="Arial" w:hAnsi="Arial"/>
          <w:sz w:val="17"/>
          <w:szCs w:val="17"/>
          <w:color w:val="auto"/>
        </w:rPr>
        <w:t xml:space="preserve"> 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57" w:lineRule="exact"/>
        <w:rPr>
          <w:sz w:val="20"/>
          <w:szCs w:val="20"/>
          <w:color w:val="auto"/>
        </w:rPr>
      </w:pPr>
    </w:p>
    <w:p>
      <w:pPr>
        <w:ind w:right="120" w:firstLine="991"/>
        <w:spacing w:after="0" w:line="274"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b w:val="1"/>
          <w:bCs w:val="1"/>
          <w:color w:val="auto"/>
        </w:rPr>
        <w:t>Insider Trading / Market Abuse Restrictions.</w:t>
      </w:r>
      <w:r>
        <w:rPr>
          <w:rFonts w:ascii="Arial" w:cs="Arial" w:eastAsia="Arial" w:hAnsi="Arial"/>
          <w:sz w:val="17"/>
          <w:szCs w:val="17"/>
          <w:color w:val="auto"/>
        </w:rPr>
        <w:t xml:space="preserve">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06" w:name="page107"/>
    <w:bookmarkEnd w:id="106"/>
    <w:p>
      <w:pPr>
        <w:ind w:firstLine="991"/>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13.11 </w:t>
      </w:r>
      <w:r>
        <w:rPr>
          <w:rFonts w:ascii="Arial" w:cs="Arial" w:eastAsia="Arial" w:hAnsi="Arial"/>
          <w:sz w:val="16"/>
          <w:szCs w:val="16"/>
          <w:b w:val="1"/>
          <w:bCs w:val="1"/>
          <w:color w:val="auto"/>
        </w:rPr>
        <w:t>Foreign Asset and Account Reporting and Exchange Control Requirements.</w:t>
      </w:r>
      <w:r>
        <w:rPr>
          <w:rFonts w:ascii="Arial" w:cs="Arial" w:eastAsia="Arial" w:hAnsi="Arial"/>
          <w:sz w:val="16"/>
          <w:szCs w:val="16"/>
          <w:color w:val="auto"/>
        </w:rPr>
        <w:t xml:space="preserve">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spacing w:after="0" w:line="52" w:lineRule="exact"/>
        <w:rPr>
          <w:sz w:val="20"/>
          <w:szCs w:val="20"/>
          <w:color w:val="auto"/>
        </w:rPr>
      </w:pPr>
    </w:p>
    <w:p>
      <w:pPr>
        <w:ind w:right="520" w:firstLine="991"/>
        <w:spacing w:after="0" w:line="347"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color w:val="auto"/>
        </w:rPr>
        <w:t>Waiver.</w:t>
      </w:r>
      <w:r>
        <w:rPr>
          <w:rFonts w:ascii="Arial" w:cs="Arial" w:eastAsia="Arial" w:hAnsi="Arial"/>
          <w:sz w:val="16"/>
          <w:szCs w:val="16"/>
          <w:color w:val="auto"/>
        </w:rPr>
        <w:t xml:space="preserve"> The Participant acknowledges that a waiver by the Company of breach of any provision of this Agreement by the Participant shall not operate or be construed as a waiver of any other provision of this Agreement, or of any subsequent breach by the Participant.</w:t>
      </w:r>
    </w:p>
    <w:p>
      <w:pPr>
        <w:spacing w:after="0" w:line="8"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54"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Company’s Clawback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w:t>
      </w:r>
    </w:p>
    <w:p>
      <w:pPr>
        <w:spacing w:after="0" w:line="225"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ADDITIONAL TERMS AND CONDITIONS OF MAGNACHIP SEMICONDUCTOR CORPORATION PERFORMANCE-BASED RESTRICTED STOCK UNITS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 the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additional terms and conditions, as well as notifications, that apply to Korea and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0" w:right="5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country-specific terms and conditions.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paragraph is inserted as a new Section 13.15 to the PSU Agreement:</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and the terms and conditions for the Participant’s country set forth therein are incorporated by reference into this Agreement. The Participant shall be entitled to Dividend Equivalent Rights with respect to the Award.</w:t>
      </w:r>
    </w:p>
    <w:p>
      <w:pPr>
        <w:spacing w:after="0" w:line="188"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620" w:hanging="184"/>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680" w:hanging="252"/>
        <w:spacing w:after="0"/>
        <w:tabs>
          <w:tab w:leader="none" w:pos="16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58" w:lineRule="exact"/>
        <w:rPr>
          <w:sz w:val="20"/>
          <w:szCs w:val="20"/>
          <w:color w:val="auto"/>
        </w:rPr>
      </w:pPr>
    </w:p>
    <w:p>
      <w:pPr>
        <w:ind w:left="620" w:hanging="184"/>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0" w:name="page111"/>
    <w:bookmarkEnd w:id="110"/>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b w:val="1"/>
          <w:bCs w:val="1"/>
          <w:color w:val="auto"/>
        </w:rPr>
        <w:t>Service Conditions.</w:t>
      </w:r>
      <w:r>
        <w:rPr>
          <w:rFonts w:ascii="Arial" w:cs="Arial" w:eastAsia="Arial" w:hAnsi="Arial"/>
          <w:sz w:val="18"/>
          <w:szCs w:val="18"/>
          <w:color w:val="auto"/>
        </w:rPr>
        <w:t xml:space="preserve"> By accepting the Award, the Participant acknowledges and agrees that:</w:t>
      </w:r>
    </w:p>
    <w:p>
      <w:pPr>
        <w:spacing w:after="0" w:line="229" w:lineRule="exact"/>
        <w:rPr>
          <w:sz w:val="20"/>
          <w:szCs w:val="20"/>
          <w:color w:val="auto"/>
        </w:rPr>
      </w:pPr>
    </w:p>
    <w:p>
      <w:pPr>
        <w:ind w:left="-20" w:right="100" w:firstLine="1428"/>
        <w:spacing w:after="0" w:line="257" w:lineRule="auto"/>
        <w:tabs>
          <w:tab w:leader="none" w:pos="16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left="-20" w:right="40" w:firstLine="1428"/>
        <w:spacing w:after="0" w:line="286" w:lineRule="auto"/>
        <w:tabs>
          <w:tab w:leader="none" w:pos="1667"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Participant’s employment or service is terminated by the Participating Company to which the Participant renders Service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without Cause or if the Participant resigns for Good Reason, in each case not in connection with a CIC Qualified Termination (as each capitalized term is defined in the Participant’s employment, consulting or other service contract) prior to the full settlement of the Award, the Participant will remain eligible to vest (determined in accordance with the terms set forth in the Grant Notice) in a pro rata portion of the Units on the Certification Date following the end of the Performance Period based on actual Company performance, with such pro rata portion determined by multiplying the total number of the Units remaining outstanding and unvested immediately prior to such termination by a fraction, (x) the numerator of which is the number of full months (without any rounding) that the Participant provided continuous Service during the Performance Period, and (y) the denominator of which is the number of full months in the full Performance Period. All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Units that remain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on which the Change in Control is consummated shall be treated as the Settlement Date for purposes of Section 7 hereof.</w:t>
      </w:r>
    </w:p>
    <w:p>
      <w:pPr>
        <w:spacing w:after="0" w:line="170" w:lineRule="exact"/>
        <w:rPr>
          <w:rFonts w:ascii="Arial" w:cs="Arial" w:eastAsia="Arial" w:hAnsi="Arial"/>
          <w:sz w:val="16"/>
          <w:szCs w:val="16"/>
          <w:color w:val="auto"/>
        </w:rPr>
      </w:pPr>
    </w:p>
    <w:p>
      <w:pPr>
        <w:ind w:left="-20" w:right="300" w:firstLine="1428"/>
        <w:spacing w:after="0" w:line="277" w:lineRule="auto"/>
        <w:tabs>
          <w:tab w:leader="none" w:pos="16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Units that remain outstanding and unvested Units (if any) shall fully vest on the date of such termination at the target level of achievement (determined in accordance with the Grant Notice).</w:t>
      </w:r>
    </w:p>
    <w:p>
      <w:pPr>
        <w:spacing w:after="0" w:line="170" w:lineRule="exact"/>
        <w:rPr>
          <w:rFonts w:ascii="Arial" w:cs="Arial" w:eastAsia="Arial" w:hAnsi="Arial"/>
          <w:sz w:val="18"/>
          <w:szCs w:val="18"/>
          <w:color w:val="auto"/>
        </w:rPr>
      </w:pPr>
    </w:p>
    <w:p>
      <w:pPr>
        <w:ind w:left="-20" w:firstLine="1428"/>
        <w:spacing w:after="0" w:line="263" w:lineRule="auto"/>
        <w:tabs>
          <w:tab w:leader="none" w:pos="16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spacing w:after="0" w:line="183" w:lineRule="exact"/>
        <w:rPr>
          <w:rFonts w:ascii="Arial" w:cs="Arial" w:eastAsia="Arial" w:hAnsi="Arial"/>
          <w:sz w:val="18"/>
          <w:szCs w:val="18"/>
          <w:color w:val="auto"/>
        </w:rPr>
      </w:pPr>
    </w:p>
    <w:p>
      <w:pPr>
        <w:ind w:left="-20" w:right="100" w:firstLine="1428"/>
        <w:spacing w:after="0" w:line="277" w:lineRule="auto"/>
        <w:tabs>
          <w:tab w:leader="none" w:pos="16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0" w:right="459" w:bottom="1440" w:gutter="0" w:footer="0" w:header="0"/>
        </w:sectPr>
      </w:pPr>
    </w:p>
    <w:bookmarkStart w:id="111" w:name="page112"/>
    <w:bookmarkEnd w:id="111"/>
    <w:p>
      <w:pPr>
        <w:ind w:left="-40" w:right="160" w:firstLine="1428"/>
        <w:spacing w:after="0" w:line="277" w:lineRule="auto"/>
        <w:tabs>
          <w:tab w:leader="none" w:pos="1617"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640" w:hanging="252"/>
        <w:spacing w:after="0"/>
        <w:tabs>
          <w:tab w:leader="none" w:pos="1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left="-40" w:firstLine="1428"/>
        <w:spacing w:after="0" w:line="263" w:lineRule="auto"/>
        <w:tabs>
          <w:tab w:leader="none" w:pos="16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600" w:hanging="212"/>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jc w:val="both"/>
        <w:ind w:left="-40" w:firstLine="1428"/>
        <w:spacing w:after="0" w:line="263" w:lineRule="auto"/>
        <w:tabs>
          <w:tab w:leader="none" w:pos="160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spacing w:after="0" w:line="183" w:lineRule="exact"/>
        <w:rPr>
          <w:rFonts w:ascii="Arial" w:cs="Arial" w:eastAsia="Arial" w:hAnsi="Arial"/>
          <w:sz w:val="18"/>
          <w:szCs w:val="18"/>
          <w:color w:val="auto"/>
        </w:rPr>
      </w:pPr>
    </w:p>
    <w:p>
      <w:pPr>
        <w:ind w:left="-40" w:right="220" w:firstLine="1428"/>
        <w:spacing w:after="0" w:line="263" w:lineRule="auto"/>
        <w:tabs>
          <w:tab w:leader="none" w:pos="16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40" w:right="20" w:firstLine="1428"/>
        <w:spacing w:after="0" w:line="277" w:lineRule="auto"/>
        <w:tabs>
          <w:tab w:leader="none" w:pos="160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that the Participant does not provide Service to the Participating Company, the Award grant will not be interpreted to form an employment, consulting or other service contract or relationship with the Participating Company.</w:t>
      </w:r>
    </w:p>
    <w:p>
      <w:pPr>
        <w:spacing w:after="0" w:line="170" w:lineRule="exact"/>
        <w:rPr>
          <w:rFonts w:ascii="Arial" w:cs="Arial" w:eastAsia="Arial" w:hAnsi="Arial"/>
          <w:sz w:val="18"/>
          <w:szCs w:val="18"/>
          <w:color w:val="auto"/>
        </w:rPr>
      </w:pPr>
    </w:p>
    <w:p>
      <w:pPr>
        <w:ind w:left="-40" w:right="240" w:firstLine="1428"/>
        <w:spacing w:after="0" w:line="277" w:lineRule="auto"/>
        <w:tabs>
          <w:tab w:leader="none" w:pos="16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40" w:right="100" w:firstLine="1428"/>
        <w:spacing w:after="0" w:line="296" w:lineRule="auto"/>
        <w:tabs>
          <w:tab w:leader="none" w:pos="16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61" w:lineRule="exact"/>
        <w:rPr>
          <w:rFonts w:ascii="Arial" w:cs="Arial" w:eastAsia="Arial" w:hAnsi="Arial"/>
          <w:sz w:val="16"/>
          <w:szCs w:val="16"/>
          <w:color w:val="auto"/>
        </w:rPr>
      </w:pPr>
    </w:p>
    <w:p>
      <w:pPr>
        <w:jc w:val="both"/>
        <w:ind w:left="-40" w:right="320" w:firstLine="1428"/>
        <w:spacing w:after="0" w:line="263" w:lineRule="auto"/>
        <w:tabs>
          <w:tab w:leader="none" w:pos="16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112" w:name="page113"/>
    <w:bookmarkEnd w:id="11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b w:val="1"/>
          <w:bCs w:val="1"/>
          <w:color w:val="auto"/>
        </w:rPr>
        <w:t>Data Privacy Consent.</w:t>
      </w:r>
    </w:p>
    <w:p>
      <w:pPr>
        <w:spacing w:after="0" w:line="225" w:lineRule="exact"/>
        <w:rPr>
          <w:sz w:val="20"/>
          <w:szCs w:val="20"/>
          <w:color w:val="auto"/>
        </w:rPr>
      </w:pPr>
    </w:p>
    <w:p>
      <w:pPr>
        <w:jc w:val="both"/>
        <w:ind w:right="40" w:firstLine="143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IN</w:t>
      </w:r>
      <w:r>
        <w:rPr>
          <w:rFonts w:ascii="Arial" w:cs="Arial" w:eastAsia="Arial" w:hAnsi="Arial"/>
          <w:sz w:val="18"/>
          <w:szCs w:val="18"/>
          <w:color w:val="auto"/>
        </w:rPr>
        <w:t xml:space="preserve"> </w:t>
      </w:r>
      <w:r>
        <w:rPr>
          <w:rFonts w:ascii="Arial" w:cs="Arial" w:eastAsia="Arial" w:hAnsi="Arial"/>
          <w:sz w:val="14"/>
          <w:szCs w:val="14"/>
          <w:b w:val="1"/>
          <w:bCs w:val="1"/>
          <w:color w:val="auto"/>
        </w:rPr>
        <w:t>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74" w:lineRule="exact"/>
        <w:rPr>
          <w:sz w:val="20"/>
          <w:szCs w:val="20"/>
          <w:color w:val="auto"/>
        </w:rPr>
      </w:pPr>
    </w:p>
    <w:p>
      <w:pPr>
        <w:ind w:right="180" w:firstLine="143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B</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ARTICIPATING</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4"/>
          <w:szCs w:val="14"/>
          <w:b w:val="1"/>
          <w:bCs w:val="1"/>
          <w:color w:val="auto"/>
        </w:rPr>
        <w:t>ROUP HOLDS CERTAIN PERSONAL</w:t>
      </w:r>
      <w:r>
        <w:rPr>
          <w:rFonts w:ascii="Arial" w:cs="Arial" w:eastAsia="Arial" w:hAnsi="Arial"/>
          <w:sz w:val="18"/>
          <w:szCs w:val="18"/>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SECURITY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FAVOR </w:t>
      </w:r>
      <w:r>
        <w:rPr>
          <w:rFonts w:ascii="Arial" w:cs="Arial" w:eastAsia="Arial" w:hAnsi="Arial"/>
          <w:sz w:val="17"/>
          <w:szCs w:val="17"/>
          <w:b w:val="1"/>
          <w:bCs w:val="1"/>
          <w:color w:val="auto"/>
        </w:rPr>
        <w:t>(</w:t>
      </w:r>
      <w:r>
        <w:rPr>
          <w:rFonts w:ascii="Arial" w:cs="Arial" w:eastAsia="Arial" w:hAnsi="Arial"/>
          <w:sz w:val="14"/>
          <w:szCs w:val="14"/>
          <w:b w:val="1"/>
          <w:bCs w:val="1"/>
          <w:color w:val="auto"/>
        </w:rPr>
        <w:t>COLLECTIVELY</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D</w:t>
      </w:r>
      <w:r>
        <w:rPr>
          <w:rFonts w:ascii="Arial" w:cs="Arial" w:eastAsia="Arial" w:hAnsi="Arial"/>
          <w:sz w:val="14"/>
          <w:szCs w:val="14"/>
          <w:b w:val="1"/>
          <w:bCs w:val="1"/>
          <w:i w:val="1"/>
          <w:i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AND THAT THE 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w:t>
      </w:r>
    </w:p>
    <w:p>
      <w:pPr>
        <w:spacing w:after="0" w:line="394" w:lineRule="exact"/>
        <w:rPr>
          <w:sz w:val="20"/>
          <w:szCs w:val="20"/>
          <w:color w:val="auto"/>
        </w:rPr>
      </w:pPr>
    </w:p>
    <w:p>
      <w:pPr>
        <w:ind w:firstLine="1428"/>
        <w:spacing w:after="0" w:line="267" w:lineRule="auto"/>
        <w:tabs>
          <w:tab w:leader="none" w:pos="1717"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HE OR SHE MAY REQUEST A LIST WITH THE NAMES AND ADDRESSES OF ANY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POTENTIAL RECIPIENTS OF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13" w:name="page114"/>
    <w:bookmarkEnd w:id="113"/>
    <w:p>
      <w:pPr>
        <w:ind w:left="620" w:hanging="184"/>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spacing w:after="0" w:line="188" w:lineRule="exact"/>
        <w:rPr>
          <w:sz w:val="20"/>
          <w:szCs w:val="20"/>
          <w:color w:val="auto"/>
        </w:rPr>
      </w:pPr>
    </w:p>
    <w:p>
      <w:pPr>
        <w:ind w:left="620" w:hanging="184"/>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the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w:t>
      </w:r>
    </w:p>
    <w:p>
      <w:pPr>
        <w:spacing w:after="0" w:line="162"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spacing w:after="0" w:line="172" w:lineRule="exact"/>
        <w:rPr>
          <w:sz w:val="20"/>
          <w:szCs w:val="20"/>
          <w:color w:val="auto"/>
        </w:rPr>
      </w:pPr>
    </w:p>
    <w:p>
      <w:pPr>
        <w:ind w:left="620" w:hanging="184"/>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Units acquired pursuant to this Agreement shall become Vested Units as provided in the Grant Notice. Dividend Equivalent Units shall become Vested Units at the same time as the Units originally subject to the Award with respect to which they have been credited.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14" w:name="page115"/>
    <w:bookmarkEnd w:id="114"/>
    <w:p>
      <w:pPr>
        <w:ind w:left="620" w:hanging="184"/>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p>
    <w:p>
      <w:pPr>
        <w:spacing w:after="0" w:line="180" w:lineRule="exact"/>
        <w:rPr>
          <w:sz w:val="20"/>
          <w:szCs w:val="20"/>
          <w:color w:val="auto"/>
        </w:rPr>
      </w:pPr>
    </w:p>
    <w:p>
      <w:pPr>
        <w:ind w:left="620" w:hanging="184"/>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3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as soon as reasonably practicable following the date upon which Units satisfy the vesting conditions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”)(but in no event later than March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200"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15" w:name="page116"/>
    <w:bookmarkEnd w:id="115"/>
    <w:p>
      <w:pPr>
        <w:ind w:left="620" w:hanging="184"/>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Service Recipient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may refuse to deliver the shares if the Participant fails to comply with the Participant’s obligations in connection with Tax-Related Items.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advisor regarding the Participant’s tax obligations prior to such settlement or disposition.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16" w:name="page117"/>
    <w:bookmarkEnd w:id="116"/>
    <w:p>
      <w:pPr>
        <w:ind w:left="620" w:hanging="184"/>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the event of a Change in Control during the Performance Period, subject to the Participant’s continued Service on the date that such Change in Control is consummated, the Target Award (and any Dividend Equivalent Units associated therewith) shall vest and the date that the Change in Control is consummated shall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64" w:lineRule="exact"/>
        <w:rPr>
          <w:sz w:val="20"/>
          <w:szCs w:val="20"/>
          <w:color w:val="auto"/>
        </w:rPr>
      </w:pPr>
    </w:p>
    <w:p>
      <w:pPr>
        <w:ind w:left="700" w:hanging="264"/>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59" w:lineRule="exact"/>
        <w:rPr>
          <w:sz w:val="20"/>
          <w:szCs w:val="20"/>
          <w:color w:val="auto"/>
        </w:rPr>
      </w:pPr>
    </w:p>
    <w:p>
      <w:pPr>
        <w:ind w:left="700" w:hanging="264"/>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17" w:name="page118"/>
    <w:bookmarkEnd w:id="117"/>
    <w:p>
      <w:pPr>
        <w:ind w:left="700" w:hanging="264"/>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700" w:hanging="264"/>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set forth in Section 9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51"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18" w:name="page119"/>
    <w:bookmarkEnd w:id="118"/>
    <w:p>
      <w:pPr>
        <w:ind w:firstLine="1428"/>
        <w:spacing w:after="0" w:line="273" w:lineRule="auto"/>
        <w:tabs>
          <w:tab w:leader="none" w:pos="1677"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7" w:lineRule="exact"/>
        <w:rPr>
          <w:rFonts w:ascii="Arial" w:cs="Arial" w:eastAsia="Arial" w:hAnsi="Arial"/>
          <w:sz w:val="17"/>
          <w:szCs w:val="17"/>
          <w:color w:val="auto"/>
        </w:rPr>
      </w:pPr>
    </w:p>
    <w:p>
      <w:pPr>
        <w:ind w:right="20" w:firstLine="1428"/>
        <w:spacing w:after="0" w:line="288" w:lineRule="auto"/>
        <w:tabs>
          <w:tab w:leader="none" w:pos="1687"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9" w:name="page120"/>
    <w:bookmarkEnd w:id="119"/>
    <w:p>
      <w:pPr>
        <w:ind w:right="100" w:firstLine="99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51" w:lineRule="exact"/>
        <w:rPr>
          <w:sz w:val="20"/>
          <w:szCs w:val="20"/>
          <w:color w:val="auto"/>
        </w:rPr>
      </w:pPr>
    </w:p>
    <w:p>
      <w:pPr>
        <w:jc w:val="both"/>
        <w:ind w:firstLine="991"/>
        <w:spacing w:after="0" w:line="281"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b w:val="1"/>
          <w:bCs w:val="1"/>
          <w:color w:val="auto"/>
        </w:rPr>
        <w:t>Language.</w:t>
      </w:r>
      <w:r>
        <w:rPr>
          <w:rFonts w:ascii="Arial" w:cs="Arial" w:eastAsia="Arial" w:hAnsi="Arial"/>
          <w:sz w:val="17"/>
          <w:szCs w:val="17"/>
          <w:color w:val="auto"/>
        </w:rPr>
        <w:t xml:space="preserve"> 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5" w:lineRule="exact"/>
        <w:rPr>
          <w:sz w:val="20"/>
          <w:szCs w:val="20"/>
          <w:color w:val="auto"/>
        </w:rPr>
      </w:pPr>
    </w:p>
    <w:p>
      <w:pPr>
        <w:ind w:right="100" w:firstLine="991"/>
        <w:spacing w:after="0" w:line="274"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b w:val="1"/>
          <w:bCs w:val="1"/>
          <w:color w:val="auto"/>
        </w:rPr>
        <w:t>Insider Trading / Market Abuse Restrictions.</w:t>
      </w:r>
      <w:r>
        <w:rPr>
          <w:rFonts w:ascii="Arial" w:cs="Arial" w:eastAsia="Arial" w:hAnsi="Arial"/>
          <w:sz w:val="17"/>
          <w:szCs w:val="17"/>
          <w:color w:val="auto"/>
        </w:rPr>
        <w:t xml:space="preserve">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spacing w:after="0" w:line="173"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b w:val="1"/>
          <w:bCs w:val="1"/>
          <w:color w:val="auto"/>
        </w:rPr>
        <w:t>Foreign Asset and Account Reporting and Exchange Control Requirements.</w:t>
      </w:r>
      <w:r>
        <w:rPr>
          <w:rFonts w:ascii="Arial" w:cs="Arial" w:eastAsia="Arial" w:hAnsi="Arial"/>
          <w:sz w:val="16"/>
          <w:szCs w:val="16"/>
          <w:color w:val="auto"/>
        </w:rPr>
        <w:t xml:space="preserve">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spacing w:after="0" w:line="160" w:lineRule="exact"/>
        <w:rPr>
          <w:sz w:val="20"/>
          <w:szCs w:val="20"/>
          <w:color w:val="auto"/>
        </w:rPr>
      </w:pPr>
    </w:p>
    <w:p>
      <w:pPr>
        <w:ind w:right="520" w:firstLine="991"/>
        <w:spacing w:after="0" w:line="347"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color w:val="auto"/>
        </w:rPr>
        <w:t>Waiver.</w:t>
      </w:r>
      <w:r>
        <w:rPr>
          <w:rFonts w:ascii="Arial" w:cs="Arial" w:eastAsia="Arial" w:hAnsi="Arial"/>
          <w:sz w:val="16"/>
          <w:szCs w:val="16"/>
          <w:color w:val="auto"/>
        </w:rPr>
        <w:t xml:space="preserve"> The Participant acknowledges that a waiver by the Company of breach of any provision of this Agreement by the Participant shall not operate or be construed as a waiver of any other provision of this Agreement, or of any subsequent breach by the Participant.</w:t>
      </w:r>
    </w:p>
    <w:p>
      <w:pPr>
        <w:spacing w:after="0" w:line="116"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120" w:name="page121"/>
    <w:bookmarkEnd w:id="120"/>
    <w:p>
      <w:pPr>
        <w:ind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13.14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Company’s Clawback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0" w:right="55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 the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additional terms and conditions, as well as notifications, that apply to Korea and the United States.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0" w:right="5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paragraph is inserted as a new Section 13.15 to the Agreement:</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0" w:right="4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and the terms and conditions for the Participant’s country set forth therein are incorporated by reference into this Agreement. The Participant shall be entitled to Dividend Equivalent Rights with respect to the Award.</w:t>
      </w:r>
    </w:p>
    <w:p>
      <w:pPr>
        <w:spacing w:after="0" w:line="188"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65" w:lineRule="exact"/>
        <w:rPr>
          <w:sz w:val="20"/>
          <w:szCs w:val="20"/>
          <w:color w:val="auto"/>
        </w:rPr>
      </w:pPr>
    </w:p>
    <w:p>
      <w:pPr>
        <w:ind w:left="620" w:hanging="184"/>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Unless otherwise defined herein, capitalized terms shall have the meanings assigned to such terms in the Grant Notice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680" w:hanging="252"/>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r>
        <w:rPr>
          <w:rFonts w:ascii="Arial" w:cs="Arial" w:eastAsia="Arial" w:hAnsi="Arial"/>
          <w:sz w:val="17"/>
          <w:szCs w:val="17"/>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50" w:lineRule="exact"/>
        <w:rPr>
          <w:sz w:val="20"/>
          <w:szCs w:val="20"/>
          <w:color w:val="auto"/>
        </w:rPr>
      </w:pPr>
    </w:p>
    <w:p>
      <w:pPr>
        <w:ind w:left="620" w:hanging="184"/>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24" w:name="page125"/>
    <w:bookmarkEnd w:id="124"/>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b w:val="1"/>
          <w:bCs w:val="1"/>
          <w:color w:val="auto"/>
        </w:rPr>
        <w:t>Service Conditions.</w:t>
      </w:r>
      <w:r>
        <w:rPr>
          <w:rFonts w:ascii="Arial" w:cs="Arial" w:eastAsia="Arial" w:hAnsi="Arial"/>
          <w:sz w:val="18"/>
          <w:szCs w:val="18"/>
          <w:color w:val="auto"/>
        </w:rPr>
        <w:t xml:space="preserve"> By accepting the Award, the Participant acknowledges and agrees that:</w:t>
      </w:r>
    </w:p>
    <w:p>
      <w:pPr>
        <w:spacing w:after="0" w:line="229" w:lineRule="exact"/>
        <w:rPr>
          <w:sz w:val="20"/>
          <w:szCs w:val="20"/>
          <w:color w:val="auto"/>
        </w:rPr>
      </w:pPr>
    </w:p>
    <w:p>
      <w:pPr>
        <w:ind w:left="-20" w:right="100" w:firstLine="1428"/>
        <w:spacing w:after="0" w:line="257" w:lineRule="auto"/>
        <w:tabs>
          <w:tab w:leader="none" w:pos="16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left="-20" w:right="40" w:firstLine="1428"/>
        <w:spacing w:after="0" w:line="285" w:lineRule="auto"/>
        <w:tabs>
          <w:tab w:leader="none" w:pos="166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Participant’s employment or service is terminated by the Participating Company to which the Participant renders Service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without Cause or if the Participant resigns for Good Reason, in each case not in connection with a CIC Qualified Termination (as each capitalized term is defined in the Participant’s employment, consulting or other service contract) prior to the full settlement of the Award, the Participant will remain eligible to vest (determined in accordance with the terms set forth in the Grant Notice) in a pro rata portion of the Units on the Certification Date following the end of the Performance Period based on actual Company performance, with such pro rata portion determined by multiplying the total number of the Units remaining outstanding and unvested immediately prior to such termination by a fraction, (x) the numerator of which is the number of full months (without any rounding) that the Participant provided continuous Service during the Performance Period, and (y) the denominator of which is the number of full months in the full Performance Period. All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portion of the Units remaining outstanding and unvested immediately prior to the Change in Control (after application of the foregoing provisions of this Section 2.2(b)) that are eligible to vest and become nonforfeitable (“</w:t>
      </w:r>
      <w:r>
        <w:rPr>
          <w:rFonts w:ascii="Arial" w:cs="Arial" w:eastAsia="Arial" w:hAnsi="Arial"/>
          <w:sz w:val="16"/>
          <w:szCs w:val="16"/>
          <w:b w:val="1"/>
          <w:bCs w:val="1"/>
          <w:i w:val="1"/>
          <w:iCs w:val="1"/>
          <w:color w:val="auto"/>
        </w:rPr>
        <w:t>CIC Post-Termination Units</w:t>
      </w:r>
      <w:r>
        <w:rPr>
          <w:rFonts w:ascii="Arial" w:cs="Arial" w:eastAsia="Arial" w:hAnsi="Arial"/>
          <w:sz w:val="16"/>
          <w:szCs w:val="16"/>
          <w:color w:val="auto"/>
        </w:rPr>
        <w:t>”) will be determined as of the date of the Change in Control in accordance with Exhibit A to the Grant Notice and the date of the Change in Control will serve as the last day of the Performance Period for purposes of such determination. The CIC Post-Termination Units, if any, will vest immediately upon the occurrence of the Change in Control and the date on which the Change in Control is consummated shall be treated as the Settlement Date for purposes of Section 7 hereof.</w:t>
      </w:r>
    </w:p>
    <w:p>
      <w:pPr>
        <w:spacing w:after="0" w:line="176" w:lineRule="exact"/>
        <w:rPr>
          <w:rFonts w:ascii="Arial" w:cs="Arial" w:eastAsia="Arial" w:hAnsi="Arial"/>
          <w:sz w:val="16"/>
          <w:szCs w:val="16"/>
          <w:color w:val="auto"/>
        </w:rPr>
      </w:pPr>
    </w:p>
    <w:p>
      <w:pPr>
        <w:ind w:left="-20" w:firstLine="1428"/>
        <w:spacing w:after="0" w:line="259" w:lineRule="auto"/>
        <w:tabs>
          <w:tab w:leader="none" w:pos="16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Units that remain outstanding and unvested (after application of the provisions of Section 9) shall fully vest on the date of such termination, and, in the event that the date of such CIC Qualified Termination occurs prior to the occurrence of any Change in Control, the number of vested Units will be determined by the level of actual performance through the date of such CIC Qualified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0" w:right="459" w:bottom="1440" w:gutter="0" w:footer="0" w:header="0"/>
        </w:sectPr>
      </w:pPr>
    </w:p>
    <w:bookmarkStart w:id="125" w:name="page126"/>
    <w:bookmarkEnd w:id="125"/>
    <w:p>
      <w:pPr>
        <w:jc w:val="both"/>
        <w:ind w:left="-20" w:firstLine="1428"/>
        <w:spacing w:after="0" w:line="263" w:lineRule="auto"/>
        <w:tabs>
          <w:tab w:leader="none" w:pos="16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vesting of the Award shall cease upon, and no Units shall vest following, the termination of the Participant’s Service for any reason other than as set forth in Section 2.2 (b) or (c). Further, all unvested Units shall be forfeited and cancelled, and the Participant shall not be entitled to any compensation or other amount with respect thereto.</w:t>
      </w:r>
    </w:p>
    <w:p>
      <w:pPr>
        <w:spacing w:after="0" w:line="183" w:lineRule="exact"/>
        <w:rPr>
          <w:rFonts w:ascii="Arial" w:cs="Arial" w:eastAsia="Arial" w:hAnsi="Arial"/>
          <w:sz w:val="18"/>
          <w:szCs w:val="18"/>
          <w:color w:val="auto"/>
        </w:rPr>
      </w:pPr>
    </w:p>
    <w:p>
      <w:pPr>
        <w:ind w:left="-20" w:right="100" w:firstLine="1428"/>
        <w:spacing w:after="0" w:line="277" w:lineRule="auto"/>
        <w:tabs>
          <w:tab w:leader="none" w:pos="16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20" w:right="200" w:firstLine="1428"/>
        <w:spacing w:after="0" w:line="277" w:lineRule="auto"/>
        <w:tabs>
          <w:tab w:leader="none" w:pos="16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660" w:hanging="252"/>
        <w:spacing w:after="0"/>
        <w:tabs>
          <w:tab w:leader="none" w:pos="1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left="-20" w:right="40" w:firstLine="1428"/>
        <w:spacing w:after="0" w:line="263" w:lineRule="auto"/>
        <w:tabs>
          <w:tab w:leader="none" w:pos="16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620" w:hanging="212"/>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jc w:val="both"/>
        <w:ind w:left="-20" w:right="40" w:firstLine="1428"/>
        <w:spacing w:after="0" w:line="263" w:lineRule="auto"/>
        <w:tabs>
          <w:tab w:leader="none" w:pos="16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Award and resulting shares, if any, are an extraordinary item that does not constitute compensation of any kind for Service of any kind rendered to any Participating Company, and which is outside the scope of the Participant’s employment, consulting or other service contract, if any.</w:t>
      </w:r>
    </w:p>
    <w:p>
      <w:pPr>
        <w:spacing w:after="0" w:line="183" w:lineRule="exact"/>
        <w:rPr>
          <w:rFonts w:ascii="Arial" w:cs="Arial" w:eastAsia="Arial" w:hAnsi="Arial"/>
          <w:sz w:val="18"/>
          <w:szCs w:val="18"/>
          <w:color w:val="auto"/>
        </w:rPr>
      </w:pPr>
    </w:p>
    <w:p>
      <w:pPr>
        <w:ind w:left="-20" w:right="260" w:firstLine="1428"/>
        <w:spacing w:after="0" w:line="263" w:lineRule="auto"/>
        <w:tabs>
          <w:tab w:leader="none" w:pos="16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payment in lieu of notice, redundancy,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20" w:right="60" w:firstLine="1428"/>
        <w:spacing w:after="0" w:line="277" w:lineRule="auto"/>
        <w:tabs>
          <w:tab w:leader="none" w:pos="16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event that the Participant does not provide Service to the Participating Company, the Award grant will not be interpreted to form an employment, consulting or other service contract or relationship with the Participating Company.</w:t>
      </w:r>
    </w:p>
    <w:p>
      <w:pPr>
        <w:spacing w:after="0" w:line="170" w:lineRule="exact"/>
        <w:rPr>
          <w:rFonts w:ascii="Arial" w:cs="Arial" w:eastAsia="Arial" w:hAnsi="Arial"/>
          <w:sz w:val="18"/>
          <w:szCs w:val="18"/>
          <w:color w:val="auto"/>
        </w:rPr>
      </w:pPr>
    </w:p>
    <w:p>
      <w:pPr>
        <w:ind w:left="-20" w:right="280" w:firstLine="1428"/>
        <w:spacing w:after="0" w:line="277" w:lineRule="auto"/>
        <w:tabs>
          <w:tab w:leader="none" w:pos="17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20" w:right="140" w:firstLine="1428"/>
        <w:spacing w:after="0" w:line="296" w:lineRule="auto"/>
        <w:tabs>
          <w:tab w:leader="none" w:pos="16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126" w:name="page127"/>
    <w:bookmarkEnd w:id="126"/>
    <w:p>
      <w:pPr>
        <w:jc w:val="both"/>
        <w:ind w:right="360" w:firstLine="1428"/>
        <w:spacing w:after="0" w:line="263" w:lineRule="auto"/>
        <w:tabs>
          <w:tab w:leader="none" w:pos="16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Subsidiary shall be liable for any foreign exchange rate fluctuation between the Participant’s local currency and the United States Dollar that may affect the value of the Award, or any amounts due to the Participant pursuant to the settlement of the Award or the subsequent sale of any shares acquired upon settlement.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Data Privacy Consent.</w:t>
      </w:r>
    </w:p>
    <w:p>
      <w:pPr>
        <w:spacing w:after="0" w:line="225" w:lineRule="exact"/>
        <w:rPr>
          <w:sz w:val="20"/>
          <w:szCs w:val="20"/>
          <w:color w:val="auto"/>
        </w:rPr>
      </w:pPr>
    </w:p>
    <w:p>
      <w:pPr>
        <w:jc w:val="both"/>
        <w:ind w:right="40" w:firstLine="143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IN</w:t>
      </w:r>
      <w:r>
        <w:rPr>
          <w:rFonts w:ascii="Arial" w:cs="Arial" w:eastAsia="Arial" w:hAnsi="Arial"/>
          <w:sz w:val="18"/>
          <w:szCs w:val="18"/>
          <w:color w:val="auto"/>
        </w:rPr>
        <w:t xml:space="preserve"> </w:t>
      </w:r>
      <w:r>
        <w:rPr>
          <w:rFonts w:ascii="Arial" w:cs="Arial" w:eastAsia="Arial" w:hAnsi="Arial"/>
          <w:sz w:val="14"/>
          <w:szCs w:val="14"/>
          <w:b w:val="1"/>
          <w:bCs w:val="1"/>
          <w:color w:val="auto"/>
        </w:rPr>
        <w:t>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74" w:lineRule="exact"/>
        <w:rPr>
          <w:sz w:val="20"/>
          <w:szCs w:val="20"/>
          <w:color w:val="auto"/>
        </w:rPr>
      </w:pPr>
    </w:p>
    <w:p>
      <w:pPr>
        <w:ind w:right="180" w:firstLine="143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B</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ARTICIPATING</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4"/>
          <w:szCs w:val="14"/>
          <w:b w:val="1"/>
          <w:bCs w:val="1"/>
          <w:color w:val="auto"/>
        </w:rPr>
        <w:t>ROUP HOLDS CERTAIN PERSONAL</w:t>
      </w:r>
      <w:r>
        <w:rPr>
          <w:rFonts w:ascii="Arial" w:cs="Arial" w:eastAsia="Arial" w:hAnsi="Arial"/>
          <w:sz w:val="18"/>
          <w:szCs w:val="18"/>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SECURITY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FAVOR </w:t>
      </w:r>
      <w:r>
        <w:rPr>
          <w:rFonts w:ascii="Arial" w:cs="Arial" w:eastAsia="Arial" w:hAnsi="Arial"/>
          <w:sz w:val="17"/>
          <w:szCs w:val="17"/>
          <w:b w:val="1"/>
          <w:bCs w:val="1"/>
          <w:color w:val="auto"/>
        </w:rPr>
        <w:t>(</w:t>
      </w:r>
      <w:r>
        <w:rPr>
          <w:rFonts w:ascii="Arial" w:cs="Arial" w:eastAsia="Arial" w:hAnsi="Arial"/>
          <w:sz w:val="14"/>
          <w:szCs w:val="14"/>
          <w:b w:val="1"/>
          <w:bCs w:val="1"/>
          <w:color w:val="auto"/>
        </w:rPr>
        <w:t>COLLECTIVELY</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D</w:t>
      </w:r>
      <w:r>
        <w:rPr>
          <w:rFonts w:ascii="Arial" w:cs="Arial" w:eastAsia="Arial" w:hAnsi="Arial"/>
          <w:sz w:val="14"/>
          <w:szCs w:val="14"/>
          <w:b w:val="1"/>
          <w:bCs w:val="1"/>
          <w:i w:val="1"/>
          <w:i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AND THAT THE 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w:t>
      </w:r>
    </w:p>
    <w:p>
      <w:pPr>
        <w:spacing w:after="0" w:line="394" w:lineRule="exact"/>
        <w:rPr>
          <w:sz w:val="20"/>
          <w:szCs w:val="20"/>
          <w:color w:val="auto"/>
        </w:rPr>
      </w:pPr>
    </w:p>
    <w:p>
      <w:pPr>
        <w:ind w:firstLine="1428"/>
        <w:spacing w:after="0" w:line="267" w:lineRule="auto"/>
        <w:tabs>
          <w:tab w:leader="none" w:pos="1717"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HE OR SHE MAY REQUEST A LIST WITH THE NAMES AND ADDRESSES OF ANY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POTENTIAL RECIPIENTS OF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7" w:name="page128"/>
    <w:bookmarkEnd w:id="127"/>
    <w:p>
      <w:pPr>
        <w:ind w:left="620" w:hanging="184"/>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that the Officer has actual authority with respect to such matter, right, obligation or election.</w:t>
      </w:r>
    </w:p>
    <w:p>
      <w:pPr>
        <w:spacing w:after="0" w:line="80" w:lineRule="exact"/>
        <w:rPr>
          <w:sz w:val="20"/>
          <w:szCs w:val="20"/>
          <w:color w:val="auto"/>
        </w:rPr>
      </w:pPr>
    </w:p>
    <w:p>
      <w:pPr>
        <w:ind w:left="620" w:hanging="184"/>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the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w:t>
      </w:r>
    </w:p>
    <w:p>
      <w:pPr>
        <w:spacing w:after="0" w:line="162"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the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Units originally subject to the Award with respect to which they have been credited.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28" w:name="page129"/>
    <w:bookmarkEnd w:id="128"/>
    <w:p>
      <w:pPr>
        <w:ind w:left="620" w:hanging="184"/>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Units acquired pursuant to this Agreement shall become Vested Units as provided in the Grant Notice. Dividend Equivalent Units shall become Vested Units at the same time as the Units originally subject to the Award with respect to which they have been credited.</w:t>
      </w:r>
    </w:p>
    <w:p>
      <w:pPr>
        <w:spacing w:after="0" w:line="58" w:lineRule="exact"/>
        <w:rPr>
          <w:sz w:val="20"/>
          <w:szCs w:val="20"/>
          <w:color w:val="auto"/>
        </w:rPr>
      </w:pPr>
    </w:p>
    <w:p>
      <w:pPr>
        <w:ind w:left="620" w:hanging="184"/>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the event that the Participant’s Service is terminated by the Service Recipient for Cause, insofar as permitted under Local Law the Participant shall forfeit, and the Company shall automatically reacquire, all Units (whether vested or unvested), and the Participant shall not be entitled to any payment therefor.</w:t>
      </w:r>
    </w:p>
    <w:p>
      <w:pPr>
        <w:spacing w:after="0" w:line="72" w:lineRule="exact"/>
        <w:rPr>
          <w:sz w:val="20"/>
          <w:szCs w:val="20"/>
          <w:color w:val="auto"/>
        </w:rPr>
      </w:pPr>
    </w:p>
    <w:p>
      <w:pPr>
        <w:ind w:left="620" w:hanging="184"/>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6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”)(but in no event later than March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179"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29" w:name="page130"/>
    <w:bookmarkEnd w:id="1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117" w:lineRule="exact"/>
        <w:rPr>
          <w:sz w:val="20"/>
          <w:szCs w:val="20"/>
          <w:color w:val="auto"/>
        </w:rPr>
      </w:pPr>
    </w:p>
    <w:p>
      <w:pPr>
        <w:ind w:left="620" w:hanging="184"/>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Service Recipient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or deemed legally due by the Participant is and remains the Participant’s responsibility and that the Company and the Service Recipient (i) make no representations nor undertakings regarding the treatment of any Tax-Related Items in connection with any aspect of this grant of Units, including the grant and vesting of Units, subsequent delivery of shares 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Service Recipient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Service Recipient in cash any amount of Tax-Related Items that the Company or the Service Recipient may be required to withhold as a result of the Participant’s participation in the Plan or the Participant’s receipt of Units (including, without limitation, by the Service Recipient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Tax-Related Items due as a result of the settlement of the Units. Further, if the Participant is subject to tax in more than one jurisdiction, the Participant acknowledges that the Company and/or the Service Recipient (or former service recipient, as applicable) may be required to withhold or account for Tax-Related Items in more than one jurisdiction.</w:t>
      </w:r>
    </w:p>
    <w:p>
      <w:pPr>
        <w:spacing w:after="0" w:line="18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event that the amount of the withholding is greater than the amount of Tax-Related Items, the Company or the Service Recipient may refund the amount of the over-withholding to the Participant (with no entitlement to any Stock equivalent), or alternatively, the Company or the Service Recipient may require the Participant to seek a refund from the applicable tax authorities. In the event that the amount of the withholding is less than the amount of Tax-Related Items, the Participant may be required to pay the under-withheld Tax-Related Items to the Company and/or the Service Recipient or directly to the applicable tax authorities.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30" w:name="page131"/>
    <w:bookmarkEnd w:id="130"/>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refuse to deliver the shares if the Participant fails to comply with the Participant’s obligations in connection with Tax-Related Items.</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advisor regarding the Participant’s tax obligations prior to such settlement or disposition.</w:t>
      </w:r>
    </w:p>
    <w:p>
      <w:pPr>
        <w:spacing w:after="0" w:line="58" w:lineRule="exact"/>
        <w:rPr>
          <w:sz w:val="20"/>
          <w:szCs w:val="20"/>
          <w:color w:val="auto"/>
        </w:rPr>
      </w:pPr>
    </w:p>
    <w:p>
      <w:pPr>
        <w:ind w:left="624" w:hanging="184"/>
        <w:spacing w:after="0"/>
        <w:tabs>
          <w:tab w:leader="none" w:pos="624"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4" w:right="60" w:firstLine="991"/>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Change in Control</w:t>
      </w:r>
      <w:r>
        <w:rPr>
          <w:rFonts w:ascii="Arial" w:cs="Arial" w:eastAsia="Arial" w:hAnsi="Arial"/>
          <w:sz w:val="17"/>
          <w:szCs w:val="17"/>
          <w:color w:val="auto"/>
        </w:rPr>
        <w:t>. Upon the occurrence of a Change in Control during the Performance Period where a Replacement Award (as defined below) is provided to the Participant at the time of the Change in Control in lieu of the Units, the number of Units that remain outstanding and unvested following the Change in Control and eligible to vest solely based on the passage of time will be determined as of the date of the Change in Control in accordance with Exhibit A to the Grant Notice (the “</w:t>
      </w:r>
      <w:r>
        <w:rPr>
          <w:rFonts w:ascii="Arial" w:cs="Arial" w:eastAsia="Arial" w:hAnsi="Arial"/>
          <w:sz w:val="17"/>
          <w:szCs w:val="17"/>
          <w:b w:val="1"/>
          <w:bCs w:val="1"/>
          <w:i w:val="1"/>
          <w:iCs w:val="1"/>
          <w:color w:val="auto"/>
        </w:rPr>
        <w:t>CIC Eligible Units</w:t>
      </w:r>
      <w:r>
        <w:rPr>
          <w:rFonts w:ascii="Arial" w:cs="Arial" w:eastAsia="Arial" w:hAnsi="Arial"/>
          <w:sz w:val="17"/>
          <w:szCs w:val="17"/>
          <w:color w:val="auto"/>
        </w:rPr>
        <w:t>”) and the date of the Change in Control will serve as the last day of the Performance Period for purposes of such determination. Subject to the Participant’s continuous Service, the CIC Eligible Units will vest on the last day of the Performance Period. Upon the occurrence of a Change in Control where a Replacement Award is not provided to the Participant in lieu of the Units, the CIC Eligible Units will vest. In either case, all Units in excess of the CIC Eligible Units shall immediately be forfeited and cancelled, and Participant shall not be entitled to any compensation or other amount with respect thereto.</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other than with respect to</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performance conditions as set forth in Section 9.1) or is of the same type as the Award that is replaced or adjusted by a Replacement Award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w:t>
      </w:r>
    </w:p>
    <w:p>
      <w:pPr>
        <w:spacing w:after="0" w:line="32" w:lineRule="exact"/>
        <w:rPr>
          <w:sz w:val="20"/>
          <w:szCs w:val="20"/>
          <w:color w:val="auto"/>
        </w:rPr>
      </w:pPr>
    </w:p>
    <w:p>
      <w:pPr>
        <w:ind w:left="4" w:hanging="4"/>
        <w:spacing w:after="0" w:line="268" w:lineRule="auto"/>
        <w:tabs>
          <w:tab w:leader="none" w:pos="31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31" w:name="page132"/>
    <w:bookmarkEnd w:id="131"/>
    <w:p>
      <w:pPr>
        <w:ind w:left="700" w:hanging="26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59" w:lineRule="exact"/>
        <w:rPr>
          <w:sz w:val="20"/>
          <w:szCs w:val="20"/>
          <w:color w:val="auto"/>
        </w:rPr>
      </w:pPr>
    </w:p>
    <w:p>
      <w:pPr>
        <w:ind w:left="700" w:hanging="26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contract between the Service Recipient and the Participant, the Participant’s employment is “at will” and is for no specified term unless otherwise required under applicable law. Nothing in this Agreement shall confer upon the Participant any right to continue in the Service of the Service Recipient or interfere in any way with any right of the applicable Service Recipient to terminate the Participant’s Service at any time.</w:t>
      </w:r>
    </w:p>
    <w:p>
      <w:pPr>
        <w:spacing w:after="0" w:line="80" w:lineRule="exact"/>
        <w:rPr>
          <w:sz w:val="20"/>
          <w:szCs w:val="20"/>
          <w:color w:val="auto"/>
        </w:rPr>
      </w:pPr>
    </w:p>
    <w:p>
      <w:pPr>
        <w:ind w:left="700" w:hanging="264"/>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32" w:name="page133"/>
    <w:bookmarkEnd w:id="132"/>
    <w:p>
      <w:pPr>
        <w:ind w:left="700" w:hanging="264"/>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set forth in Section 9 in connection with a Change in Control or in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51"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273" w:lineRule="auto"/>
        <w:tabs>
          <w:tab w:leader="none" w:pos="1677"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33" w:name="page134"/>
    <w:bookmarkEnd w:id="133"/>
    <w:p>
      <w:pPr>
        <w:ind w:firstLine="1428"/>
        <w:spacing w:after="0" w:line="288" w:lineRule="auto"/>
        <w:tabs>
          <w:tab w:leader="none" w:pos="1687"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additional terms and conditions, if any, set forth in the Appendix to this Agreement which are applicable to the Participant’s country, the provisions of which are incorporated in and constitute part of this Agreement. Moreover, if the Participant relocates to one of the countries included in the Appendix, the additional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right="100" w:firstLine="991"/>
        <w:spacing w:after="0" w:line="303"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34" w:name="page135"/>
    <w:bookmarkEnd w:id="134"/>
    <w:p>
      <w:pPr>
        <w:jc w:val="both"/>
        <w:ind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13.9 </w:t>
      </w:r>
      <w:r>
        <w:rPr>
          <w:rFonts w:ascii="Arial" w:cs="Arial" w:eastAsia="Arial" w:hAnsi="Arial"/>
          <w:sz w:val="17"/>
          <w:szCs w:val="17"/>
          <w:b w:val="1"/>
          <w:bCs w:val="1"/>
          <w:color w:val="auto"/>
        </w:rPr>
        <w:t>Language.</w:t>
      </w:r>
      <w:r>
        <w:rPr>
          <w:rFonts w:ascii="Arial" w:cs="Arial" w:eastAsia="Arial" w:hAnsi="Arial"/>
          <w:sz w:val="17"/>
          <w:szCs w:val="17"/>
          <w:color w:val="auto"/>
        </w:rPr>
        <w:t xml:space="preserve"> The Participant acknowledges that the Participant is sufficiently proficient in the English language, or has consulted with an advisor who is sufficiently proficient in English, so as to allow the Participant to understand the provisions in this Agreement and the Plan. Further,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5" w:lineRule="exact"/>
        <w:rPr>
          <w:sz w:val="20"/>
          <w:szCs w:val="20"/>
          <w:color w:val="auto"/>
        </w:rPr>
      </w:pPr>
    </w:p>
    <w:p>
      <w:pPr>
        <w:ind w:right="100" w:firstLine="991"/>
        <w:spacing w:after="0" w:line="274"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b w:val="1"/>
          <w:bCs w:val="1"/>
          <w:color w:val="auto"/>
        </w:rPr>
        <w:t>Insider Trading / Market Abuse Restrictions.</w:t>
      </w:r>
      <w:r>
        <w:rPr>
          <w:rFonts w:ascii="Arial" w:cs="Arial" w:eastAsia="Arial" w:hAnsi="Arial"/>
          <w:sz w:val="17"/>
          <w:szCs w:val="17"/>
          <w:color w:val="auto"/>
        </w:rPr>
        <w:t xml:space="preserve"> The Participant may be subject to insider trading restrictions and/or market abuse laws in applicable jurisdictions, including, but not limited to, the U.S. and the Participant’s country of residence, which may affect the Participant’s ability to accept, acquire, sell or otherwise dispose of shares or rights to shares (e.g., Units) or rights linked to the value of shares during such times as the Participant is considered to have “inside information” regarding the Company (as defined by applicable laws). Any restrictions under these laws or regulations are separate from and in addition to any restrictions that may be imposed under the Company’s Securities Trading Policy. The Participant is responsible for ensuring compliance with any applicable restrictions.</w:t>
      </w:r>
    </w:p>
    <w:p>
      <w:pPr>
        <w:spacing w:after="0" w:line="173"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b w:val="1"/>
          <w:bCs w:val="1"/>
          <w:color w:val="auto"/>
        </w:rPr>
        <w:t>Foreign Asset and Account Reporting and Exchange Control Requirements.</w:t>
      </w:r>
      <w:r>
        <w:rPr>
          <w:rFonts w:ascii="Arial" w:cs="Arial" w:eastAsia="Arial" w:hAnsi="Arial"/>
          <w:sz w:val="16"/>
          <w:szCs w:val="16"/>
          <w:color w:val="auto"/>
        </w:rPr>
        <w:t xml:space="preserve"> Certain foreign asset and foreign account reporting requirements and exchange controls may affect the Participant’s ability to acquire or hold shares under the Plan or cash received from participating in the Plan in a brokerage or bank account outside the Participant’s country. The Participant may be required to report such accounts, assets or transactions to the tax or other authorities in the Participant’s country. The Participant may also be required to repatriate sale proceeds or other funds received as a result of the Participant’s participation in the Plan to the Participant’s country through a designated bank or broker or within a certain time after receipt. The Participant is responsible for complying with any applicable regulations and should consult the Participant’s personal legal and tax advisors.</w:t>
      </w:r>
    </w:p>
    <w:p>
      <w:pPr>
        <w:spacing w:after="0" w:line="160" w:lineRule="exact"/>
        <w:rPr>
          <w:sz w:val="20"/>
          <w:szCs w:val="20"/>
          <w:color w:val="auto"/>
        </w:rPr>
      </w:pPr>
    </w:p>
    <w:p>
      <w:pPr>
        <w:ind w:right="520" w:firstLine="991"/>
        <w:spacing w:after="0" w:line="347"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color w:val="auto"/>
        </w:rPr>
        <w:t>Waiver.</w:t>
      </w:r>
      <w:r>
        <w:rPr>
          <w:rFonts w:ascii="Arial" w:cs="Arial" w:eastAsia="Arial" w:hAnsi="Arial"/>
          <w:sz w:val="16"/>
          <w:szCs w:val="16"/>
          <w:color w:val="auto"/>
        </w:rPr>
        <w:t xml:space="preserve"> The Participant acknowledges that a waiver by the Company of breach of any provision of this Agreement by the Participant shall not operate or be construed as a waiver of any other provision of this Agreement, or of any subsequent breach by the Participant.</w:t>
      </w:r>
    </w:p>
    <w:p>
      <w:pPr>
        <w:spacing w:after="0" w:line="116"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Company’s Clawback Policy or any other clawback or recoupment policy that the Company is required to adopt pursuant to the listing standards of any national securities exchange or association on which the Company’s securities are listed or as otherwise required by the Dodd-Frank Wall Street Reform and Consumer Protection Act or other applicable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 the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Appendix includes additional terms and conditions that govern the Units granted to the Participant under the Plan if the Participant resides and/or works in one of the countries listed below.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Company shall, in its discretion, determine to what extent the additional terms and conditions contained herein shall apply to the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may also include information regarding exchange controls and certain other issues of which the Participant should be aware with respect to the Participant’s participation in the Plan. The information is based on the securities, exchange control and other laws in effect in the respective countries as of April 2022.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if the Participant is a citizen or resident (or is deemed to be a citizen or resident for local law purposes) of a country other than the country in which the Participant is currently residing and/or working, or if the Participant relocates to another country after the grant of the Units, the notifications contained herein may not apply to the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additional terms and conditions, as well as notifications, that apply to Korea and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0" w:right="5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country-specific terms and conditions.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the Participant receives and owns Stocks at the time of delivery through a foreign financial account (i.e., financial account outside of Korea) and the total balance of all accounts of the Participant exceed KRW500 million on any last day of each month during a year, the Participant is required to file a Foreign Financial Account Report in accordance with the Korean tax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paragraph is inserted as a new Section 13.15 to the Agreement:</w:t>
      </w:r>
    </w:p>
    <w:p>
      <w:pPr>
        <w:spacing w:after="0" w:line="113"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TERMINATION AND SETTLEMENT AGREEMENT</w:t>
      </w:r>
    </w:p>
    <w:p>
      <w:pPr>
        <w:spacing w:after="0" w:line="229"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This Second Amendment to Termination and Settlement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August 5, 2022, by and among South Dearborn Limited, an exempted company incorporated in the Cayman Islands with limited liability (“</w:t>
      </w:r>
      <w:r>
        <w:rPr>
          <w:rFonts w:ascii="Arial" w:cs="Arial" w:eastAsia="Arial" w:hAnsi="Arial"/>
          <w:sz w:val="18"/>
          <w:szCs w:val="18"/>
          <w:u w:val="single" w:color="auto"/>
          <w:color w:val="auto"/>
        </w:rPr>
        <w:t>Parent</w:t>
      </w:r>
      <w:r>
        <w:rPr>
          <w:rFonts w:ascii="Arial" w:cs="Arial" w:eastAsia="Arial" w:hAnsi="Arial"/>
          <w:sz w:val="18"/>
          <w:szCs w:val="18"/>
          <w:color w:val="auto"/>
        </w:rPr>
        <w:t>”),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Wise Road Capital LTD (“</w:t>
      </w:r>
      <w:r>
        <w:rPr>
          <w:rFonts w:ascii="Arial" w:cs="Arial" w:eastAsia="Arial" w:hAnsi="Arial"/>
          <w:sz w:val="18"/>
          <w:szCs w:val="18"/>
          <w:u w:val="single" w:color="auto"/>
          <w:color w:val="auto"/>
        </w:rPr>
        <w:t>Wise Road</w:t>
      </w:r>
      <w:r>
        <w:rPr>
          <w:rFonts w:ascii="Arial" w:cs="Arial" w:eastAsia="Arial" w:hAnsi="Arial"/>
          <w:sz w:val="18"/>
          <w:szCs w:val="18"/>
          <w:color w:val="auto"/>
        </w:rPr>
        <w:t>”). Each of Parent, Wise Road and the Company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Company and Michigan Merger Sub, Inc., a Delaware corporation and a wholly-owned subsidiary of Parent (the “</w:t>
      </w:r>
      <w:r>
        <w:rPr>
          <w:rFonts w:ascii="Arial" w:cs="Arial" w:eastAsia="Arial" w:hAnsi="Arial"/>
          <w:sz w:val="18"/>
          <w:szCs w:val="18"/>
          <w:u w:val="single" w:color="auto"/>
          <w:color w:val="auto"/>
        </w:rPr>
        <w:t>Merger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w:t>
      </w:r>
      <w:r>
        <w:rPr>
          <w:rFonts w:ascii="Arial" w:cs="Arial" w:eastAsia="Arial" w:hAnsi="Arial"/>
          <w:sz w:val="18"/>
          <w:szCs w:val="18"/>
          <w:color w:val="auto"/>
        </w:rPr>
        <w:t>”), previously entered into that certain Agreement and Plan of Merger, dated as of March 25, 2021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was to merge with and into the Company with the Company surviving as a wholly-owned subsidiary of Parent, subject to the terms and conditions of the Merger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Merger Sub, the Company and Wise Road have entered into that certain Termination and Settlement Agreement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13, 2021 and amended pursuant to the First Amendment to Termination and Settlement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4, 2022, pursuant to which, among other things, the Merger Agreement was terminated on December 20, 2021 upon the Company’s receipt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Parent Initial Fee and the Amended Standby Letter of Credit; and</w:t>
      </w:r>
    </w:p>
    <w:p>
      <w:pPr>
        <w:spacing w:after="0" w:line="20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16 of the Agreement, the Parties, with the exception of Merger Sub, which was dissolved effective March 21,</w:t>
      </w:r>
      <w:r>
        <w:rPr>
          <w:rFonts w:ascii="Arial" w:cs="Arial" w:eastAsia="Arial" w:hAnsi="Arial"/>
          <w:sz w:val="18"/>
          <w:szCs w:val="18"/>
          <w:b w:val="1"/>
          <w:bCs w:val="1"/>
          <w:color w:val="auto"/>
        </w:rPr>
        <w:t xml:space="preserve"> </w:t>
      </w:r>
      <w:r>
        <w:rPr>
          <w:rFonts w:ascii="Arial" w:cs="Arial" w:eastAsia="Arial" w:hAnsi="Arial"/>
          <w:sz w:val="18"/>
          <w:szCs w:val="18"/>
          <w:color w:val="auto"/>
        </w:rPr>
        <w:t>2022, desire to mutually amend the Agreement as set forth herein.</w:t>
      </w:r>
    </w:p>
    <w:p>
      <w:pPr>
        <w:spacing w:after="0" w:line="16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covenants, agreements and understandings herein contained,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acknowledged, on the terms and subject to the conditions set forth in this Amendment, the parties, intending to be legally bound, agree as follows: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Section 2 of the Agreement titled “Parent Fees” is hereby amended and restated as follows:</w:t>
      </w:r>
    </w:p>
    <w:p>
      <w:pPr>
        <w:spacing w:after="0" w:line="117" w:lineRule="exact"/>
        <w:rPr>
          <w:sz w:val="20"/>
          <w:szCs w:val="20"/>
          <w:color w:val="auto"/>
        </w:rPr>
      </w:pPr>
    </w:p>
    <w:p>
      <w:pPr>
        <w:ind w:left="980" w:right="60"/>
        <w:spacing w:after="0" w:line="267" w:lineRule="auto"/>
        <w:rPr>
          <w:sz w:val="20"/>
          <w:szCs w:val="20"/>
          <w:color w:val="auto"/>
        </w:rPr>
      </w:pPr>
      <w:r>
        <w:rPr>
          <w:rFonts w:ascii="Arial" w:cs="Arial" w:eastAsia="Arial" w:hAnsi="Arial"/>
          <w:sz w:val="17"/>
          <w:szCs w:val="17"/>
          <w:color w:val="auto"/>
        </w:rPr>
        <w:t>“Promptly following the execution of this Agreement, and in any event no later than 5:00 p.m. Eastern time on December 15, 2021 (the “</w:t>
      </w:r>
      <w:r>
        <w:rPr>
          <w:rFonts w:ascii="Arial" w:cs="Arial" w:eastAsia="Arial" w:hAnsi="Arial"/>
          <w:sz w:val="17"/>
          <w:szCs w:val="17"/>
          <w:u w:val="single" w:color="auto"/>
          <w:color w:val="auto"/>
        </w:rPr>
        <w:t>Parent Initial Fee Deadline</w:t>
      </w:r>
      <w:r>
        <w:rPr>
          <w:rFonts w:ascii="Arial" w:cs="Arial" w:eastAsia="Arial" w:hAnsi="Arial"/>
          <w:sz w:val="17"/>
          <w:szCs w:val="17"/>
          <w:color w:val="auto"/>
        </w:rPr>
        <w:t>”), and in consideration for the agreements made by the Company under this Agreement, Parent shall (and Wise Road shall cause Parent to) pay or cause to be paid $51,000,000 (the “</w:t>
      </w:r>
      <w:r>
        <w:rPr>
          <w:rFonts w:ascii="Arial" w:cs="Arial" w:eastAsia="Arial" w:hAnsi="Arial"/>
          <w:sz w:val="17"/>
          <w:szCs w:val="17"/>
          <w:u w:val="single" w:color="auto"/>
          <w:color w:val="auto"/>
        </w:rPr>
        <w:t>Parent Initial Fee</w:t>
      </w:r>
      <w:r>
        <w:rPr>
          <w:rFonts w:ascii="Arial" w:cs="Arial" w:eastAsia="Arial" w:hAnsi="Arial"/>
          <w:sz w:val="17"/>
          <w:szCs w:val="17"/>
          <w:color w:val="auto"/>
        </w:rPr>
        <w:t>”) in cash by wire transfer of immediately available funds to the account designated by the Company prior to the date hereof. Promptly following the execution of the first amendment to this Agreement, and in any event no later than 5:00 p.m. Eastern time on April 4, 2022 (the “</w:t>
      </w:r>
      <w:r>
        <w:rPr>
          <w:rFonts w:ascii="Arial" w:cs="Arial" w:eastAsia="Arial" w:hAnsi="Arial"/>
          <w:sz w:val="17"/>
          <w:szCs w:val="17"/>
          <w:u w:val="single" w:color="auto"/>
          <w:color w:val="auto"/>
        </w:rPr>
        <w:t>Parent Second Fee Deadline</w:t>
      </w:r>
      <w:r>
        <w:rPr>
          <w:rFonts w:ascii="Arial" w:cs="Arial" w:eastAsia="Arial" w:hAnsi="Arial"/>
          <w:sz w:val="17"/>
          <w:szCs w:val="17"/>
          <w:color w:val="auto"/>
        </w:rPr>
        <w:t>”), and in consideration for the agreements made by the Company under this Agreement, Parent shall (and Wise Road shall cause Parent to) pay or cause to be paid $14,400,000 (the “</w:t>
      </w:r>
      <w:r>
        <w:rPr>
          <w:rFonts w:ascii="Arial" w:cs="Arial" w:eastAsia="Arial" w:hAnsi="Arial"/>
          <w:sz w:val="17"/>
          <w:szCs w:val="17"/>
          <w:u w:val="single" w:color="auto"/>
          <w:color w:val="auto"/>
        </w:rPr>
        <w:t>Parent Second Fee</w:t>
      </w:r>
      <w:r>
        <w:rPr>
          <w:rFonts w:ascii="Arial" w:cs="Arial" w:eastAsia="Arial" w:hAnsi="Arial"/>
          <w:sz w:val="17"/>
          <w:szCs w:val="17"/>
          <w:color w:val="auto"/>
        </w:rPr>
        <w:t>”) in cash by wire transfer of immediately available funds to the account designated by the Company. Promptly following the execution of the second amendment to this Agreement, and in any event no later than 5:00 p.m. Eastern time on August 5, 2022 (the “</w:t>
      </w:r>
      <w:r>
        <w:rPr>
          <w:rFonts w:ascii="Arial" w:cs="Arial" w:eastAsia="Arial" w:hAnsi="Arial"/>
          <w:sz w:val="17"/>
          <w:szCs w:val="17"/>
          <w:u w:val="single" w:color="auto"/>
          <w:color w:val="auto"/>
        </w:rPr>
        <w:t>Parent Third Fee Deadline</w:t>
      </w:r>
      <w:r>
        <w:rPr>
          <w:rFonts w:ascii="Arial" w:cs="Arial" w:eastAsia="Arial" w:hAnsi="Arial"/>
          <w:sz w:val="17"/>
          <w:szCs w:val="17"/>
          <w:color w:val="auto"/>
        </w:rPr>
        <w:t>”), and in consideration for the agreements made by the Company under this Agreement, Parent shall (and Wise Road shall cause Parent to) pay or cause to be paid $3,000,000 (the “</w:t>
      </w:r>
      <w:r>
        <w:rPr>
          <w:rFonts w:ascii="Arial" w:cs="Arial" w:eastAsia="Arial" w:hAnsi="Arial"/>
          <w:sz w:val="17"/>
          <w:szCs w:val="17"/>
          <w:u w:val="single" w:color="auto"/>
          <w:color w:val="auto"/>
        </w:rPr>
        <w:t>Parent 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Fee</w:t>
      </w:r>
      <w:r>
        <w:rPr>
          <w:rFonts w:ascii="Arial" w:cs="Arial" w:eastAsia="Arial" w:hAnsi="Arial"/>
          <w:sz w:val="17"/>
          <w:szCs w:val="17"/>
          <w:color w:val="auto"/>
        </w:rPr>
        <w:t>”) in cash by wire transfer of immediately available funds to the account designated by the Company. By no later than 5:00 p.m. Eastern time on October 31, 2022 (the “</w:t>
      </w:r>
      <w:r>
        <w:rPr>
          <w:rFonts w:ascii="Arial" w:cs="Arial" w:eastAsia="Arial" w:hAnsi="Arial"/>
          <w:sz w:val="17"/>
          <w:szCs w:val="17"/>
          <w:u w:val="single" w:color="auto"/>
          <w:color w:val="auto"/>
        </w:rPr>
        <w:t>End Date</w:t>
      </w:r>
      <w:r>
        <w:rPr>
          <w:rFonts w:ascii="Arial" w:cs="Arial" w:eastAsia="Arial" w:hAnsi="Arial"/>
          <w:sz w:val="17"/>
          <w:szCs w:val="17"/>
          <w:color w:val="auto"/>
        </w:rPr>
        <w:t>”), Parent shall (and Wise Road shall cause Parent to) pay or cause to be paid $1,800,000 (the “</w:t>
      </w:r>
      <w:r>
        <w:rPr>
          <w:rFonts w:ascii="Arial" w:cs="Arial" w:eastAsia="Arial" w:hAnsi="Arial"/>
          <w:sz w:val="17"/>
          <w:szCs w:val="17"/>
          <w:u w:val="single" w:color="auto"/>
          <w:color w:val="auto"/>
        </w:rPr>
        <w:t>Remaining Parent Fee</w:t>
      </w:r>
      <w:r>
        <w:rPr>
          <w:rFonts w:ascii="Arial" w:cs="Arial" w:eastAsia="Arial" w:hAnsi="Arial"/>
          <w:sz w:val="17"/>
          <w:szCs w:val="17"/>
          <w:color w:val="auto"/>
        </w:rPr>
        <w:t>”) in cash by wire transfer of immediately available funds to the account designated by the Company. None of the Parent Initial Fee, the Parent Second Fee, the Parent Third Fee or the Remaining Parent Fee shall be repayable or refundable under any circumstances. The Parties acknowledge and agree that, effective as of, and from and after, the Termination Effective Time, neither the Company Termination Fee nor the Parent Termination Fee shall be payable in connection with this Agreement, the Merger Agreement, the Termination or otherwise.”</w:t>
      </w:r>
    </w:p>
    <w:p>
      <w:pPr>
        <w:sectPr>
          <w:pgSz w:w="11900" w:h="16838" w:orient="portrait"/>
          <w:cols w:equalWidth="0" w:num="1">
            <w:col w:w="11020"/>
          </w:cols>
          <w:pgMar w:left="440" w:top="121" w:right="439" w:bottom="1440" w:gutter="0" w:footer="0" w:header="0"/>
        </w:sectPr>
      </w:pPr>
    </w:p>
    <w:bookmarkStart w:id="138" w:name="page139"/>
    <w:bookmarkEnd w:id="138"/>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Section 3 of the Agreement titled “Amended Standby Letter of Credit” is hereby amended and restated as follows:</w:t>
      </w:r>
    </w:p>
    <w:p>
      <w:pPr>
        <w:spacing w:after="0" w:line="117" w:lineRule="exact"/>
        <w:rPr>
          <w:sz w:val="20"/>
          <w:szCs w:val="20"/>
          <w:color w:val="auto"/>
        </w:rPr>
      </w:pPr>
    </w:p>
    <w:p>
      <w:pPr>
        <w:ind w:left="940"/>
        <w:spacing w:after="0" w:line="284" w:lineRule="auto"/>
        <w:rPr>
          <w:sz w:val="20"/>
          <w:szCs w:val="20"/>
          <w:color w:val="auto"/>
        </w:rPr>
      </w:pPr>
      <w:r>
        <w:rPr>
          <w:rFonts w:ascii="Arial" w:cs="Arial" w:eastAsia="Arial" w:hAnsi="Arial"/>
          <w:sz w:val="16"/>
          <w:szCs w:val="16"/>
          <w:color w:val="auto"/>
        </w:rPr>
        <w:t>“Promptly following the execution of this Agreement, and in any event no later than 5:00 p.m. Eastern time on December 22, 2021 (the “</w:t>
      </w:r>
      <w:r>
        <w:rPr>
          <w:rFonts w:ascii="Arial" w:cs="Arial" w:eastAsia="Arial" w:hAnsi="Arial"/>
          <w:sz w:val="16"/>
          <w:szCs w:val="16"/>
          <w:u w:val="single" w:color="auto"/>
          <w:color w:val="auto"/>
        </w:rPr>
        <w:t>SBLC Deadline</w:t>
      </w:r>
      <w:r>
        <w:rPr>
          <w:rFonts w:ascii="Arial" w:cs="Arial" w:eastAsia="Arial" w:hAnsi="Arial"/>
          <w:sz w:val="16"/>
          <w:szCs w:val="16"/>
          <w:color w:val="auto"/>
        </w:rPr>
        <w:t>”), (a) the Parties shall cause the Standby Letter of Credit to be amended to provide that, on or any time after April 1, 2022, if Parent has not paid the Parent Second Fee to the Company by the Parent Second Fee Deadline, the Company may deliver a draw notice to the Issuing Bank and demand immediate payment of the full amount of the Parent Second Fee (which, for the avoidance of doubt, will not require any consent, instruction or other approval or acknowledgment from Parent or any of its Affiliates) (the “</w:t>
      </w:r>
      <w:r>
        <w:rPr>
          <w:rFonts w:ascii="Arial" w:cs="Arial" w:eastAsia="Arial" w:hAnsi="Arial"/>
          <w:sz w:val="16"/>
          <w:szCs w:val="16"/>
          <w:u w:val="single" w:color="auto"/>
          <w:color w:val="auto"/>
        </w:rPr>
        <w:t>Amended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Standby Letter of Credit</w:t>
      </w:r>
      <w:r>
        <w:rPr>
          <w:rFonts w:ascii="Arial" w:cs="Arial" w:eastAsia="Arial" w:hAnsi="Arial"/>
          <w:sz w:val="16"/>
          <w:szCs w:val="16"/>
          <w:color w:val="auto"/>
        </w:rPr>
        <w:t>”), and (b) Parent and Wise Road shall cause an original fully executed version of the Amended Standby Letter of Credit to be delivered to the Company or its designee. Promptly following the execution of the first amendment to this Agreement, and in any event immediately prior to the payment of the Parent Second Fee (the “</w:t>
      </w:r>
      <w:r>
        <w:rPr>
          <w:rFonts w:ascii="Arial" w:cs="Arial" w:eastAsia="Arial" w:hAnsi="Arial"/>
          <w:sz w:val="16"/>
          <w:szCs w:val="16"/>
          <w:u w:val="single" w:color="auto"/>
          <w:color w:val="auto"/>
        </w:rPr>
        <w:t>Second SBLC Deadline</w:t>
      </w:r>
      <w:r>
        <w:rPr>
          <w:rFonts w:ascii="Arial" w:cs="Arial" w:eastAsia="Arial" w:hAnsi="Arial"/>
          <w:sz w:val="16"/>
          <w:szCs w:val="16"/>
          <w:color w:val="auto"/>
        </w:rPr>
        <w:t>”), (a) the Parties shall cause the Amended Standby Letter of Credit, dated as of December 20, 2021, to be amended to provide that, on or any time after June 30, 2022, if Parent has not paid the Parent Third Fee to the Company by the Parent Third Fee Deadline, the Company may deliver a draw notice to the Issuing Bank and demand immediate payment of the full amount of the Parent Third Fee (which, for the avoidance of doubt, will not require any consent, instruction or other approval or acknowledgment from Parent or any of its Affiliates) (the “</w:t>
      </w:r>
      <w:r>
        <w:rPr>
          <w:rFonts w:ascii="Arial" w:cs="Arial" w:eastAsia="Arial" w:hAnsi="Arial"/>
          <w:sz w:val="16"/>
          <w:szCs w:val="16"/>
          <w:u w:val="single" w:color="auto"/>
          <w:color w:val="auto"/>
        </w:rPr>
        <w:t>Second Amended Standby</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 of Credit</w:t>
      </w:r>
      <w:r>
        <w:rPr>
          <w:rFonts w:ascii="Arial" w:cs="Arial" w:eastAsia="Arial" w:hAnsi="Arial"/>
          <w:sz w:val="16"/>
          <w:szCs w:val="16"/>
          <w:color w:val="auto"/>
        </w:rPr>
        <w:t>”), and (b) Parent and Wise Road shall cause an original fully executed version of the Second Amended Standby Letter of Credit to be delivered to the Company or its designee. Promptly following the execution of the second amendment to this Agreement, and in any event immediately prior to the payment of the Parent Third Fee (the “</w:t>
      </w:r>
      <w:r>
        <w:rPr>
          <w:rFonts w:ascii="Arial" w:cs="Arial" w:eastAsia="Arial" w:hAnsi="Arial"/>
          <w:sz w:val="16"/>
          <w:szCs w:val="16"/>
          <w:u w:val="single" w:color="auto"/>
          <w:color w:val="auto"/>
        </w:rPr>
        <w:t>Third SBLC Deadline</w:t>
      </w:r>
      <w:r>
        <w:rPr>
          <w:rFonts w:ascii="Arial" w:cs="Arial" w:eastAsia="Arial" w:hAnsi="Arial"/>
          <w:sz w:val="16"/>
          <w:szCs w:val="16"/>
          <w:color w:val="auto"/>
        </w:rPr>
        <w:t>”), (a) the Parties shall cause the Second Amended Standby Letter of Credit, dated as of April 4, 2022, to be amended to provide that, on or any time after October 31, 2022, if Parent has not paid the Remaining Parent Fee to the Company by the End Date, the Company may deliver a draw notice to the Issuing Bank and demand immediate payment of the full amount of the Remaining Parent Fee (which, for the avoidance of doubt, will not require any consent, instruction or other approval or acknowledgment from Parent or any of its Affiliates) (the “</w:t>
      </w:r>
      <w:r>
        <w:rPr>
          <w:rFonts w:ascii="Arial" w:cs="Arial" w:eastAsia="Arial" w:hAnsi="Arial"/>
          <w:sz w:val="16"/>
          <w:szCs w:val="16"/>
          <w:u w:val="single" w:color="auto"/>
          <w:color w:val="auto"/>
        </w:rPr>
        <w:t>Third Amended Standby Letter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w:t>
      </w:r>
      <w:r>
        <w:rPr>
          <w:rFonts w:ascii="Arial" w:cs="Arial" w:eastAsia="Arial" w:hAnsi="Arial"/>
          <w:sz w:val="16"/>
          <w:szCs w:val="16"/>
          <w:color w:val="auto"/>
        </w:rPr>
        <w:t>”), and (b) Parent and Wise Road shall cause an original fully executed version of the Third Amended Standby Letter of Credit to be delivered to the Company or its designee.”</w:t>
      </w:r>
    </w:p>
    <w:p>
      <w:pPr>
        <w:spacing w:after="0" w:line="398" w:lineRule="exact"/>
        <w:rPr>
          <w:sz w:val="20"/>
          <w:szCs w:val="20"/>
          <w:color w:val="auto"/>
        </w:rPr>
      </w:pPr>
    </w:p>
    <w:p>
      <w:pPr>
        <w:ind w:left="-40" w:right="40" w:firstLine="987"/>
        <w:spacing w:after="0" w:line="263" w:lineRule="auto"/>
        <w:tabs>
          <w:tab w:leader="none" w:pos="11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references herein and in the Agreement to the “Agreement” shall mean and include the Agreement as amended by this Amendment. Except as amended hereby, the Agreement shall remain unchanged, and the Agreement, as so amended, shall continue in full force and effect in accordance with its terms.</w:t>
      </w:r>
    </w:p>
    <w:p>
      <w:pPr>
        <w:spacing w:after="0" w:line="183" w:lineRule="exact"/>
        <w:rPr>
          <w:rFonts w:ascii="Arial" w:cs="Arial" w:eastAsia="Arial" w:hAnsi="Arial"/>
          <w:sz w:val="18"/>
          <w:szCs w:val="18"/>
          <w:color w:val="auto"/>
        </w:rPr>
      </w:pPr>
    </w:p>
    <w:p>
      <w:pPr>
        <w:ind w:left="-40" w:right="40" w:firstLine="987"/>
        <w:spacing w:after="0" w:line="291" w:lineRule="auto"/>
        <w:tabs>
          <w:tab w:leader="none" w:pos="113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provisions of this Amendment may not be amended, modified or supplemented in any manner, whether by course of conduct or otherwise, except by an instrument in writing specifically designated as a subsequent amendment to the Agreement, signed on behalf of each of the Parties. No Party may assign either this Amendment or any of its rights, interests, or obligations hereunder without the prior written approval of the other Parties. Subject to the preceding sentence, this Amendment shall be binding upon and shall inure to the benefit of the Parties and their respective successors and permitted assigns. This Amendment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66" w:lineRule="exact"/>
        <w:rPr>
          <w:rFonts w:ascii="Arial" w:cs="Arial" w:eastAsia="Arial" w:hAnsi="Arial"/>
          <w:sz w:val="16"/>
          <w:szCs w:val="16"/>
          <w:color w:val="auto"/>
        </w:rPr>
      </w:pPr>
    </w:p>
    <w:p>
      <w:pPr>
        <w:ind w:left="-40" w:firstLine="987"/>
        <w:spacing w:after="0" w:line="275" w:lineRule="auto"/>
        <w:tabs>
          <w:tab w:leader="none" w:pos="113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Each Party represents and warrants to the other Parties that: (i) such Party has all requisite power and authority to enter into this Amendment and to take the actions contemplated hereby; (ii) the execution and delivery of this Amendment and the actions contemplated hereby have been duly authorized by all necessary corporate or other action on the part of such Party; and (iii) this Amendment has been duly executed and delivered by such Party and, assuming the due authorization, execution and delivery by the other Parties, constitutes a legal, valid and binding obligation of such, enforceable against such Party in accordance with its terms, subject to the Enforceability Exceptions.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139" w:name="page140"/>
    <w:bookmarkEnd w:id="139"/>
    <w:p>
      <w:pPr>
        <w:ind w:firstLine="987"/>
        <w:spacing w:after="0" w:line="259" w:lineRule="auto"/>
        <w:tabs>
          <w:tab w:leader="none" w:pos="11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may be executed in any number of counterparts, as if the signatures to each counterpart were upon a single instrument, and all such counterparts together shall be deemed an original of this Amendment. Facsimile signatures or signatures received as a pdf attachment to electronic mail shall be treated as original signatures for all purposes of this Amendment. This Amendment shall become effective when, and only when, each Party shall have received a counterpart signed by all of the other Parties.</w:t>
      </w:r>
    </w:p>
    <w:p>
      <w:pPr>
        <w:spacing w:after="0" w:line="186" w:lineRule="exact"/>
        <w:rPr>
          <w:rFonts w:ascii="Arial" w:cs="Arial" w:eastAsia="Arial" w:hAnsi="Arial"/>
          <w:sz w:val="18"/>
          <w:szCs w:val="18"/>
          <w:color w:val="auto"/>
        </w:rPr>
      </w:pPr>
    </w:p>
    <w:p>
      <w:pPr>
        <w:ind w:left="1160" w:hanging="173"/>
        <w:spacing w:after="0"/>
        <w:tabs>
          <w:tab w:leader="none" w:pos="11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Capitalized terms used herein but not otherwise defined shall have the respective meanings ascribed thereto in the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40" w:name="page141"/>
    <w:bookmarkEnd w:id="140"/>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and delivered by the duly authorized officers of the Parties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 DEARBORN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WISE ROAD CAPITAL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820"/>
          </w:cols>
          <w:pgMar w:left="440" w:top="274" w:right="639" w:bottom="1440" w:gutter="0" w:footer="0" w:header="0"/>
        </w:sectPr>
      </w:pPr>
    </w:p>
    <w:bookmarkStart w:id="141" w:name="page142"/>
    <w:bookmarkEnd w:id="141"/>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and delivered by the duly authorized officers of the Parties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Theodore S.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Compliance Officer, General Counsel and</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60"/>
          </w:cols>
          <w:pgMar w:left="440" w:top="274" w:right="4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ind w:left="10624"/>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MagnaChip/Infineon Confidential</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PATENT CROSS-LICENSE AGREEMENT</w:t>
      </w:r>
    </w:p>
    <w:p>
      <w:pPr>
        <w:spacing w:after="0" w:line="225" w:lineRule="exact"/>
        <w:rPr>
          <w:sz w:val="20"/>
          <w:szCs w:val="20"/>
          <w:color w:val="auto"/>
        </w:rPr>
      </w:pPr>
    </w:p>
    <w:p>
      <w:pPr>
        <w:ind w:left="4" w:right="80"/>
        <w:spacing w:after="0" w:line="258" w:lineRule="auto"/>
        <w:rPr>
          <w:sz w:val="20"/>
          <w:szCs w:val="20"/>
          <w:color w:val="auto"/>
        </w:rPr>
      </w:pPr>
      <w:r>
        <w:rPr>
          <w:rFonts w:ascii="Arial" w:cs="Arial" w:eastAsia="Arial" w:hAnsi="Arial"/>
          <w:sz w:val="18"/>
          <w:szCs w:val="18"/>
          <w:color w:val="auto"/>
        </w:rPr>
        <w:t xml:space="preserve">This Patent Cross-License Agreement (“AGREEMENT”) is entered into on June 15, 2017 (“EFFECTIVE DATE”) by and between </w:t>
      </w:r>
      <w:r>
        <w:rPr>
          <w:rFonts w:ascii="Arial" w:cs="Arial" w:eastAsia="Arial" w:hAnsi="Arial"/>
          <w:sz w:val="18"/>
          <w:szCs w:val="18"/>
          <w:b w:val="1"/>
          <w:bCs w:val="1"/>
          <w:color w:val="auto"/>
        </w:rPr>
        <w:t>Infineon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Technologies AG </w:t>
      </w:r>
      <w:r>
        <w:rPr>
          <w:rFonts w:ascii="Arial" w:cs="Arial" w:eastAsia="Arial" w:hAnsi="Arial"/>
          <w:sz w:val="18"/>
          <w:szCs w:val="18"/>
          <w:color w:val="auto"/>
        </w:rPr>
        <w:t>(“INFINEON”), a corporation duly incorporated under the laws of Germany having its principal offices at Am Campeon 1-12, 85579</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Neubiberg, Germany, and </w:t>
      </w:r>
      <w:r>
        <w:rPr>
          <w:rFonts w:ascii="Arial" w:cs="Arial" w:eastAsia="Arial" w:hAnsi="Arial"/>
          <w:sz w:val="18"/>
          <w:szCs w:val="18"/>
          <w:b w:val="1"/>
          <w:bCs w:val="1"/>
          <w:color w:val="auto"/>
        </w:rPr>
        <w:t>MagnaChip Semiconductor, Ltd.</w:t>
      </w:r>
      <w:r>
        <w:rPr>
          <w:rFonts w:ascii="Arial" w:cs="Arial" w:eastAsia="Arial" w:hAnsi="Arial"/>
          <w:sz w:val="18"/>
          <w:szCs w:val="18"/>
          <w:color w:val="auto"/>
        </w:rPr>
        <w:t xml:space="preserve"> (“MAGNACHIP”), a company duly organized under the laws of Korea, having its principal offices at 424, Teheran-ro, Gangnam-gu, Seoul 135-738, Republic of Korea (INFINEON and MAGNACHIP hereinafter collectively referred to as the “PARTIES” and individually as a “PARTY”).</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Preamble</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WHEREAS, each of the PARTIES desires to acquire for itself and its AFFILIATES (as “LICENSEE”) a non-exclusive license under patents of the other PARTY and its AFFILIATES (as “LICENSOR”);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each of the PARTIES is engaged in semiconductor business;</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WHEREAS, each of the PARTIES is willing to enhance its capability in research and development and other necessary functions as a semiconductor company; and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INFINEON and MAGNACHIP agree as follows:</w:t>
      </w:r>
    </w:p>
    <w:p>
      <w:pPr>
        <w:spacing w:after="0" w:line="370" w:lineRule="exact"/>
        <w:rPr>
          <w:sz w:val="20"/>
          <w:szCs w:val="20"/>
          <w:color w:val="auto"/>
        </w:rPr>
      </w:pPr>
    </w:p>
    <w:p>
      <w:pPr>
        <w:ind w:left="544" w:hanging="544"/>
        <w:spacing w:after="0"/>
        <w:tabs>
          <w:tab w:leader="none" w:pos="54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“ACQUIRED ENTITY” shall have the meaning ascribed to it in Section 6.1.</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“ACQUIRED PARTY” shall have the meaning ascribed to it in Section 6.2.</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“ACQUIRING ENTITY” shall have the meaning ascribed to it in Section 6.2.</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“ACQUIRING PARTY” shall have the meaning ascribed to it in Section 6.1.</w:t>
      </w:r>
    </w:p>
    <w:p>
      <w:pPr>
        <w:spacing w:after="0" w:line="131" w:lineRule="exact"/>
        <w:rPr>
          <w:sz w:val="20"/>
          <w:szCs w:val="20"/>
          <w:color w:val="auto"/>
        </w:rPr>
      </w:pPr>
    </w:p>
    <w:p>
      <w:pPr>
        <w:ind w:left="424" w:right="20" w:hanging="431"/>
        <w:spacing w:after="0" w:line="296" w:lineRule="auto"/>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 xml:space="preserve">“AFFILIATE” shall mean, with respect to any PERSON, any other PERSON that directly, or indirectly through one or more intermediaries, CONTROLS, is CONTROLLED by or is under common CONTROL with, such first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PERSON shall be deemed to be an AFFILIATE only so long as such CONTROL exists. For these purposes, “CONTROL” shall mean that more than 50% of the controlled PERSON’s outstanding shares or ownership interests representing the right to make decisions for that PERSON are owned or controlled directly or indirectly by the controlling PERSON. Notwithstanding the foregoing, [***] shall not be regarded as an AFFILIATE of INFINEON.</w:t>
      </w:r>
    </w:p>
    <w:p>
      <w:pPr>
        <w:spacing w:after="0" w:line="94" w:lineRule="exact"/>
        <w:rPr>
          <w:sz w:val="20"/>
          <w:szCs w:val="20"/>
          <w:color w:val="auto"/>
        </w:rPr>
      </w:pPr>
    </w:p>
    <w:p>
      <w:pPr>
        <w:ind w:left="4"/>
        <w:spacing w:after="0"/>
        <w:tabs>
          <w:tab w:leader="none" w:pos="10084"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 of 20</w:t>
      </w:r>
    </w:p>
    <w:p>
      <w:pPr>
        <w:sectPr>
          <w:pgSz w:w="11900" w:h="16838" w:orient="portrait"/>
          <w:cols w:equalWidth="0" w:num="1">
            <w:col w:w="11024"/>
          </w:cols>
          <w:pgMar w:left="436" w:top="121"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“AGREEMENT” shall have the meaning ascribed to it on page 1 of this AGREEMENT.</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“BALANCING PAYMENTS” shall have the meaning ascribed to it in Section 4.1.1.</w:t>
      </w:r>
    </w:p>
    <w:p>
      <w:pPr>
        <w:spacing w:after="0" w:line="131" w:lineRule="exact"/>
        <w:rPr>
          <w:sz w:val="20"/>
          <w:szCs w:val="20"/>
          <w:color w:val="auto"/>
        </w:rPr>
      </w:pPr>
    </w:p>
    <w:p>
      <w:pPr>
        <w:ind w:left="420" w:right="200" w:hanging="431"/>
        <w:spacing w:after="0" w:line="277" w:lineRule="auto"/>
        <w:tabs>
          <w:tab w:leader="none" w:pos="400" w:val="left"/>
        </w:tabs>
        <w:rPr>
          <w:sz w:val="20"/>
          <w:szCs w:val="20"/>
          <w:color w:val="auto"/>
        </w:rPr>
      </w:pPr>
      <w:r>
        <w:rPr>
          <w:rFonts w:ascii="Arial" w:cs="Arial" w:eastAsia="Arial" w:hAnsi="Arial"/>
          <w:sz w:val="18"/>
          <w:szCs w:val="18"/>
          <w:color w:val="auto"/>
        </w:rPr>
        <w:t>1.8</w:t>
        <w:tab/>
        <w:t>“COMPETITOR” shall mean, with respect to a PARTY, any PERSON that engages, as of the date of the closing of the transaction contemplated by Section 6.2 or 6.3, in a business that competes with the LICENSED PRODUCTS of such PARTY.</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“DISCRETE POWER MOSFET PRODUCT” shall mean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1.10  “EFFECTIVE DATE” shall have the meaning ascribed to it on page 1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1.11  “IGBT DISCRETE PRODUCT” shall mean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1.12  “INFINEON LICENSED PATENTS” shall mean:</w:t>
      </w:r>
    </w:p>
    <w:p>
      <w:pPr>
        <w:spacing w:after="0" w:line="131" w:lineRule="exact"/>
        <w:rPr>
          <w:sz w:val="20"/>
          <w:szCs w:val="20"/>
          <w:color w:val="auto"/>
        </w:rPr>
      </w:pPr>
    </w:p>
    <w:p>
      <w:pPr>
        <w:ind w:left="960" w:right="120" w:hanging="532"/>
        <w:spacing w:after="0" w:line="263"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classes or types of patents, utility models and design patents, including applications therefor, in all countries of the world, which are issued or published, or filed prior to (and including) December 31, 2020, including continuations, divisionals, reissues and other pre-grant and post-grant applications and issuances and foreign counterparts thereof; and</w:t>
      </w:r>
    </w:p>
    <w:p>
      <w:pPr>
        <w:spacing w:after="0" w:line="89" w:lineRule="exact"/>
        <w:rPr>
          <w:rFonts w:ascii="Arial" w:cs="Arial" w:eastAsia="Arial" w:hAnsi="Arial"/>
          <w:sz w:val="18"/>
          <w:szCs w:val="18"/>
          <w:color w:val="auto"/>
        </w:rPr>
      </w:pPr>
    </w:p>
    <w:p>
      <w:pPr>
        <w:ind w:left="960" w:right="60" w:hanging="532"/>
        <w:spacing w:after="0" w:line="296"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under which patents, utility models or design patents (including applications therefor) INFINEON or any of its AFFILIATES has, during the TERM, the right to grant licenses of or within the scope granted herein without such grant or the exercise of rights thereunder resulting in the payment of royalties or other consideration by INFINEON or its AFFILIATES to THIRD PARTIES (except for payments among INFINEON and its AFFILIATES, and payments to employees of INFINEON or any of its AFFILIATES or to THIRD PARTIES for inventions made by said THIRD PARTIES while employed or otherwise engaged by INFINEON or any of its AFFILIATES).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1.13  “INFINEON LICENSED PRODUCTS” shall mean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1.14  “LICENSED PATENTS” shall mean INFINEON LICENSED PATENTS or MAGNACHIP LICENSED PATENTS, as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1.15  “LICENSED PRODUCTS” shall mean INFINEON LICENSED PRODUCTS or MAGNACHIP LICENSED PRODUCTS, as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1.16  “LICENSEE” shall have the meaning ascribed to it on page 1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1.17  “LICENSOR” shall have the meaning ascribed to it on page 1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“MAGNACHIP LICENSED PATENTS” shall mean:</w:t>
      </w:r>
    </w:p>
    <w:p>
      <w:pPr>
        <w:spacing w:after="0" w:line="15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2 of 20</w:t>
      </w:r>
    </w:p>
    <w:p>
      <w:pPr>
        <w:sectPr>
          <w:pgSz w:w="11900" w:h="16838" w:orient="portrait"/>
          <w:cols w:equalWidth="0" w:num="1">
            <w:col w:w="11020"/>
          </w:cols>
          <w:pgMar w:left="440" w:top="274" w:right="4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ind w:left="960" w:right="120" w:hanging="532"/>
        <w:spacing w:after="0" w:line="263"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classes or types of patents, utility models and design patents, including applications therefor, in all countries of the world, which are issued or published, or filed prior to (and including) December 31, 2020, including continuations, divisionals, reissues and other pre-grant and post-grant applications and issuances and foreign counterparts thereof; and</w:t>
      </w:r>
    </w:p>
    <w:p>
      <w:pPr>
        <w:spacing w:after="0" w:line="89" w:lineRule="exact"/>
        <w:rPr>
          <w:rFonts w:ascii="Arial" w:cs="Arial" w:eastAsia="Arial" w:hAnsi="Arial"/>
          <w:sz w:val="18"/>
          <w:szCs w:val="18"/>
          <w:color w:val="auto"/>
        </w:rPr>
      </w:pPr>
    </w:p>
    <w:p>
      <w:pPr>
        <w:ind w:left="960" w:right="220" w:hanging="532"/>
        <w:spacing w:after="0" w:line="285" w:lineRule="auto"/>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under which patents, utility models or design patents (including applications therefor) MAGNACHIP or any of its AFFILIATES has, during the TERM, the right to grant licenses of or within the scope granted herein without such grant or the exercise of rights thereunder resulting in the payment of royalties or other consideration by MAGNACHIP or its AFFILIATES to THIRD PARTIES (except for payments among MAGNACHIP and its AFFILIATES, and payments to employees of MAGNACHIP or any of its AFFILIATES or to THIRD PARTIES for inventions made by said THIRD PARTIES while employed or otherwise engaged by MAGNACHIP or any of its</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116" w:lineRule="exact"/>
        <w:rPr>
          <w:sz w:val="20"/>
          <w:szCs w:val="20"/>
          <w:color w:val="auto"/>
        </w:rPr>
      </w:pPr>
    </w:p>
    <w:p>
      <w:pPr>
        <w:ind w:left="420" w:right="100" w:hanging="431"/>
        <w:spacing w:after="0" w:line="255" w:lineRule="auto"/>
        <w:rPr>
          <w:sz w:val="20"/>
          <w:szCs w:val="20"/>
          <w:color w:val="auto"/>
        </w:rPr>
      </w:pPr>
      <w:r>
        <w:rPr>
          <w:rFonts w:ascii="Arial" w:cs="Arial" w:eastAsia="Arial" w:hAnsi="Arial"/>
          <w:sz w:val="18"/>
          <w:szCs w:val="18"/>
          <w:color w:val="auto"/>
        </w:rPr>
        <w:t>1.19 “MAGNACHIP LICENSED PRODUCTS” shall mean any DISCRETE POWER MOSFET PRODUCTS with identification numbers or codes assigned thereto and any individual IGBT DISCRETE PRODUCTS with identification numbers or codes assigned thereto, in each case first sold at production volume prior to (and including) December 31, 2020 which (i) are designed or developed by or for MAGNACHIP and/or any of its AFFILIATES (either solely or jointly with one or more THIRD PARTIES), or of which designs are licensed or acquired by MAGNACHIP and/or any of its AFFILIATES and (ii) if marketed, are marketed by MAGNACHIP and/or any of its AFFILIATES under its own name as its own product.</w:t>
      </w:r>
    </w:p>
    <w:p>
      <w:pPr>
        <w:spacing w:after="0" w:line="98" w:lineRule="exact"/>
        <w:rPr>
          <w:sz w:val="20"/>
          <w:szCs w:val="20"/>
          <w:color w:val="auto"/>
        </w:rPr>
      </w:pPr>
    </w:p>
    <w:p>
      <w:pPr>
        <w:ind w:left="420" w:right="20" w:hanging="431"/>
        <w:spacing w:after="0" w:line="254" w:lineRule="auto"/>
        <w:rPr>
          <w:sz w:val="20"/>
          <w:szCs w:val="20"/>
          <w:color w:val="auto"/>
        </w:rPr>
      </w:pPr>
      <w:r>
        <w:rPr>
          <w:rFonts w:ascii="Arial" w:cs="Arial" w:eastAsia="Arial" w:hAnsi="Arial"/>
          <w:sz w:val="18"/>
          <w:szCs w:val="18"/>
          <w:color w:val="auto"/>
        </w:rPr>
        <w:t>1.20 “MAGNACHIP POWER BUSINESS LINE” shall mean MAGNACHIP’s business line consisting of the design, marketing and sale of any and all power solutions products, where the term “power solutions” has the meaning generally understood in the global semiconductor industry. As of the EFFECTIVE DATE, the MAGNACHIP POWER BUSINESS LINE includes certain discrete and integrated circuit solutions for power management in consumer, communication and industrial applications — namely, power converters, discrete IGBTs, MOSFETs (low voltage, mid voltage, high voltage and superjunction) and power modules. Without limiting the foregoing, in the event that MAGNACHIP designs, markets and sells any other power solutions products now or anytime during the TERM, such products shall be deemed to be a part of the MAGNACHIP POWER BUSINESS LINE.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1.21  “MX” shall mean MagnaChip Semiconductor Corporation, a corporation duly incorporated under the laws of the State of Delaware, U.S.A.</w:t>
      </w:r>
    </w:p>
    <w:p>
      <w:pPr>
        <w:spacing w:after="0" w:line="142" w:lineRule="exact"/>
        <w:rPr>
          <w:sz w:val="20"/>
          <w:szCs w:val="20"/>
          <w:color w:val="auto"/>
        </w:rPr>
      </w:pPr>
    </w:p>
    <w:p>
      <w:pPr>
        <w:ind w:left="420" w:right="360" w:hanging="431"/>
        <w:spacing w:after="0" w:line="277" w:lineRule="auto"/>
        <w:rPr>
          <w:sz w:val="20"/>
          <w:szCs w:val="20"/>
          <w:color w:val="auto"/>
        </w:rPr>
      </w:pPr>
      <w:r>
        <w:rPr>
          <w:rFonts w:ascii="Arial" w:cs="Arial" w:eastAsia="Arial" w:hAnsi="Arial"/>
          <w:sz w:val="18"/>
          <w:szCs w:val="18"/>
          <w:color w:val="auto"/>
        </w:rPr>
        <w:t>1.22 “PERSON” shall mean an individual, corporation, partnership, limited liability company, limited liability partnership, syndicate, person, trust, association, organization or other entity, including any successor, by merger or otherwise, of any of the foregoing.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1.23  “PRIOR LICENSE AGREEMENT” shall have the meaning ascribed to it in Section 6.1.</w:t>
      </w:r>
    </w:p>
    <w:p>
      <w:pPr>
        <w:spacing w:after="0" w:line="15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3 of 20</w:t>
      </w:r>
    </w:p>
    <w:p>
      <w:pPr>
        <w:sectPr>
          <w:pgSz w:w="11900" w:h="16838" w:orient="portrait"/>
          <w:cols w:equalWidth="0" w:num="1">
            <w:col w:w="11020"/>
          </w:cols>
          <w:pgMar w:left="440" w:top="274" w:right="4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1.24  “RECIPIENT” shall have the meaning ascribed to it in Section 6.3.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1.25  “RECIPIENT LICENSED PATENTS” shall mean:</w:t>
      </w:r>
    </w:p>
    <w:p>
      <w:pPr>
        <w:spacing w:after="0" w:line="131" w:lineRule="exact"/>
        <w:rPr>
          <w:sz w:val="20"/>
          <w:szCs w:val="20"/>
          <w:color w:val="auto"/>
        </w:rPr>
      </w:pPr>
    </w:p>
    <w:p>
      <w:pPr>
        <w:ind w:left="960" w:right="120" w:hanging="532"/>
        <w:spacing w:after="0" w:line="263"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classes or types of patents, utility models and design patents, including applications therefor, in all countries of the world, which are issued or published, or filed prior to (and including) December 31, 2020, including continuations, divisionals, reissues and other pre-grant and post-grant applications and issuances and foreign counterparts thereof; and</w:t>
      </w:r>
    </w:p>
    <w:p>
      <w:pPr>
        <w:spacing w:after="0" w:line="89" w:lineRule="exact"/>
        <w:rPr>
          <w:rFonts w:ascii="Arial" w:cs="Arial" w:eastAsia="Arial" w:hAnsi="Arial"/>
          <w:sz w:val="18"/>
          <w:szCs w:val="18"/>
          <w:color w:val="auto"/>
        </w:rPr>
      </w:pPr>
    </w:p>
    <w:p>
      <w:pPr>
        <w:ind w:left="960" w:right="60" w:hanging="532"/>
        <w:spacing w:after="0" w:line="296"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under which patents, utility models or design patents (including applications therefor) RECIPIENT or any of its AFFILIATES has, during the TERM, the right to grant licenses of or within the scope granted herein without such grant or the exercise of rights thereunder resulting in the payment of royalties or other consideration by RECIPIENT or its AFFILIATES to THIRD PARTIES (except for payments among RECIPIENT and its AFFILIATES, and payments to employees of RECIPIENT or any of its AFFILIATES or to THIRD PARTIES for inventions made by said THIRD PARTIES while employed or otherwise engaged by RECIPIENT or any of its AFFILIATES).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1.26  “SUBSIDIARY” of a PERSON shall mean a corporation, company or other entity:</w:t>
      </w:r>
    </w:p>
    <w:p>
      <w:pPr>
        <w:spacing w:after="0" w:line="131" w:lineRule="exact"/>
        <w:rPr>
          <w:sz w:val="20"/>
          <w:szCs w:val="20"/>
          <w:color w:val="auto"/>
        </w:rPr>
      </w:pPr>
    </w:p>
    <w:p>
      <w:pPr>
        <w:jc w:val="both"/>
        <w:ind w:left="960" w:right="60" w:hanging="532"/>
        <w:spacing w:after="0" w:line="286" w:lineRule="auto"/>
        <w:tabs>
          <w:tab w:leader="none" w:pos="9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more than fifty percent (50%) of whose outstanding shares or securities (representing the right to vote for the election of directors or other managing authority) are, now or hereafter, owned or controlled, directly or indirectly, by such PERSON, but such corporation, company or other entity shall be deemed to be a SUBSIDIARY only so long as such ownership or control exists; or</w:t>
      </w:r>
    </w:p>
    <w:p>
      <w:pPr>
        <w:spacing w:after="0" w:line="70" w:lineRule="exact"/>
        <w:rPr>
          <w:rFonts w:ascii="Arial" w:cs="Arial" w:eastAsia="Arial" w:hAnsi="Arial"/>
          <w:sz w:val="17"/>
          <w:szCs w:val="17"/>
          <w:color w:val="auto"/>
        </w:rPr>
      </w:pPr>
    </w:p>
    <w:p>
      <w:pPr>
        <w:ind w:left="960" w:right="180" w:hanging="532"/>
        <w:spacing w:after="0" w:line="279" w:lineRule="auto"/>
        <w:tabs>
          <w:tab w:leader="none" w:pos="9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which does not have outstanding shares or securities, as may be the case in a partnership, joint venture or unincorporated association, but more than fifty percent (50%) of whose ownership interest representing the right to make the decisions for such corporation, company or other entity is now or hereafter, owned or controlled, directly or indirectly, by such PERSON, but such corporation, company or other entity shall be deemed to be a SUBSIDIARY only so long as such ownership or control exists.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 shall not be regarded as a SUBSIDIARY of INFINEON.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1.27  “TERM” shall have the meaning ascribed to it in Section 5.1.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1.28  “THIRD PARTY” shall mean a PERSON other than a PARTY, a PARTY’S AFFILIATE or a PARTY’S SUBSIDIARY.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1.29  “THIRD PARTY MANUFACTURER” shall mean a manufacturer that is a THIRD PARTY, subject to the conditions set forth in Section 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1.30  “TRANSFERRING PARTY” shall have the meaning ascribed to it in Section 6.3.</w:t>
      </w:r>
    </w:p>
    <w:p>
      <w:pPr>
        <w:spacing w:after="0" w:line="15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4 of 20</w:t>
      </w:r>
    </w:p>
    <w:p>
      <w:pPr>
        <w:sectPr>
          <w:pgSz w:w="11900" w:h="16838" w:orient="portrait"/>
          <w:cols w:equalWidth="0" w:num="1">
            <w:col w:w="11020"/>
          </w:cols>
          <w:pgMar w:left="440" w:top="274"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4"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Grants</w:t>
      </w:r>
    </w:p>
    <w:p>
      <w:pPr>
        <w:spacing w:after="0" w:line="135" w:lineRule="exact"/>
        <w:rPr>
          <w:sz w:val="20"/>
          <w:szCs w:val="20"/>
          <w:color w:val="auto"/>
        </w:rPr>
      </w:pPr>
    </w:p>
    <w:p>
      <w:pPr>
        <w:ind w:left="424" w:right="660" w:hanging="431"/>
        <w:spacing w:after="0" w:line="263" w:lineRule="auto"/>
        <w:tabs>
          <w:tab w:leader="none" w:pos="404" w:val="left"/>
        </w:tabs>
        <w:rPr>
          <w:sz w:val="20"/>
          <w:szCs w:val="20"/>
          <w:color w:val="auto"/>
        </w:rPr>
      </w:pPr>
      <w:r>
        <w:rPr>
          <w:rFonts w:ascii="Arial" w:cs="Arial" w:eastAsia="Arial" w:hAnsi="Arial"/>
          <w:sz w:val="18"/>
          <w:szCs w:val="18"/>
          <w:color w:val="auto"/>
        </w:rPr>
        <w:t>2.1</w:t>
        <w:tab/>
        <w:t>INFINEON, as LICENSOR, hereby grants and shall cause its AFFILIATES to grant to MAGNACHIP, as LICENSEE, a non-exclusive, non-transferable (except in accordance with Section 7.2), worldwide license, without the right to sublicense (except to its AFFILIATES in accordance with Section 2.5), under INFINEON LICENSED PATENTS:</w:t>
      </w:r>
    </w:p>
    <w:p>
      <w:pPr>
        <w:spacing w:after="0" w:line="89" w:lineRule="exact"/>
        <w:rPr>
          <w:sz w:val="20"/>
          <w:szCs w:val="20"/>
          <w:color w:val="auto"/>
        </w:rPr>
      </w:pPr>
    </w:p>
    <w:p>
      <w:pPr>
        <w:ind w:left="964" w:right="240" w:hanging="532"/>
        <w:spacing w:after="0" w:line="342" w:lineRule="auto"/>
        <w:tabs>
          <w:tab w:leader="none" w:pos="96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make (including the right to use any apparatus and practice any method in making, including without limitation design, test, assemble etc.), use, import, offer for sale, lease, license, sell and/or otherwise dispose of MAGNACHIP LICENSED PRODUCTS; and</w:t>
      </w:r>
    </w:p>
    <w:p>
      <w:pPr>
        <w:spacing w:after="0" w:line="29" w:lineRule="exact"/>
        <w:rPr>
          <w:rFonts w:ascii="Arial" w:cs="Arial" w:eastAsia="Arial" w:hAnsi="Arial"/>
          <w:sz w:val="16"/>
          <w:szCs w:val="16"/>
          <w:color w:val="auto"/>
        </w:rPr>
      </w:pPr>
    </w:p>
    <w:p>
      <w:pPr>
        <w:jc w:val="both"/>
        <w:ind w:left="964" w:right="200" w:hanging="532"/>
        <w:spacing w:after="0" w:line="342" w:lineRule="auto"/>
        <w:tabs>
          <w:tab w:leader="none" w:pos="96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have MAGNACHIP LICENSED PRODUCTS made by a THIRD PARTY MANUFACTURER for the use, importation, offer for sale, lease, sale and/or other disposition of such LICENSED PRODUCTS by MAGNACHIP subject to the conditions set forth in Section 2.3.</w:t>
      </w:r>
    </w:p>
    <w:p>
      <w:pPr>
        <w:spacing w:after="0" w:line="29" w:lineRule="exact"/>
        <w:rPr>
          <w:sz w:val="20"/>
          <w:szCs w:val="20"/>
          <w:color w:val="auto"/>
        </w:rPr>
      </w:pPr>
    </w:p>
    <w:p>
      <w:pPr>
        <w:ind w:left="424" w:right="660" w:hanging="431"/>
        <w:spacing w:after="0" w:line="263" w:lineRule="auto"/>
        <w:tabs>
          <w:tab w:leader="none" w:pos="404" w:val="left"/>
        </w:tabs>
        <w:rPr>
          <w:sz w:val="20"/>
          <w:szCs w:val="20"/>
          <w:color w:val="auto"/>
        </w:rPr>
      </w:pPr>
      <w:r>
        <w:rPr>
          <w:rFonts w:ascii="Arial" w:cs="Arial" w:eastAsia="Arial" w:hAnsi="Arial"/>
          <w:sz w:val="18"/>
          <w:szCs w:val="18"/>
          <w:color w:val="auto"/>
        </w:rPr>
        <w:t>2.2</w:t>
        <w:tab/>
        <w:t>MAGNACHIP, as LICENSOR, hereby grants and shall cause its AFFILIATES to grant to INFINEON, as LICENSEE, a non-exclusive, non-transferable (except in accordance with Section 7.2), worldwide license, without the right to sublicense (except to its AFFILIATES in accordance with Section 2.5), under MAGNACHIP LICENSED PATENTS:</w:t>
      </w:r>
    </w:p>
    <w:p>
      <w:pPr>
        <w:spacing w:after="0" w:line="89" w:lineRule="exact"/>
        <w:rPr>
          <w:sz w:val="20"/>
          <w:szCs w:val="20"/>
          <w:color w:val="auto"/>
        </w:rPr>
      </w:pPr>
    </w:p>
    <w:p>
      <w:pPr>
        <w:ind w:left="964" w:right="240" w:hanging="532"/>
        <w:spacing w:after="0" w:line="308" w:lineRule="auto"/>
        <w:tabs>
          <w:tab w:leader="none" w:pos="96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make (including the right to use any apparatus and practice any method in making, including without limitation design, test, assemble etc.), use, import, offer for sale, lease, license, sell and/or otherwise dispose of INFINEON LICENSED PRODUCTS; and</w:t>
      </w:r>
    </w:p>
    <w:p>
      <w:pPr>
        <w:spacing w:after="0" w:line="51" w:lineRule="exact"/>
        <w:rPr>
          <w:rFonts w:ascii="Arial" w:cs="Arial" w:eastAsia="Arial" w:hAnsi="Arial"/>
          <w:sz w:val="17"/>
          <w:szCs w:val="17"/>
          <w:color w:val="auto"/>
        </w:rPr>
      </w:pPr>
    </w:p>
    <w:p>
      <w:pPr>
        <w:ind w:left="964" w:right="100" w:hanging="532"/>
        <w:spacing w:after="0" w:line="308" w:lineRule="auto"/>
        <w:tabs>
          <w:tab w:leader="none" w:pos="96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have INFINEON LICENSED PRODUCTS made by THIRD PARTY MANUFACTURER for the use, importation, offer for sale, lease, sale and/or other disposition of such LICENSED PRODUCTS by INFINEON subject to the conditions set forth in Section 2.3.</w:t>
      </w:r>
    </w:p>
    <w:p>
      <w:pPr>
        <w:spacing w:after="0" w:line="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licenses granted in Section 2.1(b) and 2.2(b) to have LICENSED PRODUCTS made by a THIRD PARTY MANUFACTURER:</w:t>
      </w:r>
    </w:p>
    <w:p>
      <w:pPr>
        <w:spacing w:after="0" w:line="131" w:lineRule="exact"/>
        <w:rPr>
          <w:sz w:val="20"/>
          <w:szCs w:val="20"/>
          <w:color w:val="auto"/>
        </w:rPr>
      </w:pPr>
    </w:p>
    <w:p>
      <w:pPr>
        <w:ind w:left="964" w:hanging="532"/>
        <w:spacing w:after="0"/>
        <w:tabs>
          <w:tab w:leader="none" w:pos="96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shall only apply to such LICENSED PRODUCTS manufactured by such THIRD PARTY MANUFACTURER for LICENSEE after the</w:t>
      </w:r>
    </w:p>
    <w:p>
      <w:pPr>
        <w:spacing w:after="0" w:line="34" w:lineRule="exact"/>
        <w:rPr>
          <w:rFonts w:ascii="Arial" w:cs="Arial" w:eastAsia="Arial" w:hAnsi="Arial"/>
          <w:sz w:val="17"/>
          <w:szCs w:val="17"/>
          <w:color w:val="auto"/>
        </w:rPr>
      </w:pPr>
    </w:p>
    <w:p>
      <w:pPr>
        <w:ind w:left="964"/>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116" w:lineRule="exact"/>
        <w:rPr>
          <w:rFonts w:ascii="Arial" w:cs="Arial" w:eastAsia="Arial" w:hAnsi="Arial"/>
          <w:sz w:val="17"/>
          <w:szCs w:val="17"/>
          <w:color w:val="auto"/>
        </w:rPr>
      </w:pPr>
    </w:p>
    <w:p>
      <w:pPr>
        <w:jc w:val="both"/>
        <w:ind w:left="964" w:right="100" w:hanging="532"/>
        <w:spacing w:after="0" w:line="263" w:lineRule="auto"/>
        <w:tabs>
          <w:tab w:leader="none" w:pos="9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shall only apply to LICENSED PRODUCTS or portions thereof for which the specifications were created by LICENSEE (either solely or jointly with one or more THIRD PARTIES) or for LICENSEE or by or for LICENSEE’S predecessor (including specifications licensed or acquired by LICENSEE or LICENSEE’S predecessor from THIRD PARTIES);</w:t>
      </w:r>
    </w:p>
    <w:p>
      <w:pPr>
        <w:spacing w:after="0" w:line="89"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shall only be granted under claims of LICENSED PATENTS, the infringement of which would be necessary in order to comply with such specifications;</w:t>
      </w:r>
    </w:p>
    <w:p>
      <w:pPr>
        <w:spacing w:after="0" w:line="103" w:lineRule="exact"/>
        <w:rPr>
          <w:sz w:val="20"/>
          <w:szCs w:val="20"/>
          <w:color w:val="auto"/>
        </w:rPr>
      </w:pPr>
    </w:p>
    <w:p>
      <w:pPr>
        <w:ind w:left="4"/>
        <w:spacing w:after="0"/>
        <w:tabs>
          <w:tab w:leader="none" w:pos="10084"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5 of 20</w:t>
      </w:r>
    </w:p>
    <w:p>
      <w:pPr>
        <w:sectPr>
          <w:pgSz w:w="11900" w:h="16838" w:orient="portrait"/>
          <w:cols w:equalWidth="0" w:num="1">
            <w:col w:w="11024"/>
          </w:cols>
          <w:pgMar w:left="436" w:top="274"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ind w:left="960" w:right="260" w:hanging="532"/>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not apply to any apparatus or methods when used or practiced by said THIRD PARTY MANUFACTURER for the manufacture of products other than LICENSED PRODUCTS;</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not include the right to resell LICENSED PRODUCTS to the THIRD PARTY MANUFACTURER for the purpose of further resale by the THIRD PARTY MANUFACTURER under its own name, trade mark or logo to THIRD PARTIES; and</w:t>
      </w:r>
    </w:p>
    <w:p>
      <w:pPr>
        <w:spacing w:after="0" w:line="75" w:lineRule="exact"/>
        <w:rPr>
          <w:rFonts w:ascii="Arial" w:cs="Arial" w:eastAsia="Arial" w:hAnsi="Arial"/>
          <w:sz w:val="18"/>
          <w:szCs w:val="18"/>
          <w:color w:val="auto"/>
        </w:rPr>
      </w:pPr>
    </w:p>
    <w:p>
      <w:pPr>
        <w:ind w:left="960" w:right="280" w:hanging="532"/>
        <w:spacing w:after="0" w:line="286" w:lineRule="auto"/>
        <w:tabs>
          <w:tab w:leader="none" w:pos="9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shall not apply to the manufacture or assembly by the THIRD PARTY MANUFACTURER of a standard, off-the shelf product of the THIRD PARTY MANUFACTURER, originally designed or developed by or for the THIRD PARTY MANUFACTURER and to which only minor revisions are made to conform to the specifications of the LICENSED PRODUCT.</w:t>
      </w:r>
    </w:p>
    <w:p>
      <w:pPr>
        <w:spacing w:after="0" w:line="57" w:lineRule="exact"/>
        <w:rPr>
          <w:sz w:val="20"/>
          <w:szCs w:val="20"/>
          <w:color w:val="auto"/>
        </w:rPr>
      </w:pPr>
    </w:p>
    <w:p>
      <w:pPr>
        <w:ind w:left="440"/>
        <w:spacing w:after="0" w:line="311" w:lineRule="auto"/>
        <w:rPr>
          <w:sz w:val="20"/>
          <w:szCs w:val="20"/>
          <w:color w:val="auto"/>
        </w:rPr>
      </w:pPr>
      <w:r>
        <w:rPr>
          <w:rFonts w:ascii="Arial" w:cs="Arial" w:eastAsia="Arial" w:hAnsi="Arial"/>
          <w:sz w:val="16"/>
          <w:szCs w:val="16"/>
          <w:color w:val="auto"/>
        </w:rPr>
        <w:t>For the avoidance of doubt, the licenses granted in Section 2.1(b) and 2.2(b) to have LICENSED PRODUCTS made by a THIRD PARTY MANUFACTURER shall not extend to the manufacturing process employed by the THIRD PARTY for manufacture of LICENSED PRODUCTS, except to the extent that the manufacturing process has been licensed or provided to the THIRD PARTY MANUFACTURER by LICENSEE.</w:t>
      </w:r>
    </w:p>
    <w:p>
      <w:pPr>
        <w:spacing w:after="0" w:line="41" w:lineRule="exact"/>
        <w:rPr>
          <w:sz w:val="20"/>
          <w:szCs w:val="20"/>
          <w:color w:val="auto"/>
        </w:rPr>
      </w:pPr>
    </w:p>
    <w:p>
      <w:pPr>
        <w:ind w:left="440" w:right="240"/>
        <w:spacing w:after="0" w:line="257" w:lineRule="auto"/>
        <w:rPr>
          <w:sz w:val="20"/>
          <w:szCs w:val="20"/>
          <w:color w:val="auto"/>
        </w:rPr>
      </w:pPr>
      <w:r>
        <w:rPr>
          <w:rFonts w:ascii="Arial" w:cs="Arial" w:eastAsia="Arial" w:hAnsi="Arial"/>
          <w:sz w:val="18"/>
          <w:szCs w:val="18"/>
          <w:color w:val="auto"/>
        </w:rPr>
        <w:t xml:space="preserve">Notwithstanding the foregoing, with respect to the manufacturing process employed by the THIRD PARTY MANUFACTURER, each PARTY agrees not to assert its rights under the LICENSED PATENTS against the other PARTY and/or its AFFILIATES and/or their customers to the extent the other PARTY would be licensed under this AGREEMENT if the manufacturing process had been provided by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PARTY reserves the right to assert its rights against the THIRD PARTY MANUFACTURER or any other THIRD PARTY.</w:t>
      </w:r>
    </w:p>
    <w:p>
      <w:pPr>
        <w:spacing w:after="0" w:line="80"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In response to a written request identifying a LICENSED PRODUCT and a THIRD PARTY MANUFACTURER, LICENSEE shall in a timely manner inform LICENSOR whether such LICENSED PRODUCT is manufactured by such THIRD PARTY MANUFACTURER pursuant to the license granted in Section 2.1(b) or 2.2(b).</w:t>
      </w:r>
    </w:p>
    <w:p>
      <w:pPr>
        <w:spacing w:after="0" w:line="89" w:lineRule="exact"/>
        <w:rPr>
          <w:sz w:val="20"/>
          <w:szCs w:val="20"/>
          <w:color w:val="auto"/>
        </w:rPr>
      </w:pPr>
    </w:p>
    <w:p>
      <w:pPr>
        <w:ind w:left="420" w:right="60" w:hanging="431"/>
        <w:spacing w:after="0" w:line="293" w:lineRule="auto"/>
        <w:tabs>
          <w:tab w:leader="none" w:pos="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It is the intent of the PARTIES that a PARTY is not subject to claims of indirect infringement (under 35 U.S.C. 271(b) and (c)) of any LICENSED PATENT of the other PARTY (“INDIRECT INFRINGEMENT”) arising from any activity that is authorized under the licenses granted to such PARTY under this AGREEMENT; provided that (a) nothing in this Section 2.4 will be deemed to constitute or give rise to any right of any THIRD PARTY by way of exhaustion or otherwise, and (b) an assertion of claims of infringement against any THIRD PARTY is not an assertion of INDIRECT INFRINGEMENT against the other PARTY for purposes of this Section 2.4. Each PARTY agrees that it will not in any event advocate or advise that this Section 2.4 constitutes or gives rise to any right of any THIRD PARTY by way of exhaustion or otherwise.</w:t>
      </w:r>
    </w:p>
    <w:p>
      <w:pPr>
        <w:spacing w:after="0" w:line="97"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6 of 20</w:t>
      </w:r>
    </w:p>
    <w:p>
      <w:pPr>
        <w:sectPr>
          <w:pgSz w:w="11900" w:h="16838" w:orient="portrait"/>
          <w:cols w:equalWidth="0" w:num="1">
            <w:col w:w="11020"/>
          </w:cols>
          <w:pgMar w:left="440" w:top="274" w:right="4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ind w:left="440" w:right="60"/>
        <w:spacing w:after="0" w:line="270" w:lineRule="auto"/>
        <w:rPr>
          <w:sz w:val="20"/>
          <w:szCs w:val="20"/>
          <w:color w:val="auto"/>
        </w:rPr>
      </w:pPr>
      <w:r>
        <w:rPr>
          <w:rFonts w:ascii="Arial" w:cs="Arial" w:eastAsia="Arial" w:hAnsi="Arial"/>
          <w:sz w:val="17"/>
          <w:szCs w:val="17"/>
          <w:color w:val="auto"/>
        </w:rPr>
        <w:t>The PARTIES agree that a PARTY has the right to sue a THIRD PARTY for patent infringement where such infringement arises from a combination of LICENSED PRODUCT with any other products or from the interaction/relationship between the LICENSED PRODUCT and such other products, but such PARTY shall not sue such THIRD PARTY for patent infringement solely based on the other PARTY’s LICENSED PRODUCT. By way of example and for the avoidance of any doubt regarding the effect of patent exhaustion, if MAGNACHIP’s customer (a THIRD PARTY) purchases a discrete power MOSFET product constituting a LICENSED PRODUCT from MAGNACHIP and incorporates such product into its TV device, which naturally includes many other semiconductor components and materials, then INFINEON shall have the right to sue such customer for patent infringement based on such other semiconductor components or materials or based on the interaction/relationship between the LICENSED PRODUCT and such other semiconductor components or materials, but not based solely on the LICENSED PRODUCT that the customer purchased from MAGNACHIP.</w:t>
      </w:r>
    </w:p>
    <w:p>
      <w:pPr>
        <w:spacing w:after="0" w:line="73"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Nothing contained in this AGREEMENT shall be construed as conferring any rights by implication, estoppels or otherwise, under any non-patent intellectual property right, or any patents, patent applications, utility models or utility model applications, other than the LICENSED PATENTS. Neither PARTY is required hereunder to furnish or disclose to the other any technical or other information (including copies of LICENSED PATENTS) except as specifically provided herein.</w:t>
      </w:r>
    </w:p>
    <w:p>
      <w:pPr>
        <w:spacing w:after="0" w:line="79"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In the event that neither a PARTY nor any of its AFFILIATES has the right to grant a license of the scope set forth in Section 2 under any particular LICENSED PATENT, then the license granted herein under said LICENSED PATENT shall be of the broadest scope which said PARTY or any of its AFFILIATES has the right to grant within the scope set forth above.</w:t>
      </w:r>
    </w:p>
    <w:p>
      <w:pPr>
        <w:spacing w:after="0" w:line="89"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licenses granted herein include the right of each PARTY to grant sublicenses to its AFFILIATES existing on or after the EFFECTIVE DATE,</w:t>
      </w:r>
    </w:p>
    <w:p>
      <w:pPr>
        <w:spacing w:after="0" w:line="23" w:lineRule="exact"/>
        <w:rPr>
          <w:sz w:val="20"/>
          <w:szCs w:val="20"/>
          <w:color w:val="auto"/>
        </w:rPr>
      </w:pPr>
    </w:p>
    <w:p>
      <w:pPr>
        <w:ind w:left="420" w:right="520"/>
        <w:spacing w:after="0" w:line="323" w:lineRule="auto"/>
        <w:rPr>
          <w:sz w:val="20"/>
          <w:szCs w:val="20"/>
          <w:color w:val="auto"/>
        </w:rPr>
      </w:pPr>
      <w:r>
        <w:rPr>
          <w:rFonts w:ascii="Arial" w:cs="Arial" w:eastAsia="Arial" w:hAnsi="Arial"/>
          <w:sz w:val="16"/>
          <w:szCs w:val="16"/>
          <w:color w:val="auto"/>
        </w:rPr>
        <w:t>which sublicenses may include the right of the sublicensed AFFILIATES to grant sublicenses to other AFFILIATES. No sublicense shall be broader in any respect at any time during the TERM than the license held at that time by the PARTY that granted the sublicense.</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otherwise provided in Section 6, a sublicense granted to an AFFILIATE shall terminate on the earlier of:</w:t>
      </w:r>
    </w:p>
    <w:p>
      <w:pPr>
        <w:spacing w:after="0" w:line="131" w:lineRule="exact"/>
        <w:rPr>
          <w:sz w:val="20"/>
          <w:szCs w:val="20"/>
          <w:color w:val="auto"/>
        </w:rPr>
      </w:pPr>
    </w:p>
    <w:p>
      <w:pPr>
        <w:ind w:left="960" w:hanging="532"/>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date on which such AFFILIATE ceases to be an AFFILIATE of a PARTY hereto;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date of termination or expiration of the license to the PARTY or AFFILIATE that granted the sublicense.</w:t>
      </w:r>
    </w:p>
    <w:p>
      <w:pPr>
        <w:spacing w:after="0" w:line="117"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If an AFFILIATE ceases to be an AFFILIATE and holds any LICENSED PATENTS under which a PARTY hereto is licensed, such license shall continue for the TERM.</w:t>
      </w:r>
    </w:p>
    <w:p>
      <w:pPr>
        <w:spacing w:after="0" w:line="103"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7 of 20</w:t>
      </w:r>
    </w:p>
    <w:p>
      <w:pPr>
        <w:sectPr>
          <w:pgSz w:w="11900" w:h="16838" w:orient="portrait"/>
          <w:cols w:equalWidth="0" w:num="1">
            <w:col w:w="11020"/>
          </w:cols>
          <w:pgMar w:left="440" w:top="274" w:right="4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4"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Releases and Non-Assertion Covenants</w:t>
      </w:r>
    </w:p>
    <w:p>
      <w:pPr>
        <w:spacing w:after="0" w:line="135" w:lineRule="exact"/>
        <w:rPr>
          <w:sz w:val="20"/>
          <w:szCs w:val="20"/>
          <w:color w:val="auto"/>
        </w:rPr>
      </w:pPr>
    </w:p>
    <w:p>
      <w:pPr>
        <w:ind w:left="424" w:right="60" w:hanging="431"/>
        <w:spacing w:after="0" w:line="257" w:lineRule="auto"/>
        <w:tabs>
          <w:tab w:leader="none" w:pos="404" w:val="left"/>
        </w:tabs>
        <w:rPr>
          <w:sz w:val="20"/>
          <w:szCs w:val="20"/>
          <w:color w:val="auto"/>
        </w:rPr>
      </w:pPr>
      <w:r>
        <w:rPr>
          <w:rFonts w:ascii="Arial" w:cs="Arial" w:eastAsia="Arial" w:hAnsi="Arial"/>
          <w:sz w:val="18"/>
          <w:szCs w:val="18"/>
          <w:color w:val="auto"/>
        </w:rPr>
        <w:t>3.1</w:t>
        <w:tab/>
        <w:t>MAGNACHIP and its AFFILIATES hereby release, acquit and forever discharge INFINEON, its AFFILIATES, directors, officers, employees, successors, customers, THIRD PARTY MANUFACTURERS and end users in any country, for any time prior to the EFFECTIVE DATE, from any and all claims or liability for acts of infringement or alleged infringement of any of MAGNACHIP LICENSED PATENTS under which a license is herein granted by MAGNACHIP and which, if performed after the EFFECTIVE DATE, would have been licensed pursuant to the terms of this AGREEMENT.</w:t>
      </w:r>
    </w:p>
    <w:p>
      <w:pPr>
        <w:spacing w:after="0" w:line="93" w:lineRule="exact"/>
        <w:rPr>
          <w:sz w:val="20"/>
          <w:szCs w:val="20"/>
          <w:color w:val="auto"/>
        </w:rPr>
      </w:pPr>
    </w:p>
    <w:p>
      <w:pPr>
        <w:ind w:left="424" w:right="20" w:hanging="431"/>
        <w:spacing w:after="0" w:line="272"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Upon INFINEON’S receipt in full of BALANCING PAYMENT NO. 1 and BALANCING PAYMENT NO. 2, INFINEON and its AFFILIATES hereby, automatically and without further action being required, release, acquit and forever discharge MAGNACHIP, its AFFILIATES, directors, officers, employees, successors, customers, THIRD PARTY MANUFACTURERS and end users in any country, for any time prior to the EFFECTIVE DATE, from any and all claims or liability for acts of infringement or alleged infringement of any of INFINEON LICENSED PATENTS under which a license is herein granted by INFINEON and which, if performed after the EFFECTIVE DATE, would have been licensed pursuant to the terms of this AGREEMENT. Prior to INFINEON’S receipt in full of BALANCING PAYMENT NO. 1 and BALANCING PAYMENT NO. 2, no release will be understood to have been granted by INFINEON.</w:t>
      </w:r>
    </w:p>
    <w:p>
      <w:pPr>
        <w:spacing w:after="0" w:line="83" w:lineRule="exact"/>
        <w:rPr>
          <w:sz w:val="20"/>
          <w:szCs w:val="20"/>
          <w:color w:val="auto"/>
        </w:rPr>
      </w:pPr>
    </w:p>
    <w:p>
      <w:pPr>
        <w:ind w:left="424" w:right="40" w:hanging="431"/>
        <w:spacing w:after="0" w:line="279" w:lineRule="auto"/>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Subject to Section 5.4 and until the release set forth in Section 3.2 becomes effective, INFINEON and its AFFILIATES hereby covenant not to file against MAGNACHIP, its AFFILIATES, directors, officers, employees, successors, customers, THIRD PARTY MANUFACTURERS and/or end users any suit for infringement of any INFINEON LICENSED PATENTS under which a license is herein granted by INFINEON and which, if performed after the EFFECTIVE DATE, would have been licensed pursuant to the terms of this AGREEMENT.</w:t>
      </w:r>
    </w:p>
    <w:p>
      <w:pPr>
        <w:spacing w:after="0" w:line="77" w:lineRule="exact"/>
        <w:rPr>
          <w:sz w:val="20"/>
          <w:szCs w:val="20"/>
          <w:color w:val="auto"/>
        </w:rPr>
      </w:pPr>
    </w:p>
    <w:p>
      <w:pPr>
        <w:ind w:left="424" w:right="200" w:hanging="431"/>
        <w:spacing w:after="0" w:line="311" w:lineRule="auto"/>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releases and non-assertion covenants contained herein shall not apply to any person other than the persons named in this Section 3 and shall not apply to the manufacture of any items by any person other than the PARTIES and their AFFILIATES and their respective THIRD PARTY MANUFACTURERS. The releases granted herein are effective immediately upon receipt of the payment due, if any, under Section 4.</w:t>
      </w:r>
    </w:p>
    <w:p>
      <w:pPr>
        <w:spacing w:after="0" w:line="293" w:lineRule="exact"/>
        <w:rPr>
          <w:sz w:val="20"/>
          <w:szCs w:val="20"/>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MAGNACHIP shall make the following payments to INFINEON in accordance with the following provisions: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Balancing Payments</w:t>
      </w:r>
    </w:p>
    <w:p>
      <w:pPr>
        <w:spacing w:after="0" w:line="117" w:lineRule="exact"/>
        <w:rPr>
          <w:sz w:val="20"/>
          <w:szCs w:val="20"/>
          <w:color w:val="auto"/>
        </w:rPr>
      </w:pPr>
    </w:p>
    <w:p>
      <w:pPr>
        <w:ind w:left="444" w:right="240"/>
        <w:spacing w:after="0" w:line="263" w:lineRule="auto"/>
        <w:rPr>
          <w:sz w:val="20"/>
          <w:szCs w:val="20"/>
          <w:color w:val="auto"/>
        </w:rPr>
      </w:pPr>
      <w:r>
        <w:rPr>
          <w:rFonts w:ascii="Arial" w:cs="Arial" w:eastAsia="Arial" w:hAnsi="Arial"/>
          <w:sz w:val="18"/>
          <w:szCs w:val="18"/>
          <w:color w:val="auto"/>
        </w:rPr>
        <w:t>In consideration for the license granted by each PARTY and its AFFILIATES pursuant to this AGREEMENT and the releases set forth in Section 3, MAGNACHIP shall pay to INFINEON in accordance with the agreed upon payment schedule as set forth in Annex 1 a sum of [***] (collectively, the “BALANCING PAYMENTS”).</w:t>
      </w:r>
    </w:p>
    <w:p>
      <w:pPr>
        <w:spacing w:after="0" w:line="116" w:lineRule="exact"/>
        <w:rPr>
          <w:sz w:val="20"/>
          <w:szCs w:val="20"/>
          <w:color w:val="auto"/>
        </w:rPr>
      </w:pPr>
    </w:p>
    <w:p>
      <w:pPr>
        <w:ind w:left="4"/>
        <w:spacing w:after="0"/>
        <w:tabs>
          <w:tab w:leader="none" w:pos="10084"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8 of 20</w:t>
      </w:r>
    </w:p>
    <w:p>
      <w:pPr>
        <w:sectPr>
          <w:pgSz w:w="11900" w:h="16838" w:orient="portrait"/>
          <w:cols w:equalWidth="0" w:num="1">
            <w:col w:w="11024"/>
          </w:cols>
          <w:pgMar w:left="436" w:top="274" w:right="439" w:bottom="1440" w:gutter="0" w:footer="0" w:header="0"/>
        </w:sectPr>
      </w:pPr>
    </w:p>
    <w:bookmarkStart w:id="150" w:name="page151"/>
    <w:bookmarkEnd w:id="150"/>
    <w:p>
      <w:pP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For each BALANCING PAYMENT installment as set forth in Annex 1, INFINEON will issue a corresponding invoice, and payments shall be made not later than (i) fifteen (15) calendar days following the receipt by MAGNACHIP of the respective invoice or (ii) the respective due date, whichever is later.</w:t>
      </w:r>
    </w:p>
    <w:p>
      <w:pPr>
        <w:spacing w:after="0" w:line="89" w:lineRule="exact"/>
        <w:rPr>
          <w:sz w:val="20"/>
          <w:szCs w:val="20"/>
          <w:color w:val="auto"/>
        </w:rPr>
      </w:pPr>
    </w:p>
    <w:p>
      <w:pPr>
        <w:ind w:left="420" w:right="40" w:hanging="431"/>
        <w:spacing w:after="0" w:line="259" w:lineRule="auto"/>
        <w:rPr>
          <w:sz w:val="20"/>
          <w:szCs w:val="20"/>
          <w:color w:val="auto"/>
        </w:rPr>
      </w:pPr>
      <w:r>
        <w:rPr>
          <w:rFonts w:ascii="Arial" w:cs="Arial" w:eastAsia="Arial" w:hAnsi="Arial"/>
          <w:sz w:val="18"/>
          <w:szCs w:val="18"/>
          <w:color w:val="auto"/>
        </w:rPr>
        <w:t xml:space="preserve">4.1.2 For the avoidance of doubt, no payment is to be made by INFINEON or its AFFILIATES to MAGNACHIP or its AFFILIATES with respect to the licenses and other rights granted by MAGNACHIP or its AFFILIATES to INFINEON and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have any effect on any obligation that may arise under this AGREEMENT whereby INFINEON is required to make an adjustment payment or a refund payment to MAGNACHIP, including pursuant to Section 6.2.</w:t>
      </w:r>
    </w:p>
    <w:p>
      <w:pPr>
        <w:spacing w:after="0" w:line="92" w:lineRule="exact"/>
        <w:rPr>
          <w:sz w:val="20"/>
          <w:szCs w:val="20"/>
          <w:color w:val="auto"/>
        </w:rPr>
      </w:pPr>
    </w:p>
    <w:p>
      <w:pPr>
        <w:jc w:val="both"/>
        <w:ind w:left="420" w:right="160" w:hanging="431"/>
        <w:spacing w:after="0" w:line="286" w:lineRule="auto"/>
        <w:tabs>
          <w:tab w:leader="none" w:pos="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MAGNACHIP shall be liable for interest on any overdue payment required to be made pursuant to this Section 4, commencing on the date such payment becomes due, at an annual rate of ten percent (10%). If such interest rate exceeds the maximum permissible legal rate in the jurisdiction where a claim therefor is being asserted, the interest rate shall be reduced to such maximum permissible legal rate.</w:t>
      </w:r>
    </w:p>
    <w:p>
      <w:pPr>
        <w:spacing w:after="0" w:line="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Payments shall be made in US Dollars by electronic funds transfer and shall be deemed to be made on the date credited to the following account of</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INFINEON:</w:t>
      </w:r>
    </w:p>
    <w:p>
      <w:pPr>
        <w:spacing w:after="0" w:line="238"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Account No.</w:t>
        <w:tab/>
        <w:t>[***]</w:t>
      </w:r>
    </w:p>
    <w:p>
      <w:pPr>
        <w:spacing w:after="0" w:line="9"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Swift Code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IBAN</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420" w:right="520" w:hanging="431"/>
        <w:spacing w:after="0" w:line="311" w:lineRule="auto"/>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With the exception of value added tax (hereinafter “VAT”) and similar taxes (if any), all taxes, customs duties and other charges imposed by governmental authorities on INFINEON with respect to any payments to be made by MAGNACHIP under or in connection with this AGREEMENT (hereinafter “TAXES”) shall be the responsibility of INFINEON. All fees and charges hereunder shall include all TAXES.</w:t>
      </w:r>
    </w:p>
    <w:p>
      <w:pPr>
        <w:spacing w:after="0" w:line="41" w:lineRule="exact"/>
        <w:rPr>
          <w:sz w:val="20"/>
          <w:szCs w:val="20"/>
          <w:color w:val="auto"/>
        </w:rPr>
      </w:pPr>
    </w:p>
    <w:p>
      <w:pPr>
        <w:ind w:left="440" w:right="40"/>
        <w:spacing w:after="0" w:line="296" w:lineRule="auto"/>
        <w:rPr>
          <w:sz w:val="20"/>
          <w:szCs w:val="20"/>
          <w:color w:val="auto"/>
        </w:rPr>
      </w:pPr>
      <w:r>
        <w:rPr>
          <w:rFonts w:ascii="Arial" w:cs="Arial" w:eastAsia="Arial" w:hAnsi="Arial"/>
          <w:sz w:val="16"/>
          <w:szCs w:val="16"/>
          <w:color w:val="auto"/>
        </w:rPr>
        <w:t>All fees and charges (amounts) specified in accordance with this AGREEMENT shall be net of any VAT, sales tax, goods and service tax, business taxes or similar taxes thereon. Insofar as the license grants agreed upon under this AGREEMENT are subject to VAT or similar taxes, such VAT / similar taxes shall – to the extent they are not owed to the competent tax authority by the respective Licensee under a reverse charge mechanism/for an intra-community acquisition (or any similar provision under the applicable tax laws) – be paid by the respective Licensee in addition to the agreed amounts. The respective Licensor is obliged to render proper invoices within the meaning of the applicable tax law.</w:t>
      </w:r>
    </w:p>
    <w:p>
      <w:pPr>
        <w:spacing w:after="0" w:line="53" w:lineRule="exact"/>
        <w:rPr>
          <w:sz w:val="20"/>
          <w:szCs w:val="20"/>
          <w:color w:val="auto"/>
        </w:rPr>
      </w:pPr>
    </w:p>
    <w:p>
      <w:pPr>
        <w:ind w:left="440" w:right="20"/>
        <w:spacing w:after="0" w:line="311" w:lineRule="auto"/>
        <w:rPr>
          <w:sz w:val="20"/>
          <w:szCs w:val="20"/>
          <w:color w:val="auto"/>
        </w:rPr>
      </w:pPr>
      <w:r>
        <w:rPr>
          <w:rFonts w:ascii="Arial" w:cs="Arial" w:eastAsia="Arial" w:hAnsi="Arial"/>
          <w:sz w:val="16"/>
          <w:szCs w:val="16"/>
          <w:color w:val="auto"/>
        </w:rPr>
        <w:t>Notwithstanding the foregoing, the PARTIES acknowledge that for VAT purposes INFINEON supplies its service to a place of business of MAGNACHIP outside of Germany (that is, cross-border supply of services) and does not have to charge German VAT, MAGNACHIP will inform INFINEON in writing if a permanent establishment is to be established in Germany to which INFINEON’s service is to be rendered. In the event</w:t>
      </w:r>
    </w:p>
    <w:p>
      <w:pPr>
        <w:spacing w:after="0" w:line="81"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9 of 20</w:t>
      </w:r>
    </w:p>
    <w:p>
      <w:pPr>
        <w:sectPr>
          <w:pgSz w:w="11900" w:h="16838" w:orient="portrait"/>
          <w:cols w:equalWidth="0" w:num="1">
            <w:col w:w="11020"/>
          </w:cols>
          <w:pgMar w:left="440" w:top="274" w:right="439" w:bottom="1440" w:gutter="0" w:footer="0" w:header="0"/>
        </w:sectPr>
      </w:pPr>
    </w:p>
    <w:bookmarkStart w:id="151" w:name="page152"/>
    <w:bookmarkEnd w:id="151"/>
    <w:p>
      <w:pPr>
        <w:ind w:left="10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58" w:lineRule="exact"/>
        <w:rPr>
          <w:sz w:val="20"/>
          <w:szCs w:val="20"/>
          <w:color w:val="auto"/>
        </w:rPr>
      </w:pPr>
    </w:p>
    <w:p>
      <w:pPr>
        <w:ind w:left="424" w:right="40"/>
        <w:spacing w:after="0" w:line="254" w:lineRule="auto"/>
        <w:rPr>
          <w:sz w:val="20"/>
          <w:szCs w:val="20"/>
          <w:color w:val="auto"/>
        </w:rPr>
      </w:pPr>
      <w:r>
        <w:rPr>
          <w:rFonts w:ascii="Arial" w:cs="Arial" w:eastAsia="Arial" w:hAnsi="Arial"/>
          <w:sz w:val="18"/>
          <w:szCs w:val="18"/>
          <w:color w:val="auto"/>
        </w:rPr>
        <w:t xml:space="preserve">that the PARTIES determine jointly that the place of supply (from INFINEON to MAGNACHIP) has changed to a German place of business and that INFINEON has to charge German VAT at statutory rates, then MAGNACHIP shall bear the cost of such German VAT,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INFINEON issues to MAGNACHIP on a timely basis an invoice that complies with the requirements of sec. 14, para. 4 of the German VAT Act (Umsatzsteuergesetz). The same applies in case the German tax authorities assess such German VAT on the grounds that MAGNACHIP has a permanent establishment in Germany. If MAGNACHIP fails to timely inform INFINEON about establishing a permanent establishment in Germany, MAGNACHIP holds INFINEON harmless of any damages, fines or penalties assessed against INFINEON as a result of MAGNACHIP having a permanent establishment in Germany.</w:t>
      </w:r>
    </w:p>
    <w:p>
      <w:pPr>
        <w:spacing w:after="0" w:line="87" w:lineRule="exact"/>
        <w:rPr>
          <w:sz w:val="20"/>
          <w:szCs w:val="20"/>
          <w:color w:val="auto"/>
        </w:rPr>
      </w:pPr>
    </w:p>
    <w:p>
      <w:pPr>
        <w:ind w:left="444" w:right="20"/>
        <w:spacing w:after="0" w:line="271" w:lineRule="auto"/>
        <w:rPr>
          <w:sz w:val="20"/>
          <w:szCs w:val="20"/>
          <w:color w:val="auto"/>
        </w:rPr>
      </w:pPr>
      <w:r>
        <w:rPr>
          <w:rFonts w:ascii="Arial" w:cs="Arial" w:eastAsia="Arial" w:hAnsi="Arial"/>
          <w:sz w:val="17"/>
          <w:szCs w:val="17"/>
          <w:color w:val="auto"/>
        </w:rPr>
        <w:t>All amounts due under this AGREEMENT shall be paid without deduction for income taxes. If withholdings of whatever nature are due on payments to be made by any LICENSEE or LICENSOR, then the PARTIES shall cooperate to achieve, if possible, a partial or complete exemption from the withholding obligation and to make the withholding at the lowest possible rate. Should a withholding obligation nevertheless exist, LICENSEE shall make the necessary gross-up payments to leave LICENSOR (after the deduction of the withholding tax) with an amount equal to the payment which would have been due had no withholding tax deduction been required. Gross-up payment for the tax to be withheld by LICENSEE shall not be made (i) if and to the extent LICENSOR may claim a credit in its own tax jurisdiction and (ii) if and to the extent LICENSOR may claim a refund of the tax withheld in the jurisdiction of the LICENSEE. In this event, LICENSEE shall promptly furnish receipts and other documents evidencing the payment of such withholding taxes.</w:t>
      </w:r>
    </w:p>
    <w:p>
      <w:pPr>
        <w:spacing w:after="0" w:line="70" w:lineRule="exact"/>
        <w:rPr>
          <w:sz w:val="20"/>
          <w:szCs w:val="20"/>
          <w:color w:val="auto"/>
        </w:rPr>
      </w:pPr>
    </w:p>
    <w:p>
      <w:pPr>
        <w:ind w:left="444" w:right="320"/>
        <w:spacing w:after="0" w:line="286" w:lineRule="auto"/>
        <w:rPr>
          <w:sz w:val="20"/>
          <w:szCs w:val="20"/>
          <w:color w:val="auto"/>
        </w:rPr>
      </w:pPr>
      <w:r>
        <w:rPr>
          <w:rFonts w:ascii="Arial" w:cs="Arial" w:eastAsia="Arial" w:hAnsi="Arial"/>
          <w:sz w:val="17"/>
          <w:szCs w:val="17"/>
          <w:color w:val="auto"/>
        </w:rPr>
        <w:t>Each PARTY shall be responsible for any and all taxes payable to any local, autonomous, state and/or national governments on its LICENSED PRODUCTS manufactured, imported, exported, distributed, marketed, promoted, advertised and/or sold, and the PARTIES shall reasonably cooperate with each other in obtaining exemption from withholding taxes where available under applicable law.</w:t>
      </w:r>
    </w:p>
    <w:p>
      <w:pPr>
        <w:spacing w:after="0" w:line="310"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135"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5.1</w:t>
        <w:tab/>
        <w:t xml:space="preserve">This AGREEMENT shall become effective as of the EFFECTIVE DATE and shall continue in effect until December 31, 2021 (the “TERM”). Unless this AGREEMENT is terminated before the end of TERM pursuant to Section 5.2, 5.3 or 5.4, at the request of a PARTY the PARTIES shall in good faith, commence discussing a renewal at </w:t>
      </w:r>
      <w:r>
        <w:rPr>
          <w:rFonts w:ascii="Arial" w:cs="Arial" w:eastAsia="Arial" w:hAnsi="Arial"/>
          <w:sz w:val="18"/>
          <w:szCs w:val="18"/>
          <w:u w:val="single" w:color="auto"/>
          <w:color w:val="auto"/>
        </w:rPr>
        <w:t>least two (2) months</w:t>
      </w:r>
      <w:r>
        <w:rPr>
          <w:rFonts w:ascii="Arial" w:cs="Arial" w:eastAsia="Arial" w:hAnsi="Arial"/>
          <w:sz w:val="18"/>
          <w:szCs w:val="18"/>
          <w:color w:val="auto"/>
        </w:rPr>
        <w:t xml:space="preserve"> prior to the end of TERM, including the consideration for renewal and the adjustment of the scope of LICENSED PRODUCTS under this AGREEMENT.</w:t>
      </w:r>
    </w:p>
    <w:p>
      <w:pPr>
        <w:spacing w:after="0" w:line="92" w:lineRule="exact"/>
        <w:rPr>
          <w:sz w:val="20"/>
          <w:szCs w:val="20"/>
          <w:color w:val="auto"/>
        </w:rPr>
      </w:pPr>
    </w:p>
    <w:p>
      <w:pPr>
        <w:ind w:left="424" w:right="120" w:hanging="431"/>
        <w:spacing w:after="0" w:line="279" w:lineRule="auto"/>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If, during the TERM, a PARTY or any of its AFFILIATES files any suit for infringement of any LICENSED PATENTS against the other PARTY or any of its AFFILIATES with regard to any product which is not a LICENSED PRODUCT (such PARTY hereinafter referred to as “ASSERTING PARTY”), the other PARTY shall have the right to terminate the ASSERTING PARTY’s and its AFFILIATES’ rights and licenses granted pursuant to this AGREEMENT with immediate effect. Should the other PARTY exercise this right: (i)</w:t>
      </w:r>
    </w:p>
    <w:p>
      <w:pPr>
        <w:spacing w:after="0" w:line="104" w:lineRule="exact"/>
        <w:rPr>
          <w:sz w:val="20"/>
          <w:szCs w:val="20"/>
          <w:color w:val="auto"/>
        </w:rPr>
      </w:pPr>
    </w:p>
    <w:p>
      <w:pPr>
        <w:ind w:left="4"/>
        <w:spacing w:after="0"/>
        <w:tabs>
          <w:tab w:leader="none" w:pos="10004"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10 of 20</w:t>
      </w:r>
    </w:p>
    <w:p>
      <w:pPr>
        <w:sectPr>
          <w:pgSz w:w="11900" w:h="16838" w:orient="portrait"/>
          <w:cols w:equalWidth="0" w:num="1">
            <w:col w:w="11024"/>
          </w:cols>
          <w:pgMar w:left="436" w:top="274" w:right="439" w:bottom="1440" w:gutter="0" w:footer="0" w:header="0"/>
        </w:sectPr>
      </w:pPr>
    </w:p>
    <w:bookmarkStart w:id="152" w:name="page153"/>
    <w:bookmarkEnd w:id="152"/>
    <w:p>
      <w:pP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ind w:left="420" w:right="160"/>
        <w:spacing w:after="0" w:line="259" w:lineRule="auto"/>
        <w:rPr>
          <w:sz w:val="20"/>
          <w:szCs w:val="20"/>
          <w:color w:val="auto"/>
        </w:rPr>
      </w:pPr>
      <w:r>
        <w:rPr>
          <w:rFonts w:ascii="Arial" w:cs="Arial" w:eastAsia="Arial" w:hAnsi="Arial"/>
          <w:sz w:val="18"/>
          <w:szCs w:val="18"/>
          <w:color w:val="auto"/>
        </w:rPr>
        <w:t>the other PARTY’s obligations (including without limitation any payment obligations) set forth in this AGREEMENT shall likewise terminate with immediate effect; and (ii) the licenses granted to the other PARTY under this AGREEMENT shall survive for the TERM, and the ASSERTING PARTY’s obligations (including without limitation any payment obligations) set forth in this AGREEMENT shall likewise survive for the TERM. The terms and conditions of this AGREEMENT shall be otherwise unaffected.</w:t>
      </w:r>
    </w:p>
    <w:p>
      <w:pPr>
        <w:spacing w:after="0" w:line="79"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If MAGNACHIP is the ASSERTING PARTY and INFINEON terminates MAGNACHIP’s and its AFFILIATES’ rights and licenses granted pursuant to this AGREEMENT, all BALANCING PAYMENTS as set forth in Annex 1 shall automatically become due and payable in full on the effective date of such termination.</w:t>
      </w:r>
    </w:p>
    <w:p>
      <w:pPr>
        <w:spacing w:after="0" w:line="76" w:lineRule="exact"/>
        <w:rPr>
          <w:sz w:val="20"/>
          <w:szCs w:val="20"/>
          <w:color w:val="auto"/>
        </w:rPr>
      </w:pPr>
    </w:p>
    <w:p>
      <w:pPr>
        <w:ind w:left="440" w:right="320"/>
        <w:spacing w:after="0" w:line="263" w:lineRule="auto"/>
        <w:rPr>
          <w:sz w:val="20"/>
          <w:szCs w:val="20"/>
          <w:color w:val="auto"/>
        </w:rPr>
      </w:pPr>
      <w:r>
        <w:rPr>
          <w:rFonts w:ascii="Arial" w:cs="Arial" w:eastAsia="Arial" w:hAnsi="Arial"/>
          <w:sz w:val="18"/>
          <w:szCs w:val="18"/>
          <w:color w:val="auto"/>
        </w:rPr>
        <w:t>In the event of a PARTY being acquired by a THIRD PARTY pursuant to Section 6.2, the other PARTY shall have the right to terminate this Section 5.2 with immediate effect by giving written notice to the ACQUIRED PARTY within ninety (90) calendar days from receiving written notice of such acquisition.</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Either PARTY may terminate this AGREEMENT with immediate effect by giving written notice to the other PARTY if such other PARTY:</w:t>
      </w:r>
    </w:p>
    <w:p>
      <w:pPr>
        <w:spacing w:after="0" w:line="23" w:lineRule="exact"/>
        <w:rPr>
          <w:sz w:val="20"/>
          <w:szCs w:val="20"/>
          <w:color w:val="auto"/>
        </w:rPr>
      </w:pPr>
    </w:p>
    <w:p>
      <w:pPr>
        <w:ind w:left="420" w:right="20" w:firstLine="8"/>
        <w:spacing w:after="0" w:line="253" w:lineRule="auto"/>
        <w:tabs>
          <w:tab w:leader="none" w:pos="6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becomes insolvent or makes an assignment for the benefit of creditors, or attempts to effect a composition with creditors; (b) suspends normal business operations; or (c) files a petition for bankruptcy, insolvency or reorganization, or for the appointment of a receiver, trustee or custodian for any creditor or its property (or any substantial portion thereof), or any similar petition or commencement of any similar action under applicable law, or has such a petition filed or proceeding commenced against it and such a petition filed or proceeding commenced against it is not dismissed within sixty (60) calendar days.</w:t>
      </w:r>
    </w:p>
    <w:p>
      <w:pPr>
        <w:spacing w:after="0" w:line="96" w:lineRule="exact"/>
        <w:rPr>
          <w:sz w:val="20"/>
          <w:szCs w:val="20"/>
          <w:color w:val="auto"/>
        </w:rPr>
      </w:pPr>
    </w:p>
    <w:p>
      <w:pPr>
        <w:ind w:left="420" w:right="80" w:hanging="431"/>
        <w:spacing w:after="0" w:line="254" w:lineRule="auto"/>
        <w:tabs>
          <w:tab w:leader="none" w:pos="400" w:val="left"/>
        </w:tabs>
        <w:rPr>
          <w:sz w:val="20"/>
          <w:szCs w:val="20"/>
          <w:color w:val="auto"/>
        </w:rPr>
      </w:pPr>
      <w:r>
        <w:rPr>
          <w:rFonts w:ascii="Arial" w:cs="Arial" w:eastAsia="Arial" w:hAnsi="Arial"/>
          <w:sz w:val="18"/>
          <w:szCs w:val="18"/>
          <w:color w:val="auto"/>
        </w:rPr>
        <w:t>5.4</w:t>
        <w:tab/>
        <w:t xml:space="preserve">If any BALANCING PAYMENT is not made in full on or prior to the applicable due date, then INFINEON may terminate this AGREEMENT by providing written notice to MAGNACHIP;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written notice shall include sufficient details to inform MAGNACHIP as to the reason for the termination notice, including the amount due;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MAGNACHIP shall have thirty (30) calendar days from receipt of such notice to cure its non-payment. If MAGNACHIP fails to make the required payment within such 30-day period, then INFINEON’s termination notice shall become effective immediately upon expiration of such 30-day period. In the event of termination by INFINEON pursuant to this Section 5.4, the licenses and rights granted hereunder to INFINEON shall remain unaffected for the duration of the TERM.</w:t>
      </w:r>
    </w:p>
    <w:p>
      <w:pPr>
        <w:spacing w:after="0" w:line="100" w:lineRule="exact"/>
        <w:rPr>
          <w:sz w:val="20"/>
          <w:szCs w:val="20"/>
          <w:color w:val="auto"/>
        </w:rPr>
      </w:pPr>
    </w:p>
    <w:p>
      <w:pPr>
        <w:ind w:left="420" w:right="40" w:hanging="431"/>
        <w:spacing w:after="0" w:line="263" w:lineRule="auto"/>
        <w:tabs>
          <w:tab w:leader="none" w:pos="400" w:val="left"/>
        </w:tabs>
        <w:rPr>
          <w:sz w:val="20"/>
          <w:szCs w:val="20"/>
          <w:color w:val="auto"/>
        </w:rPr>
      </w:pPr>
      <w:r>
        <w:rPr>
          <w:rFonts w:ascii="Arial" w:cs="Arial" w:eastAsia="Arial" w:hAnsi="Arial"/>
          <w:sz w:val="18"/>
          <w:szCs w:val="18"/>
          <w:color w:val="auto"/>
        </w:rPr>
        <w:t>5.5</w:t>
        <w:tab/>
        <w:t>If INFINEON terminates this AGREEMENT pursuant to Section 5.3 or 5.4, BALANCING PAYMENT NO. 1, and BALANCING PAYMENT NO. 2, to the extent not already paid, and any other BALANCING PAYMENT that is due but unpaid, shall automatically become due and payable in full on the effective date of such termination.</w:t>
      </w:r>
    </w:p>
    <w:p>
      <w:pPr>
        <w:spacing w:after="0" w:line="89" w:lineRule="exact"/>
        <w:rPr>
          <w:sz w:val="20"/>
          <w:szCs w:val="20"/>
          <w:color w:val="auto"/>
        </w:rPr>
      </w:pPr>
    </w:p>
    <w:p>
      <w:pPr>
        <w:ind w:left="420" w:right="60" w:hanging="431"/>
        <w:spacing w:after="0" w:line="308" w:lineRule="auto"/>
        <w:tabs>
          <w:tab w:leader="none" w:pos="4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The releases given to each PARTY pursuant to Section 3 of this AGREEMENT shall, once granted, be irrevocable and shall not be affected by the expiration or termination of this AGREEMENT. Sections 1, 3 and 7 shall survive the expiration or termination of this AGREEMENT.</w:t>
      </w:r>
    </w:p>
    <w:p>
      <w:pPr>
        <w:spacing w:after="0" w:line="79"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11 of 20</w:t>
      </w:r>
    </w:p>
    <w:p>
      <w:pPr>
        <w:sectPr>
          <w:pgSz w:w="11900" w:h="16838" w:orient="portrait"/>
          <w:cols w:equalWidth="0" w:num="1">
            <w:col w:w="11020"/>
          </w:cols>
          <w:pgMar w:left="440" w:top="274"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4" w:lineRule="exact"/>
        <w:rPr>
          <w:sz w:val="20"/>
          <w:szCs w:val="20"/>
          <w:color w:val="auto"/>
        </w:rPr>
      </w:pPr>
    </w:p>
    <w:p>
      <w:pPr>
        <w:ind w:left="424" w:hanging="424"/>
        <w:spacing w:after="0"/>
        <w:tabs>
          <w:tab w:leader="none" w:pos="42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Transfer; Spin-off</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 PARTY acquiring a THIRD PARTY</w:t>
      </w:r>
    </w:p>
    <w:p>
      <w:pPr>
        <w:spacing w:after="0" w:line="117" w:lineRule="exact"/>
        <w:rPr>
          <w:sz w:val="20"/>
          <w:szCs w:val="20"/>
          <w:color w:val="auto"/>
        </w:rPr>
      </w:pPr>
    </w:p>
    <w:p>
      <w:pPr>
        <w:ind w:left="444" w:right="60"/>
        <w:spacing w:after="0" w:line="277" w:lineRule="auto"/>
        <w:rPr>
          <w:sz w:val="20"/>
          <w:szCs w:val="20"/>
          <w:color w:val="auto"/>
        </w:rPr>
      </w:pPr>
      <w:r>
        <w:rPr>
          <w:rFonts w:ascii="Arial" w:cs="Arial" w:eastAsia="Arial" w:hAnsi="Arial"/>
          <w:sz w:val="18"/>
          <w:szCs w:val="18"/>
          <w:color w:val="auto"/>
        </w:rPr>
        <w:t>If, after the EFFECTIVE DATE, a PARTY or any of its AFFILIATES (“ACQUIRING PARTY”) either acquires an entity or acquires substantially all of the assets from an entity (“ACQUIRED ENTITY”), the following shall apply:</w:t>
      </w:r>
    </w:p>
    <w:p>
      <w:pPr>
        <w:spacing w:after="0" w:line="76" w:lineRule="exact"/>
        <w:rPr>
          <w:sz w:val="20"/>
          <w:szCs w:val="20"/>
          <w:color w:val="auto"/>
        </w:rPr>
      </w:pPr>
    </w:p>
    <w:p>
      <w:pPr>
        <w:ind w:left="964" w:right="180" w:hanging="532"/>
        <w:spacing w:after="0" w:line="263" w:lineRule="auto"/>
        <w:tabs>
          <w:tab w:leader="none" w:pos="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license, release and other rights granted herein to the ACQUIRING PARTY with respect to the LICENSED PATENTS shall apply to products of the ACQUIRED ENTITY, to the extent that such products of the ACQUIRED ENTITY would be considered LICENSED PRODUCTS under this AGREEMENT if they were products of the ACQUIRING PARTY.</w:t>
      </w:r>
    </w:p>
    <w:p>
      <w:pPr>
        <w:spacing w:after="0" w:line="89" w:lineRule="exact"/>
        <w:rPr>
          <w:rFonts w:ascii="Arial" w:cs="Arial" w:eastAsia="Arial" w:hAnsi="Arial"/>
          <w:sz w:val="18"/>
          <w:szCs w:val="18"/>
          <w:color w:val="auto"/>
        </w:rPr>
      </w:pPr>
    </w:p>
    <w:p>
      <w:pPr>
        <w:ind w:left="964" w:right="20" w:hanging="532"/>
        <w:spacing w:after="0" w:line="270" w:lineRule="auto"/>
        <w:tabs>
          <w:tab w:leader="none" w:pos="96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the event that, at the date of the acquisition, the ACQUIRED ENTITY is licensed by the other PARTY to this AGREEMENT through an existing license agreement covering the same LICENSED PRODUCTS and LICENSED PATENTS, or parts thereof, as licensed under this AGREEMENT (“PRIOR LICENSE AGREEMENT”), pursuant to which payments are to be made by the ACQUIRED ENTITY to the other PARTY, the following shall apply: In order to avoid double payment for the same license, the BALANCING PAYMENTS to be made under this AGREEMENT shall prevail over payments or royalties to be made under the PRIOR LICENSE AGREEMENT to the extent both agreements cover the same LICENSED PATENTS and LICENSED PRODUCTS. To the extent the PRIOR LICENSE AGREEMENT covers LICENSED PATENTS or LICENSED PRODUCTS not subject to this AGREEMENT, the royalties or other payments due for that scope of the PRIOR LICENSE AGREEMENT shall continue to be made by the ACQUIRING PARTY or ACQUIRED ENTITY to the other PARTY pursuant to the payment terms of the PRIOR LICENSE AGREEMENT.</w:t>
      </w:r>
    </w:p>
    <w:p>
      <w:pPr>
        <w:spacing w:after="0" w:line="86" w:lineRule="exact"/>
        <w:rPr>
          <w:rFonts w:ascii="Arial" w:cs="Arial" w:eastAsia="Arial" w:hAnsi="Arial"/>
          <w:sz w:val="17"/>
          <w:szCs w:val="17"/>
          <w:color w:val="auto"/>
        </w:rPr>
      </w:pPr>
    </w:p>
    <w:p>
      <w:pPr>
        <w:ind w:left="964" w:right="40" w:hanging="532"/>
        <w:spacing w:after="0" w:line="259" w:lineRule="auto"/>
        <w:tabs>
          <w:tab w:leader="none" w:pos="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other PARTY to this AGREEMENT shall have the right to terminate the application of the license in Section 6.1(a) to products of the ACQUIRED ENTITY based on a pending patent infringement suit or alleged patent infringement pursuant to a notice letter involving the ACQUIRED ENTITY or any of its SUBSIDIARIES and the other PARTY to this AGREEMENT or any of its SUBSIDIARIES whether or not related to any of the LICENSED PATENTS or LICENSED PRODUCTS.</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 PARTY being acquired by a THIRD PARTY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one PARTY (the “ACQUIRED PARTY”) is acquired by a THIRD PARTY (“ACQUIRING ENTITY”):</w:t>
      </w:r>
    </w:p>
    <w:p>
      <w:pPr>
        <w:spacing w:after="0" w:line="131" w:lineRule="exact"/>
        <w:rPr>
          <w:sz w:val="20"/>
          <w:szCs w:val="20"/>
          <w:color w:val="auto"/>
        </w:rPr>
      </w:pPr>
    </w:p>
    <w:p>
      <w:pPr>
        <w:ind w:left="964" w:hanging="532"/>
        <w:spacing w:after="0"/>
        <w:tabs>
          <w:tab w:leader="none" w:pos="9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ACQUIRED PARTY shall promptly give notice of such acquisition to the other PARTY; and</w:t>
      </w:r>
    </w:p>
    <w:p>
      <w:pPr>
        <w:spacing w:after="0" w:line="158" w:lineRule="exact"/>
        <w:rPr>
          <w:sz w:val="20"/>
          <w:szCs w:val="20"/>
          <w:color w:val="auto"/>
        </w:rPr>
      </w:pPr>
    </w:p>
    <w:p>
      <w:pPr>
        <w:ind w:left="4"/>
        <w:spacing w:after="0"/>
        <w:tabs>
          <w:tab w:leader="none" w:pos="10004"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12 of 20</w:t>
      </w:r>
    </w:p>
    <w:p>
      <w:pPr>
        <w:sectPr>
          <w:pgSz w:w="11900" w:h="16838" w:orient="portrait"/>
          <w:cols w:equalWidth="0" w:num="1">
            <w:col w:w="11024"/>
          </w:cols>
          <w:pgMar w:left="436" w:top="274"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jc w:val="both"/>
        <w:ind w:left="960" w:right="60" w:hanging="532"/>
        <w:spacing w:after="0" w:line="275" w:lineRule="auto"/>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license granted to the ACQUIRED PARTY and all sublicenses (if any) granted to the ACQUIRED PARTY’S remaining AFFILIATES shall automatically become limited to apply to those LICENSED PRODUCTS, including error corrections and minor adaptations pursuant to customer requirements which are created by the ACQUIRED PARTY in the normal course of business, that have been marketed by said ACQUIRED PARTY (or, in the case of an AFFILIATE, by such AFFILIATE) within the licenses granted in this AGREEMENT (or within the sublicense in the case of an AFFILIATE) prior to such acquisition; and</w:t>
      </w:r>
    </w:p>
    <w:p>
      <w:pPr>
        <w:spacing w:after="0" w:line="81" w:lineRule="exact"/>
        <w:rPr>
          <w:rFonts w:ascii="Arial" w:cs="Arial" w:eastAsia="Arial" w:hAnsi="Arial"/>
          <w:sz w:val="17"/>
          <w:szCs w:val="17"/>
          <w:color w:val="auto"/>
        </w:rPr>
      </w:pPr>
    </w:p>
    <w:p>
      <w:pPr>
        <w:ind w:left="960" w:right="160" w:hanging="532"/>
        <w:spacing w:after="0" w:line="273" w:lineRule="auto"/>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following such acquisition, the license granted to the ACQUIRED PARTY shall be limited in the twelve (12) months immediately following such acquisition to a volume of LICENSED PRODUCTS having an aggregate net selling price equal to no more than the aggregate net selling price of such LICENSED PRODUCTS in the twelve (12) months preceding such acquisition plus ten percent (10%) and shall be limited, in each of the successive twelve-month periods following such acquisition, to a volume of LICENSED PRODUCTS having an aggregate net selling price equal to no more than the aggregate net selling price of such LICENSED PRODUCTS for the immediately preceding twelve-month period plus ten percent (10%).</w:t>
      </w:r>
    </w:p>
    <w:p>
      <w:pPr>
        <w:spacing w:after="0" w:line="70"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In the event the ACQUIRING ENTITY is a COMPETITOR or a supplier to a COMPETITOR of the other PARTY or any of its AFFILIATES at the time of the acquisition, then such other PARTY shall have the right to terminate this AGREEMENT with immediate effect by giving written notice to the ACQUIRED PARTY within ninety (90) calendar days from receiving written notice of the acquisition. In the event of a disagreement between the ACQUIRED ENTITY and such other PARTY regarding whether the ACQUIRING ENTITY is a COMPETITOR or a supplier to a COMPETITOR, the ACQUIRED PARTY shall have the burden of proof of establishing that the ACQUIRING ENTITY is neither a COMPETITOR nor a supplier to a COMPETITOR of such other PARTY.</w:t>
      </w:r>
    </w:p>
    <w:p>
      <w:pPr>
        <w:spacing w:after="0" w:line="84"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If INFINEON terminates this AGREEMENT pursuant to the foregoing sentence, then BALANCING PAYMENT NO. 1, and BALANCING PAYMENT NO. 2, to the extent not already paid, and any other BALANCING PAYMENT that is due but unpaid, shall immediately become due and payable in full.</w:t>
      </w:r>
    </w:p>
    <w:p>
      <w:pPr>
        <w:spacing w:after="0" w:line="76" w:lineRule="exact"/>
        <w:rPr>
          <w:sz w:val="20"/>
          <w:szCs w:val="20"/>
          <w:color w:val="auto"/>
        </w:rPr>
      </w:pPr>
    </w:p>
    <w:p>
      <w:pPr>
        <w:ind w:left="440" w:right="80"/>
        <w:spacing w:after="0" w:line="254" w:lineRule="auto"/>
        <w:rPr>
          <w:sz w:val="20"/>
          <w:szCs w:val="20"/>
          <w:color w:val="auto"/>
        </w:rPr>
      </w:pPr>
      <w:r>
        <w:rPr>
          <w:rFonts w:ascii="Arial" w:cs="Arial" w:eastAsia="Arial" w:hAnsi="Arial"/>
          <w:sz w:val="18"/>
          <w:szCs w:val="18"/>
          <w:color w:val="auto"/>
        </w:rPr>
        <w:t>Notwithstanding the foregoing, except for BALANCING PAYMENT NO. 1, and BALANCING PAYMENT NO. 2, if INFINEON terminates this AGREEMENT pursuant to this Section 6.2, then any BALANCING PAYMENT, which had already been paid for the year during which such termination occurs, shall be subject to a pro rata refund. The amount of such refund shall be calculated by multiplying the amount of the applicable BALANCING PAYMENT by a fraction whose numerator is the number of calendar days remaining in the calendar year and whose denominator is 365. INFINEON shall pay such refund within thirty (30) calendar days after receipt of a proper invoice issued upon termination of this AGREEMENT pursuant to this Section 6.2. As an example, if this AGREEMENT is terminated after BALANCING PAYMENT NO. 4 is made and there are two hundred (200) calendar days remaining in the calendar year 2019, then INFINEON shall pay a refund of [***] to MAGNACHIP.</w:t>
      </w:r>
    </w:p>
    <w:p>
      <w:pPr>
        <w:spacing w:after="0" w:line="124"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13 of 20</w:t>
      </w:r>
    </w:p>
    <w:p>
      <w:pPr>
        <w:sectPr>
          <w:pgSz w:w="11900" w:h="16838" w:orient="portrait"/>
          <w:cols w:equalWidth="0" w:num="1">
            <w:col w:w="11020"/>
          </w:cols>
          <w:pgMar w:left="440" w:top="274" w:right="439" w:bottom="1440" w:gutter="0" w:footer="0" w:header="0"/>
        </w:sectPr>
      </w:pPr>
    </w:p>
    <w:bookmarkStart w:id="155" w:name="page156"/>
    <w:bookmarkEnd w:id="155"/>
    <w:p>
      <w:pP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ind w:left="440" w:right="20"/>
        <w:spacing w:after="0" w:line="286" w:lineRule="auto"/>
        <w:rPr>
          <w:sz w:val="20"/>
          <w:szCs w:val="20"/>
          <w:color w:val="auto"/>
        </w:rPr>
      </w:pPr>
      <w:r>
        <w:rPr>
          <w:rFonts w:ascii="Arial" w:cs="Arial" w:eastAsia="Arial" w:hAnsi="Arial"/>
          <w:sz w:val="17"/>
          <w:szCs w:val="17"/>
          <w:color w:val="auto"/>
        </w:rPr>
        <w:t>In the event of a PRIOR LICENSE AGREEMENT between the ACQUIRING ENTITY and the other PARTY, pursuant to which royalties or other payments are to be made by the ACQUIRING ENTITY to the other PARTY, such royalties or other payments shall continue to be made by the ACQUIRING ENTITY to the other PARTY pursuant to the payment terms of the PRIOR LICENSE AGREEMENT.</w:t>
      </w:r>
    </w:p>
    <w:p>
      <w:pPr>
        <w:spacing w:after="0" w:line="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subsequent to the EFFECTIVE DATE, a PARTY (the “TRANSFERRING PARTY”) either:</w:t>
      </w:r>
    </w:p>
    <w:p>
      <w:pPr>
        <w:spacing w:after="0" w:line="131" w:lineRule="exact"/>
        <w:rPr>
          <w:sz w:val="20"/>
          <w:szCs w:val="20"/>
          <w:color w:val="auto"/>
        </w:rPr>
      </w:pPr>
    </w:p>
    <w:p>
      <w:pPr>
        <w:ind w:left="960" w:right="60" w:hanging="532"/>
        <w:spacing w:after="0" w:line="277"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transfers a business unit producing LICENSED PRODUCTS or a product line with LICENSED PRODUCTS to a THIRD PARTY without transferring the SUBSIDIARY to said THIRD PARTY; or</w:t>
      </w:r>
    </w:p>
    <w:p>
      <w:pPr>
        <w:spacing w:after="0" w:line="75" w:lineRule="exact"/>
        <w:rPr>
          <w:rFonts w:ascii="Arial" w:cs="Arial" w:eastAsia="Arial" w:hAnsi="Arial"/>
          <w:sz w:val="18"/>
          <w:szCs w:val="18"/>
          <w:color w:val="auto"/>
        </w:rPr>
      </w:pPr>
    </w:p>
    <w:p>
      <w:pPr>
        <w:ind w:left="960" w:right="160" w:hanging="532"/>
        <w:spacing w:after="0" w:line="291" w:lineRule="auto"/>
        <w:tabs>
          <w:tab w:leader="none" w:pos="9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spins off a SUBSIDIARY producing LICENSED PRODUCTS (either by disposing of it to a THIRD PARTY or in any other manner reducing ownership or control so that the spun-off entity is no longer a SUBSIDIARY of the TRANSFERRING PARTY) (in each case of</w:t>
      </w:r>
    </w:p>
    <w:p>
      <w:pPr>
        <w:ind w:left="960" w:right="720"/>
        <w:spacing w:after="0" w:line="260" w:lineRule="auto"/>
        <w:rPr>
          <w:rFonts w:ascii="Arial" w:cs="Arial" w:eastAsia="Arial" w:hAnsi="Arial"/>
          <w:sz w:val="16"/>
          <w:szCs w:val="16"/>
          <w:color w:val="auto"/>
        </w:rPr>
      </w:pPr>
      <w:r>
        <w:rPr>
          <w:rFonts w:ascii="Arial" w:cs="Arial" w:eastAsia="Arial" w:hAnsi="Arial"/>
          <w:sz w:val="18"/>
          <w:szCs w:val="18"/>
          <w:color w:val="auto"/>
        </w:rPr>
        <w:t>(i) and (ii) above, the THIRD PARTY transferee or spun-off ex-SUBSIDIARY hereinafter referred to as “RECIPIENT”), then the following shall apply:</w:t>
      </w:r>
    </w:p>
    <w:p>
      <w:pPr>
        <w:spacing w:after="0" w:line="77" w:lineRule="exact"/>
        <w:rPr>
          <w:sz w:val="20"/>
          <w:szCs w:val="20"/>
          <w:color w:val="auto"/>
        </w:rPr>
      </w:pPr>
    </w:p>
    <w:p>
      <w:pPr>
        <w:jc w:val="both"/>
        <w:ind w:left="440" w:right="160"/>
        <w:spacing w:after="0" w:line="259" w:lineRule="auto"/>
        <w:rPr>
          <w:sz w:val="20"/>
          <w:szCs w:val="20"/>
          <w:color w:val="auto"/>
        </w:rPr>
      </w:pPr>
      <w:r>
        <w:rPr>
          <w:rFonts w:ascii="Arial" w:cs="Arial" w:eastAsia="Arial" w:hAnsi="Arial"/>
          <w:sz w:val="18"/>
          <w:szCs w:val="18"/>
          <w:color w:val="auto"/>
        </w:rPr>
        <w:t xml:space="preserve">After written request made jointly by the TRANSFERRING PARTY and the RECIPIENT to the other PARTY hereto, which is made within one hundred and twenty (120) calendar days following the effective date of such transfer or spin off (the “TRANSFER NOTICE”), the other PARTY hereto shall grant a license at no further cost (otherwise under the same terms as the license granted to the TRANSFERRING PARTY herein) to the RECIPIENT under its LICENSED PATENTS,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92" w:lineRule="exact"/>
        <w:rPr>
          <w:sz w:val="20"/>
          <w:szCs w:val="20"/>
          <w:color w:val="auto"/>
        </w:rPr>
      </w:pPr>
    </w:p>
    <w:p>
      <w:pPr>
        <w:ind w:left="960" w:right="180" w:hanging="532"/>
        <w:spacing w:after="0" w:line="286" w:lineRule="auto"/>
        <w:tabs>
          <w:tab w:leader="none" w:pos="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license shall be as broad as the scope of the license granted herein to the TRANSFERRING PARTY, but no broader than necessary to cover the particular LICENSED PRODUCTS, assets and/or business being transferred or spun off, of the ex-SUBSIDIARY, including derivatives thereof and extensions thereto created pursuant to the normal course of business; and</w:t>
      </w:r>
    </w:p>
    <w:p>
      <w:pPr>
        <w:spacing w:after="0" w:line="70"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RECIPIENT shall grant to such other PARTY a royalty-free license (under the same terms as the license granted to such other PARTY herein) under all RECIPIENT LICENSED PATENTS for all LICENSED PRODUCTS of such other PARTY;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Section 6.3, Section 3, Section 4 and Section 5.2 shall be omitted from the license granted to the RECIPIENT; and</w:t>
      </w:r>
    </w:p>
    <w:p>
      <w:pPr>
        <w:spacing w:after="0" w:line="130"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license granted to the RECIPIENT and granted by the RECIPIENT to the other PARTY shall terminate if the license granted to the TRANSFERRING PARTY terminates or is terminated for any reason.</w:t>
      </w:r>
    </w:p>
    <w:p>
      <w:pPr>
        <w:spacing w:after="0" w:line="103"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14 of 20</w:t>
      </w:r>
    </w:p>
    <w:p>
      <w:pPr>
        <w:sectPr>
          <w:pgSz w:w="11900" w:h="16838" w:orient="portrait"/>
          <w:cols w:equalWidth="0" w:num="1">
            <w:col w:w="11020"/>
          </w:cols>
          <w:pgMar w:left="440" w:top="274" w:right="439" w:bottom="1440" w:gutter="0" w:footer="0" w:header="0"/>
        </w:sectPr>
      </w:pPr>
    </w:p>
    <w:bookmarkStart w:id="156" w:name="page157"/>
    <w:bookmarkEnd w:id="156"/>
    <w:p>
      <w:pPr>
        <w:ind w:left="10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color w:val="auto"/>
        </w:rPr>
        <w:t>Any payments under this AGREEMENT shall continue to be made by the TRANSFERRING PARTY to the other PARTY, unless upon written request made jointly by the TRANSFERRING PARTY and the RECIPIENT, the other PARTY agrees in writing to receive a certain portion of any payments due hereunder directly from the RECIPIENT.</w:t>
      </w:r>
    </w:p>
    <w:p>
      <w:pPr>
        <w:spacing w:after="0" w:line="76" w:lineRule="exact"/>
        <w:rPr>
          <w:sz w:val="20"/>
          <w:szCs w:val="20"/>
          <w:color w:val="auto"/>
        </w:rPr>
      </w:pPr>
    </w:p>
    <w:p>
      <w:pPr>
        <w:ind w:left="444" w:right="20"/>
        <w:spacing w:after="0" w:line="270" w:lineRule="auto"/>
        <w:rPr>
          <w:sz w:val="20"/>
          <w:szCs w:val="20"/>
          <w:color w:val="auto"/>
        </w:rPr>
      </w:pPr>
      <w:r>
        <w:rPr>
          <w:rFonts w:ascii="Arial" w:cs="Arial" w:eastAsia="Arial" w:hAnsi="Arial"/>
          <w:sz w:val="17"/>
          <w:szCs w:val="17"/>
          <w:color w:val="auto"/>
        </w:rPr>
        <w:t>Notwithstanding the foregoing, if the RECIPIENT is a COMPETITOR or a supplier to a COMPETITOR of the other PARTY or any of its AFFILIATES at the time of the transfer or spin-off, as applicable, then such other PARTY shall have the right to contest its obligation under this Section 6.3 to grant a license to the RECIPIENT by providing written notice (the “CONTEST NOTICE”) to the TRANSFERRING PARTY within ninety (90) calendar days after delivery of the TRANSFER NOTICE. For a period of sixty (60) calendar days after delivery of the CONTEST NOTICE, such other PARTY, the TRANSFERRING PARTY and the RECIPIENT shall engage in good faith discussions to resolve the issue. In the event of a disagreement regarding whether the RECIPIENT is a COMPETITOR or a supplier to a COMPETITOR, the TRANSFERRING PARTY shall have the burden of proof of establishing that the RECIPIENT is neither a COMPETITOR nor a supplier to a COMPETITOR of such other PARTY. If the three parties are unable to resolve the issue within such sixty (60) day period, then such other PARTY shall not be obligated under this Section 6.3 to grant a license to the RECIPIENT.</w:t>
      </w:r>
    </w:p>
    <w:p>
      <w:pPr>
        <w:spacing w:after="0" w:line="73" w:lineRule="exact"/>
        <w:rPr>
          <w:sz w:val="20"/>
          <w:szCs w:val="20"/>
          <w:color w:val="auto"/>
        </w:rPr>
      </w:pPr>
    </w:p>
    <w:p>
      <w:pPr>
        <w:ind w:left="444" w:right="60"/>
        <w:spacing w:after="0" w:line="296" w:lineRule="auto"/>
        <w:rPr>
          <w:sz w:val="20"/>
          <w:szCs w:val="20"/>
          <w:color w:val="auto"/>
        </w:rPr>
      </w:pPr>
      <w:r>
        <w:rPr>
          <w:rFonts w:ascii="Arial" w:cs="Arial" w:eastAsia="Arial" w:hAnsi="Arial"/>
          <w:sz w:val="16"/>
          <w:szCs w:val="16"/>
          <w:color w:val="auto"/>
        </w:rPr>
        <w:t xml:space="preserve">In the event that the transfer of a business unit contemplated in this Section 6.3 consists of or includes all or substantially all of the MAGNACHIP POWER BUSINESS LINE, then INFINEON, MAGNACHIP and the RECIPIENT shall engage in good faith discussions for the purpose of assigning MAGNACHIP’s rights and obligations under this AGREEMENT to the RECIPIENT under substantially the same terms and conditions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RECIPIENT is a COMPETITOR or a supplier to a COMPETITOR of INFINEON or any of its AFFILIATES at the time of the transfer or spin-off, as applicable, then the immediately preceding paragraph shall nevertheless apply.</w:t>
      </w:r>
    </w:p>
    <w:p>
      <w:pPr>
        <w:spacing w:after="0" w:line="306" w:lineRule="exact"/>
        <w:rPr>
          <w:sz w:val="20"/>
          <w:szCs w:val="20"/>
          <w:color w:val="auto"/>
        </w:rPr>
      </w:pPr>
    </w:p>
    <w:p>
      <w:pPr>
        <w:ind w:left="424" w:hanging="424"/>
        <w:spacing w:after="0"/>
        <w:tabs>
          <w:tab w:leader="none" w:pos="424"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35" w:lineRule="exact"/>
        <w:rPr>
          <w:sz w:val="20"/>
          <w:szCs w:val="20"/>
          <w:color w:val="auto"/>
        </w:rPr>
      </w:pPr>
    </w:p>
    <w:p>
      <w:pPr>
        <w:ind w:left="424" w:right="540" w:hanging="431"/>
        <w:spacing w:after="0" w:line="277" w:lineRule="auto"/>
        <w:tabs>
          <w:tab w:leader="none" w:pos="404" w:val="left"/>
        </w:tabs>
        <w:rPr>
          <w:sz w:val="20"/>
          <w:szCs w:val="20"/>
          <w:color w:val="auto"/>
        </w:rPr>
      </w:pPr>
      <w:r>
        <w:rPr>
          <w:rFonts w:ascii="Arial" w:cs="Arial" w:eastAsia="Arial" w:hAnsi="Arial"/>
          <w:sz w:val="18"/>
          <w:szCs w:val="18"/>
          <w:color w:val="auto"/>
        </w:rPr>
        <w:t>7.1</w:t>
        <w:tab/>
        <w:t xml:space="preserve">Either PARTY shall be free to assign or grant any right under any of its LICENSED PATENTS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licenses and rights granted hereunder remain unaffected.</w:t>
      </w:r>
    </w:p>
    <w:p>
      <w:pPr>
        <w:spacing w:after="0" w:line="76" w:lineRule="exact"/>
        <w:rPr>
          <w:sz w:val="20"/>
          <w:szCs w:val="20"/>
          <w:color w:val="auto"/>
        </w:rPr>
      </w:pPr>
    </w:p>
    <w:p>
      <w:pPr>
        <w:jc w:val="both"/>
        <w:ind w:left="424" w:right="200" w:hanging="431"/>
        <w:spacing w:after="0" w:line="301" w:lineRule="auto"/>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 xml:space="preserve">Without prejudice to Sections 6.2 and 6.3, neither PARTY shall assign any of its rights (other than the right to receive payments) or delegate any of its obligations under this AGREEMENT. Any attempt to do so shall be void. However, a PARTY which undergoes reorganization may assign such rights and delegate such obligations to its legal successor,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the reorganization, the successor and its SUBSIDIARIES will have essentially the same assets as such PARTY and its SUBSIDIARIES had prior to the reorganization.</w:t>
      </w:r>
    </w:p>
    <w:p>
      <w:pPr>
        <w:spacing w:after="0" w:line="63" w:lineRule="exact"/>
        <w:rPr>
          <w:sz w:val="20"/>
          <w:szCs w:val="20"/>
          <w:color w:val="auto"/>
        </w:rPr>
      </w:pPr>
    </w:p>
    <w:p>
      <w:pPr>
        <w:ind w:left="424" w:right="140" w:hanging="431"/>
        <w:spacing w:after="0" w:line="279" w:lineRule="auto"/>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Notices and other communications shall be in writing and shall be deemed duly given (a) if by facsimile, on the date of written confirmation of receipt by facsimile, e-mail or otherwise, or (b) on the third (3rd) business day following the date of dispatch if delivered utilizing a express courier service by a recognized international courier. All notices hereunder shall be delivered to the addresses set forth below, or pursuant to such other instructions as may be designated in writing by the Party to receive such notice:</w:t>
      </w:r>
    </w:p>
    <w:p>
      <w:pPr>
        <w:spacing w:after="0" w:line="104" w:lineRule="exact"/>
        <w:rPr>
          <w:sz w:val="20"/>
          <w:szCs w:val="20"/>
          <w:color w:val="auto"/>
        </w:rPr>
      </w:pPr>
    </w:p>
    <w:p>
      <w:pPr>
        <w:ind w:left="4"/>
        <w:spacing w:after="0"/>
        <w:tabs>
          <w:tab w:leader="none" w:pos="10004"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15 of 20</w:t>
      </w:r>
    </w:p>
    <w:p>
      <w:pPr>
        <w:sectPr>
          <w:pgSz w:w="11900" w:h="16838" w:orient="portrait"/>
          <w:cols w:equalWidth="0" w:num="1">
            <w:col w:w="11024"/>
          </w:cols>
          <w:pgMar w:left="436" w:top="274" w:right="4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4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Arial" w:cs="Arial" w:eastAsia="Arial" w:hAnsi="Arial"/>
                <w:sz w:val="18"/>
                <w:szCs w:val="18"/>
                <w:color w:val="auto"/>
              </w:rPr>
              <w:t>For INFINEON:</w:t>
            </w:r>
          </w:p>
        </w:tc>
        <w:tc>
          <w:tcPr>
            <w:tcW w:w="2360" w:type="dxa"/>
            <w:vAlign w:val="bottom"/>
            <w:gridSpan w:val="2"/>
          </w:tcPr>
          <w:p>
            <w:pPr>
              <w:spacing w:after="0"/>
              <w:rPr>
                <w:sz w:val="20"/>
                <w:szCs w:val="20"/>
                <w:color w:val="auto"/>
              </w:rPr>
            </w:pPr>
            <w:r>
              <w:rPr>
                <w:rFonts w:ascii="Arial" w:cs="Arial" w:eastAsia="Arial" w:hAnsi="Arial"/>
                <w:sz w:val="18"/>
                <w:szCs w:val="18"/>
                <w:color w:val="auto"/>
              </w:rPr>
              <w:t>For MAGNACHIP:</w:t>
            </w:r>
          </w:p>
        </w:tc>
      </w:tr>
      <w:tr>
        <w:trPr>
          <w:trHeight w:val="20"/>
        </w:trPr>
        <w:tc>
          <w:tcPr>
            <w:tcW w:w="11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Vice President Intellectual Property</w:t>
            </w:r>
          </w:p>
        </w:tc>
        <w:tc>
          <w:tcPr>
            <w:tcW w:w="236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Infineon Technologies AG</w:t>
            </w:r>
          </w:p>
        </w:tc>
        <w:tc>
          <w:tcPr>
            <w:tcW w:w="2360" w:type="dxa"/>
            <w:vAlign w:val="bottom"/>
            <w:gridSpan w:val="2"/>
          </w:tcPr>
          <w:p>
            <w:pPr>
              <w:spacing w:after="0"/>
              <w:rPr>
                <w:sz w:val="20"/>
                <w:szCs w:val="20"/>
                <w:color w:val="auto"/>
              </w:rPr>
            </w:pPr>
            <w:r>
              <w:rPr>
                <w:rFonts w:ascii="Arial" w:cs="Arial" w:eastAsia="Arial" w:hAnsi="Arial"/>
                <w:sz w:val="18"/>
                <w:szCs w:val="18"/>
                <w:color w:val="auto"/>
                <w:w w:val="90"/>
              </w:rPr>
              <w:t>MagnaChip Semiconductor, Ltd.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Fax: [***]</w:t>
            </w:r>
          </w:p>
        </w:tc>
        <w:tc>
          <w:tcPr>
            <w:tcW w:w="2360" w:type="dxa"/>
            <w:vAlign w:val="bottom"/>
            <w:gridSpan w:val="2"/>
          </w:tcPr>
          <w:p>
            <w:pPr>
              <w:spacing w:after="0"/>
              <w:rPr>
                <w:sz w:val="20"/>
                <w:szCs w:val="20"/>
                <w:color w:val="auto"/>
              </w:rPr>
            </w:pPr>
            <w:r>
              <w:rPr>
                <w:rFonts w:ascii="Arial" w:cs="Arial" w:eastAsia="Arial" w:hAnsi="Arial"/>
                <w:sz w:val="18"/>
                <w:szCs w:val="18"/>
                <w:color w:val="auto"/>
              </w:rPr>
              <w:t>Fax: [***]</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Email: [***]</w:t>
            </w:r>
          </w:p>
        </w:tc>
        <w:tc>
          <w:tcPr>
            <w:tcW w:w="2360" w:type="dxa"/>
            <w:vAlign w:val="bottom"/>
            <w:gridSpan w:val="2"/>
          </w:tcPr>
          <w:p>
            <w:pPr>
              <w:spacing w:after="0"/>
              <w:rPr>
                <w:sz w:val="20"/>
                <w:szCs w:val="20"/>
                <w:color w:val="auto"/>
              </w:rPr>
            </w:pPr>
            <w:r>
              <w:rPr>
                <w:rFonts w:ascii="Arial" w:cs="Arial" w:eastAsia="Arial" w:hAnsi="Arial"/>
                <w:sz w:val="18"/>
                <w:szCs w:val="18"/>
                <w:color w:val="auto"/>
              </w:rPr>
              <w:t>Email: [***]</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Infineon Technologies AG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t>
      </w:r>
    </w:p>
    <w:p>
      <w:pPr>
        <w:spacing w:after="0" w:line="116" w:lineRule="exact"/>
        <w:rPr>
          <w:sz w:val="20"/>
          <w:szCs w:val="20"/>
          <w:color w:val="auto"/>
        </w:rPr>
      </w:pPr>
    </w:p>
    <w:p>
      <w:pPr>
        <w:ind w:left="420" w:right="160" w:hanging="431"/>
        <w:spacing w:after="0" w:line="290" w:lineRule="auto"/>
        <w:tabs>
          <w:tab w:leader="none" w:pos="4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Each PARTY represents and warrants that it has the full right and power to grant the licenses and releases set forth in Sections 2 and 3. Neither PARTY makes any other representation or warranty, express or implied, nor shall either PARTY have any liability in respect of any infringement of patents or other rights of THIRD PARTIES due to the other PARTY’s operation under the license herein granted. In no event shall either PARTY be liable to the other PARTY by reason of this AGREEMENT or any breach or termination of this AGREEMENT for any loss of profits or revenue, business interruptions, cost of capital or any special, incidental or consequential damages. INFINEON represents and warrants that it has the proper power and authority to cause its AFFILIATES to comply with Section 2.1, and INFINEON hereby agrees to cause such AFFILIATES to comply with Section 2.1. MX represents and warrants that it has the proper power and authority to cause MAGNACHIP’s AFFILIATES to comply with Section 2.2, and MX hereby agrees to cause such AFFILIATES to comply with Section 2.2.</w:t>
      </w:r>
    </w:p>
    <w:p>
      <w:pPr>
        <w:spacing w:after="0" w:line="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In particular, without limitation, nothing contained in this AGREEMENT shall be construed as:</w:t>
      </w:r>
    </w:p>
    <w:p>
      <w:pPr>
        <w:spacing w:after="0" w:line="131" w:lineRule="exact"/>
        <w:rPr>
          <w:sz w:val="20"/>
          <w:szCs w:val="20"/>
          <w:color w:val="auto"/>
        </w:rPr>
      </w:pPr>
    </w:p>
    <w:p>
      <w:pPr>
        <w:ind w:left="960" w:hanging="532"/>
        <w:spacing w:after="0"/>
        <w:tabs>
          <w:tab w:leader="none" w:pos="9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restricting the right of a PARTY to make, use, sell, lease of otherwise dispose of any particular product or products not herein licensed;</w:t>
      </w:r>
    </w:p>
    <w:p>
      <w:pPr>
        <w:spacing w:after="0" w:line="153" w:lineRule="exact"/>
        <w:rPr>
          <w:rFonts w:ascii="Arial" w:cs="Arial" w:eastAsia="Arial" w:hAnsi="Arial"/>
          <w:sz w:val="16"/>
          <w:szCs w:val="16"/>
          <w:color w:val="auto"/>
        </w:rPr>
      </w:pPr>
    </w:p>
    <w:p>
      <w:pPr>
        <w:ind w:left="960" w:right="180" w:hanging="532"/>
        <w:spacing w:after="0" w:line="277"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admission by a PARTY, or a warranty or representation of a PARTY, as to the validity and/or scope of the LICENSED PATENTS, or a limitation of a PARTY to contest, in any proceeding the validity and/or scope thereof;</w:t>
      </w:r>
    </w:p>
    <w:p>
      <w:pPr>
        <w:spacing w:after="0" w:line="75" w:lineRule="exact"/>
        <w:rPr>
          <w:rFonts w:ascii="Arial" w:cs="Arial" w:eastAsia="Arial" w:hAnsi="Arial"/>
          <w:sz w:val="18"/>
          <w:szCs w:val="18"/>
          <w:color w:val="auto"/>
        </w:rPr>
      </w:pPr>
    </w:p>
    <w:p>
      <w:pPr>
        <w:ind w:left="960" w:right="260" w:hanging="532"/>
        <w:spacing w:after="0" w:line="342" w:lineRule="auto"/>
        <w:tabs>
          <w:tab w:leader="none" w:pos="9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warranty or representation by a PARTY that any manufacture, use, import, sale, lease or other disposition of LICENSED PRODUCTS will be free from infringement of any patent or other intellectual property rights, other than the LICENSED PATENTS; or</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admission by a PARTY that it has infringed any patent or other intellectual property rights of the other PARTY.</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16 of 20</w:t>
      </w:r>
    </w:p>
    <w:p>
      <w:pPr>
        <w:sectPr>
          <w:pgSz w:w="11900" w:h="16838" w:orient="portrait"/>
          <w:cols w:equalWidth="0" w:num="1">
            <w:col w:w="11020"/>
          </w:cols>
          <w:pgMar w:left="440" w:top="274" w:right="4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ind w:left="420" w:right="120" w:hanging="431"/>
        <w:spacing w:after="0" w:line="257" w:lineRule="auto"/>
        <w:tabs>
          <w:tab w:leader="none" w:pos="400" w:val="left"/>
        </w:tabs>
        <w:rPr>
          <w:sz w:val="20"/>
          <w:szCs w:val="20"/>
          <w:color w:val="auto"/>
        </w:rPr>
      </w:pPr>
      <w:r>
        <w:rPr>
          <w:rFonts w:ascii="Arial" w:cs="Arial" w:eastAsia="Arial" w:hAnsi="Arial"/>
          <w:sz w:val="18"/>
          <w:szCs w:val="18"/>
          <w:color w:val="auto"/>
        </w:rPr>
        <w:t>7.6</w:t>
        <w:tab/>
        <w:t>Neither PARTY shall have any obligation hereunder to institute any action or suit against THIRD PARTIES for infringement of any of its LICENSED PATENTS or to defend any action or suit brought by a third party which challenges or concerns the validity of any of its LICENSED PATENTS. Neither PARTY shall have any right to institute any action or suit against THIRD PARTIES for infringement of any of the other PARTY’S LICENSED PATENTS. Neither PARTY, nor any of its AFFILIATES, is required to file any patent application, or to secure any patent or patent rights, or to maintain any patent in force.</w:t>
      </w:r>
    </w:p>
    <w:p>
      <w:pPr>
        <w:spacing w:after="0" w:line="93" w:lineRule="exact"/>
        <w:rPr>
          <w:sz w:val="20"/>
          <w:szCs w:val="20"/>
          <w:color w:val="auto"/>
        </w:rPr>
      </w:pPr>
    </w:p>
    <w:p>
      <w:pPr>
        <w:ind w:left="420" w:right="20" w:hanging="431"/>
        <w:spacing w:after="0" w:line="263" w:lineRule="auto"/>
        <w:tabs>
          <w:tab w:leader="none" w:pos="400" w:val="left"/>
        </w:tabs>
        <w:rPr>
          <w:sz w:val="20"/>
          <w:szCs w:val="20"/>
          <w:color w:val="auto"/>
        </w:rPr>
      </w:pPr>
      <w:r>
        <w:rPr>
          <w:rFonts w:ascii="Arial" w:cs="Arial" w:eastAsia="Arial" w:hAnsi="Arial"/>
          <w:sz w:val="18"/>
          <w:szCs w:val="18"/>
          <w:color w:val="auto"/>
        </w:rPr>
        <w:t>7.7</w:t>
        <w:tab/>
        <w:t>This AGREEMENT including the arbitration agreement in Section 7.8 shall be subject to the substantive law in force in the State of New York, USA, without reference to its conflicts of law provisions. The application of the United Nations Convention on Contracts for the International Sale of Goods of April 11, 1980 shall be excluded.</w:t>
      </w:r>
    </w:p>
    <w:p>
      <w:pPr>
        <w:spacing w:after="0" w:line="89" w:lineRule="exact"/>
        <w:rPr>
          <w:sz w:val="20"/>
          <w:szCs w:val="20"/>
          <w:color w:val="auto"/>
        </w:rPr>
      </w:pPr>
    </w:p>
    <w:p>
      <w:pPr>
        <w:ind w:left="420" w:right="40" w:hanging="431"/>
        <w:spacing w:after="0" w:line="269" w:lineRule="auto"/>
        <w:tabs>
          <w:tab w:leader="none" w:pos="40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All disputes arising out of or in connection with this AGREEMENT, including any question regarding its existence, validity or termination, shall be settled finally by arbitration under the Rules of Arbitration of the International Chamber of Commerce, Paris (“ICC”) / (“Rules”) by three arbitrators without recourse to the courts of any jurisdiction. Each PARTY shall nominate one arbitrator and the two party nominated arbitrators shall nominate the chairman within thirty (30) calendar days. In case the two party nominated arbitrators are unable to nominate a chairman, he/she shall be nominated by the ICC in accordance with the Rules. Place of Arbitration shall be Zurich, Switzerland. The language to be used in the arbitration proceeding shall be English. The arbitration award shall be rendered in writing and shall be binding upon the PARTIES. Nothing in this AGREEMENT shall preclude either PARTY from seeking interim measures of protection in any court of competent jurisdiction. The courts at the place of arbitration shall not have exclusive jurisdiction to entertain such applications. Notwithstanding anything in this Section 7.8 to the contrary, a PARTY or any AFFILIATE of a PARTY shall be free to enforce this AGREEMENT, or any of the terms or conditions hereof, before any judicial, administrative or other body in which the other PARTY, any AFFILIATE of such other PARTY or any successor in interest to any of such other PARTY’s LICENSED PATENTS has asserted or claimed that such PARTY or any AFFILILATE of such PARTY is or may be infringing one or more of such other PARTY’s LICENSED PATENTS.</w:t>
      </w:r>
    </w:p>
    <w:p>
      <w:pPr>
        <w:spacing w:after="0" w:line="84" w:lineRule="exact"/>
        <w:rPr>
          <w:sz w:val="20"/>
          <w:szCs w:val="20"/>
          <w:color w:val="auto"/>
        </w:rPr>
      </w:pPr>
    </w:p>
    <w:p>
      <w:pPr>
        <w:ind w:left="420" w:right="220" w:hanging="431"/>
        <w:spacing w:after="0" w:line="311" w:lineRule="auto"/>
        <w:tabs>
          <w:tab w:leader="none" w:pos="4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This AGREEMENT shall not be binding upon the PARTIES until it has been signed by or on behalf of each PARTY. No amendment or modification hereof shall be valid or binding upon the PARTIES unless made in writing and signed as aforesaid, except that either PARTY may amend its address in Section 7.3 by written notice to the other PARTY. The requirement of the written form itself can only be waived in writing.</w:t>
      </w:r>
    </w:p>
    <w:p>
      <w:pPr>
        <w:spacing w:after="0" w:line="54" w:lineRule="exact"/>
        <w:rPr>
          <w:sz w:val="20"/>
          <w:szCs w:val="20"/>
          <w:color w:val="auto"/>
        </w:rPr>
      </w:pPr>
    </w:p>
    <w:p>
      <w:pPr>
        <w:ind w:left="420" w:right="20" w:hanging="431"/>
        <w:spacing w:after="0" w:line="301" w:lineRule="auto"/>
        <w:rPr>
          <w:sz w:val="20"/>
          <w:szCs w:val="20"/>
          <w:color w:val="auto"/>
        </w:rPr>
      </w:pPr>
      <w:r>
        <w:rPr>
          <w:rFonts w:ascii="Arial" w:cs="Arial" w:eastAsia="Arial" w:hAnsi="Arial"/>
          <w:sz w:val="16"/>
          <w:szCs w:val="16"/>
          <w:color w:val="auto"/>
        </w:rPr>
        <w:t>7.10 Neither PARTY shall use or refer to this AGREEMENT or any of its provisions in any promotional activity, public announcement, press release or other communication with THIRD PARTIES. Notwithstanding the foregoing, each PARTY may disclose the existence of this AGREEMENT and what products are LICENSED PRODUCTS to THIRD PARTY customers and/or potential customers who have a reasonable need to know such information and who are bound to confidentiality obligations not less stringent than the obligations of this AGREEMENT.</w:t>
      </w:r>
    </w:p>
    <w:p>
      <w:pPr>
        <w:spacing w:after="0" w:line="90"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17 of 20</w:t>
      </w:r>
    </w:p>
    <w:p>
      <w:pPr>
        <w:sectPr>
          <w:pgSz w:w="11900" w:h="16838" w:orient="portrait"/>
          <w:cols w:equalWidth="0" w:num="1">
            <w:col w:w="11020"/>
          </w:cols>
          <w:pgMar w:left="440" w:top="274"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During the TERM, each PARTY agrees not to disclose any term or condition of this AGREEMENT, as well as any information provided hereunder by a PARTY in performance of its obligations hereunder, to any THIRD PARTY without the prior written consent of the other PARTY. This obligation is subject to the following exceptions:</w:t>
      </w:r>
    </w:p>
    <w:p>
      <w:pPr>
        <w:spacing w:after="0" w:line="89" w:lineRule="exact"/>
        <w:rPr>
          <w:sz w:val="20"/>
          <w:szCs w:val="20"/>
          <w:color w:val="auto"/>
        </w:rPr>
      </w:pPr>
    </w:p>
    <w:p>
      <w:pPr>
        <w:ind w:left="960" w:right="220" w:hanging="532"/>
        <w:spacing w:after="0" w:line="27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disclosure is permissible if required by government or court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PARTY required to disclose first gives the other PARTY prior written notice to enable it to seek a protective order;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disclosure is permissible if otherwise required by law;</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disclosure is permissible if required to enforce rights under this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PARTY may use similar terms and conditions in other agreements;</w:t>
      </w:r>
    </w:p>
    <w:p>
      <w:pPr>
        <w:spacing w:after="0" w:line="130" w:lineRule="exact"/>
        <w:rPr>
          <w:rFonts w:ascii="Arial" w:cs="Arial" w:eastAsia="Arial" w:hAnsi="Arial"/>
          <w:sz w:val="18"/>
          <w:szCs w:val="18"/>
          <w:color w:val="auto"/>
        </w:rPr>
      </w:pPr>
    </w:p>
    <w:p>
      <w:pPr>
        <w:ind w:left="960" w:right="40" w:hanging="532"/>
        <w:spacing w:after="0" w:line="25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PARTY may disclose, subject to a written confidentiality agreement or other legally binding confidentiality obligation (such as an attorney’s duty of confidentiality), this AGREEMENT to its accountants, attorneys and financial advisors, solely to the extent necessary for the performance of their services, and a redacted version of this AGREEMENT limited to the scope of the licenses and releases granted hereunder to its present or future providers of venture capital and/or potential investors in or acquirers of such PARTY, any of its AFFILIATES or product lines which qualify under Section 6.</w:t>
      </w:r>
    </w:p>
    <w:p>
      <w:pPr>
        <w:spacing w:after="0" w:line="93" w:lineRule="exact"/>
        <w:rPr>
          <w:sz w:val="20"/>
          <w:szCs w:val="20"/>
          <w:color w:val="auto"/>
        </w:rPr>
      </w:pPr>
    </w:p>
    <w:p>
      <w:pPr>
        <w:ind w:left="420" w:right="100" w:hanging="431"/>
        <w:spacing w:after="0" w:line="286" w:lineRule="auto"/>
        <w:rPr>
          <w:sz w:val="20"/>
          <w:szCs w:val="20"/>
          <w:color w:val="auto"/>
        </w:rPr>
      </w:pPr>
      <w:r>
        <w:rPr>
          <w:rFonts w:ascii="Arial" w:cs="Arial" w:eastAsia="Arial" w:hAnsi="Arial"/>
          <w:sz w:val="17"/>
          <w:szCs w:val="17"/>
          <w:color w:val="auto"/>
        </w:rPr>
        <w:t>7.11 If any provision of this AGREEMENT is held to be invalid, illegal or unenforceable under applicable law the remaining provisions shall continue to be in full force and effect. The PARTIES undertake to replace the invalid provision or parts thereof by a new provision which will meet as closely as possible the economic effect intended by the PARTIES at the time of execution of this AGREEMENT.</w:t>
      </w:r>
    </w:p>
    <w:p>
      <w:pPr>
        <w:spacing w:after="0" w:line="71" w:lineRule="exact"/>
        <w:rPr>
          <w:sz w:val="20"/>
          <w:szCs w:val="20"/>
          <w:color w:val="auto"/>
        </w:rPr>
      </w:pPr>
    </w:p>
    <w:p>
      <w:pPr>
        <w:ind w:left="420" w:right="100" w:hanging="431"/>
        <w:spacing w:after="0" w:line="277" w:lineRule="auto"/>
        <w:rPr>
          <w:sz w:val="20"/>
          <w:szCs w:val="20"/>
          <w:color w:val="auto"/>
        </w:rPr>
      </w:pPr>
      <w:r>
        <w:rPr>
          <w:rFonts w:ascii="Arial" w:cs="Arial" w:eastAsia="Arial" w:hAnsi="Arial"/>
          <w:sz w:val="18"/>
          <w:szCs w:val="18"/>
          <w:color w:val="auto"/>
        </w:rPr>
        <w:t>7.12 This AGREEMENT embodies the entire understanding of the PARTIES with respect to the LICENSED PATENTS, and replaces any prior oral or written communications between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18 of 20</w:t>
      </w:r>
    </w:p>
    <w:p>
      <w:pPr>
        <w:sectPr>
          <w:pgSz w:w="11900" w:h="16838" w:orient="portrait"/>
          <w:cols w:equalWidth="0" w:num="1">
            <w:col w:w="11020"/>
          </w:cols>
          <w:pgMar w:left="440" w:top="274" w:right="439" w:bottom="1440" w:gutter="0" w:footer="0" w:header="0"/>
        </w:sectPr>
      </w:pPr>
    </w:p>
    <w:bookmarkStart w:id="160" w:name="page161"/>
    <w:bookmarkEnd w:id="160"/>
    <w:p>
      <w:pP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executed by their respective duly authorized representatives: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Infineon Technologies AG</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Date: May 31, 2017</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 June 16, 2017</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right="3190"/>
              <w:spacing w:after="0"/>
              <w:rPr>
                <w:sz w:val="20"/>
                <w:szCs w:val="20"/>
                <w:color w:val="auto"/>
              </w:rPr>
            </w:pPr>
            <w:r>
              <w:rPr>
                <w:rFonts w:ascii="Arial" w:cs="Arial" w:eastAsia="Arial" w:hAnsi="Arial"/>
                <w:sz w:val="18"/>
                <w:szCs w:val="18"/>
                <w:color w:val="auto"/>
                <w:w w:val="91"/>
              </w:rPr>
              <w:t>/s/ Theodore S. Kim</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right="4030"/>
              <w:spacing w:after="0"/>
              <w:rPr>
                <w:sz w:val="20"/>
                <w:szCs w:val="20"/>
                <w:color w:val="auto"/>
              </w:rPr>
            </w:pPr>
            <w:r>
              <w:rPr>
                <w:rFonts w:ascii="Arial" w:cs="Arial" w:eastAsia="Arial" w:hAnsi="Arial"/>
                <w:sz w:val="18"/>
                <w:szCs w:val="18"/>
                <w:color w:val="auto"/>
              </w:rPr>
              <w:t>/s/ [***]</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4740" w:type="dxa"/>
            <w:vAlign w:val="bottom"/>
          </w:tcPr>
          <w:p>
            <w:pPr>
              <w:jc w:val="center"/>
              <w:ind w:right="3210"/>
              <w:spacing w:after="0"/>
              <w:rPr>
                <w:sz w:val="20"/>
                <w:szCs w:val="20"/>
                <w:color w:val="auto"/>
              </w:rPr>
            </w:pPr>
            <w:r>
              <w:rPr>
                <w:rFonts w:ascii="Arial" w:cs="Arial" w:eastAsia="Arial" w:hAnsi="Arial"/>
                <w:sz w:val="18"/>
                <w:szCs w:val="18"/>
                <w:color w:val="auto"/>
                <w:w w:val="91"/>
              </w:rPr>
              <w:t>Theodore S. Kim</w:t>
            </w:r>
          </w:p>
        </w:tc>
        <w:tc>
          <w:tcPr>
            <w:tcW w:w="1120" w:type="dxa"/>
            <w:vAlign w:val="bottom"/>
          </w:tcPr>
          <w:p>
            <w:pPr>
              <w:ind w:left="700"/>
              <w:spacing w:after="0"/>
              <w:rPr>
                <w:sz w:val="20"/>
                <w:szCs w:val="20"/>
                <w:color w:val="auto"/>
              </w:rPr>
            </w:pPr>
            <w:r>
              <w:rPr>
                <w:rFonts w:ascii="Arial" w:cs="Arial" w:eastAsia="Arial" w:hAnsi="Arial"/>
                <w:sz w:val="18"/>
                <w:szCs w:val="18"/>
                <w:color w:val="auto"/>
                <w:w w:val="75"/>
              </w:rPr>
              <w:t>Name:</w:t>
            </w:r>
          </w:p>
        </w:tc>
        <w:tc>
          <w:tcPr>
            <w:tcW w:w="4740" w:type="dxa"/>
            <w:vAlign w:val="bottom"/>
          </w:tcPr>
          <w:p>
            <w:pPr>
              <w:jc w:val="center"/>
              <w:ind w:right="407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 Executive Vice President &amp; General Counsel</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Director &amp; Corporate Legal Counsel</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right="3210"/>
              <w:spacing w:after="0"/>
              <w:rPr>
                <w:sz w:val="20"/>
                <w:szCs w:val="20"/>
                <w:color w:val="auto"/>
              </w:rPr>
            </w:pPr>
            <w:r>
              <w:rPr>
                <w:rFonts w:ascii="Arial" w:cs="Arial" w:eastAsia="Arial" w:hAnsi="Arial"/>
                <w:sz w:val="18"/>
                <w:szCs w:val="18"/>
                <w:color w:val="auto"/>
                <w:w w:val="92"/>
              </w:rPr>
              <w:t>/s/ Woung Moo Lee</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right="4030"/>
              <w:spacing w:after="0"/>
              <w:rPr>
                <w:sz w:val="20"/>
                <w:szCs w:val="20"/>
                <w:color w:val="auto"/>
              </w:rPr>
            </w:pPr>
            <w:r>
              <w:rPr>
                <w:rFonts w:ascii="Arial" w:cs="Arial" w:eastAsia="Arial" w:hAnsi="Arial"/>
                <w:sz w:val="18"/>
                <w:szCs w:val="18"/>
                <w:color w:val="auto"/>
              </w:rPr>
              <w:t>/s/ [***]</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4740" w:type="dxa"/>
            <w:vAlign w:val="bottom"/>
          </w:tcPr>
          <w:p>
            <w:pPr>
              <w:ind w:left="100"/>
              <w:spacing w:after="0"/>
              <w:rPr>
                <w:sz w:val="20"/>
                <w:szCs w:val="20"/>
                <w:color w:val="auto"/>
              </w:rPr>
            </w:pPr>
            <w:r>
              <w:rPr>
                <w:rFonts w:ascii="Arial" w:cs="Arial" w:eastAsia="Arial" w:hAnsi="Arial"/>
                <w:sz w:val="18"/>
                <w:szCs w:val="18"/>
                <w:color w:val="auto"/>
              </w:rPr>
              <w:t>Woung Moo Lee</w:t>
            </w:r>
          </w:p>
        </w:tc>
        <w:tc>
          <w:tcPr>
            <w:tcW w:w="1120" w:type="dxa"/>
            <w:vAlign w:val="bottom"/>
          </w:tcPr>
          <w:p>
            <w:pPr>
              <w:ind w:left="700"/>
              <w:spacing w:after="0"/>
              <w:rPr>
                <w:sz w:val="20"/>
                <w:szCs w:val="20"/>
                <w:color w:val="auto"/>
              </w:rPr>
            </w:pPr>
            <w:r>
              <w:rPr>
                <w:rFonts w:ascii="Arial" w:cs="Arial" w:eastAsia="Arial" w:hAnsi="Arial"/>
                <w:sz w:val="18"/>
                <w:szCs w:val="18"/>
                <w:color w:val="auto"/>
                <w:w w:val="75"/>
              </w:rPr>
              <w:t>Name:</w:t>
            </w:r>
          </w:p>
        </w:tc>
        <w:tc>
          <w:tcPr>
            <w:tcW w:w="4740" w:type="dxa"/>
            <w:vAlign w:val="bottom"/>
          </w:tcPr>
          <w:p>
            <w:pPr>
              <w:jc w:val="center"/>
              <w:ind w:right="407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 Executive Vice President &amp; General Manager of SPG</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Senior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AGREED only with respect to Section 7.4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2017</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Theodore S.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&amp; General Counsel</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Woung Moo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Woung Moo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&amp; General Manager of SPG</w:t>
      </w:r>
    </w:p>
    <w:p>
      <w:pPr>
        <w:spacing w:after="0" w:line="143"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19 of 20</w:t>
      </w:r>
    </w:p>
    <w:p>
      <w:pPr>
        <w:sectPr>
          <w:pgSz w:w="11900" w:h="16838" w:orient="portrait"/>
          <w:cols w:equalWidth="0" w:num="1">
            <w:col w:w="11020"/>
          </w:cols>
          <w:pgMar w:left="440" w:top="274" w:right="4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Infineon – MagnaChip Confidential</w:t>
      </w:r>
      <w:r>
        <w:rPr>
          <w:sz w:val="20"/>
          <w:szCs w:val="20"/>
          <w:color w:val="auto"/>
        </w:rPr>
        <w:tab/>
      </w:r>
      <w:r>
        <w:rPr>
          <w:rFonts w:ascii="Arial" w:cs="Arial" w:eastAsia="Arial" w:hAnsi="Arial"/>
          <w:sz w:val="16"/>
          <w:szCs w:val="16"/>
          <w:color w:val="auto"/>
        </w:rPr>
        <w:t>Page 20 of 20</w:t>
      </w:r>
    </w:p>
    <w:p>
      <w:pPr>
        <w:sectPr>
          <w:pgSz w:w="11900" w:h="16838" w:orient="portrait"/>
          <w:cols w:equalWidth="0" w:num="1">
            <w:col w:w="11020"/>
          </w:cols>
          <w:pgMar w:left="440" w:top="274" w:right="439" w:bottom="1440" w:gutter="0" w:footer="0" w:header="0"/>
        </w:sectPr>
      </w:pPr>
    </w:p>
    <w:bookmarkStart w:id="162" w:name="page163"/>
    <w:bookmarkEnd w:id="162"/>
    <w:p>
      <w:pPr>
        <w:ind w:left="10084"/>
        <w:spacing w:after="0"/>
        <w:rPr>
          <w:sz w:val="20"/>
          <w:szCs w:val="20"/>
          <w:color w:val="auto"/>
        </w:rPr>
      </w:pPr>
      <w:r>
        <w:rPr>
          <w:rFonts w:ascii="Arial" w:cs="Arial" w:eastAsia="Arial" w:hAnsi="Arial"/>
          <w:sz w:val="16"/>
          <w:szCs w:val="16"/>
          <w:b w:val="1"/>
          <w:bCs w:val="1"/>
          <w:color w:val="auto"/>
        </w:rPr>
        <w:t>Exhibit 10.9</w:t>
      </w:r>
    </w:p>
    <w:p>
      <w:pPr>
        <w:spacing w:after="0" w:line="252"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FIRST AMENDMENT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PATENT CROSS-LICENSE AGREEMENT</w:t>
      </w:r>
    </w:p>
    <w:p>
      <w:pPr>
        <w:spacing w:after="0" w:line="229" w:lineRule="exact"/>
        <w:rPr>
          <w:sz w:val="20"/>
          <w:szCs w:val="20"/>
          <w:color w:val="auto"/>
        </w:rPr>
      </w:pPr>
    </w:p>
    <w:p>
      <w:pPr>
        <w:ind w:left="4" w:right="160"/>
        <w:spacing w:after="0" w:line="296" w:lineRule="auto"/>
        <w:rPr>
          <w:sz w:val="20"/>
          <w:szCs w:val="20"/>
          <w:color w:val="auto"/>
        </w:rPr>
      </w:pPr>
      <w:r>
        <w:rPr>
          <w:rFonts w:ascii="Arial" w:cs="Arial" w:eastAsia="Arial" w:hAnsi="Arial"/>
          <w:sz w:val="16"/>
          <w:szCs w:val="16"/>
          <w:color w:val="auto"/>
        </w:rPr>
        <w:t xml:space="preserve">This Amendment to the Patent Cross-License Agreement (“FIRST AMENDMENT”) is entered into with effect as of January 1, 2022 by and between </w:t>
      </w:r>
      <w:r>
        <w:rPr>
          <w:rFonts w:ascii="Arial" w:cs="Arial" w:eastAsia="Arial" w:hAnsi="Arial"/>
          <w:sz w:val="16"/>
          <w:szCs w:val="16"/>
          <w:b w:val="1"/>
          <w:bCs w:val="1"/>
          <w:color w:val="auto"/>
        </w:rPr>
        <w:t xml:space="preserve">Infineon Technologies AG </w:t>
      </w:r>
      <w:r>
        <w:rPr>
          <w:rFonts w:ascii="Arial" w:cs="Arial" w:eastAsia="Arial" w:hAnsi="Arial"/>
          <w:sz w:val="16"/>
          <w:szCs w:val="16"/>
          <w:color w:val="auto"/>
        </w:rPr>
        <w:t>(“INFINEON”), a corporation duly incorporated under the laws of Germany having its principal offices at Am Campeon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1-15, 85579 Neubiberg, Germany, and </w:t>
      </w:r>
      <w:r>
        <w:rPr>
          <w:rFonts w:ascii="Arial" w:cs="Arial" w:eastAsia="Arial" w:hAnsi="Arial"/>
          <w:sz w:val="16"/>
          <w:szCs w:val="16"/>
          <w:b w:val="1"/>
          <w:bCs w:val="1"/>
          <w:color w:val="auto"/>
        </w:rPr>
        <w:t>Magnachip Semiconductor, Ltd.</w:t>
      </w:r>
      <w:r>
        <w:rPr>
          <w:rFonts w:ascii="Arial" w:cs="Arial" w:eastAsia="Arial" w:hAnsi="Arial"/>
          <w:sz w:val="16"/>
          <w:szCs w:val="16"/>
          <w:color w:val="auto"/>
        </w:rPr>
        <w:t xml:space="preserve"> (“MAGNACHIP”), a company duly organized under the laws of Korea, having its principal offices at 15F, 76 Jikji-daero 436beon-gil (Jikji Smart Tower), Heungdeok-gu, Cheongju-si, Chungcheongbuk-do, 28581, Republic of Korea (INFINEON and MAGNACHIP hereinafter collectively referred to as the “PARTIES” and individually as a “PARTY”).</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Preamble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WHEREAS, INFINEON and MAGNACHIP have entered into a Patent Cross-License Agreement with effect as of June 15, 2017 (“AGREEMENT”);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both INFINEON and MAGNACHIP desire to amend the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INFINEON and MAGNACHIP agree as follows:</w:t>
      </w:r>
    </w:p>
    <w:p>
      <w:pPr>
        <w:spacing w:after="0" w:line="131" w:lineRule="exact"/>
        <w:rPr>
          <w:sz w:val="20"/>
          <w:szCs w:val="20"/>
          <w:color w:val="auto"/>
        </w:rPr>
      </w:pPr>
    </w:p>
    <w:p>
      <w:pPr>
        <w:ind w:left="424" w:right="360" w:hanging="424"/>
        <w:spacing w:after="0" w:line="277" w:lineRule="auto"/>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Section 1.9 (Definition of DISCRETE POWER MOSFET PRODUCT) of the AGREEMENT shall be replaced in its entirety by the following wording:</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“1.9 “DISCRETE POWER MOSFET PRODUCT“ shall mean [***].</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Section 1.12 (a) (Definition of INFINEON LICENSED PATENTS) of the AGREEMENT the words “</w:t>
      </w:r>
      <w:r>
        <w:rPr>
          <w:rFonts w:ascii="Arial" w:cs="Arial" w:eastAsia="Arial" w:hAnsi="Arial"/>
          <w:sz w:val="18"/>
          <w:szCs w:val="18"/>
          <w:i w:val="1"/>
          <w:iCs w:val="1"/>
          <w:color w:val="auto"/>
        </w:rPr>
        <w:t>December 31, 2020</w:t>
      </w:r>
      <w:r>
        <w:rPr>
          <w:rFonts w:ascii="Arial" w:cs="Arial" w:eastAsia="Arial" w:hAnsi="Arial"/>
          <w:sz w:val="18"/>
          <w:szCs w:val="18"/>
          <w:color w:val="auto"/>
        </w:rPr>
        <w:t>” shall be replaced by “</w:t>
      </w:r>
      <w:r>
        <w:rPr>
          <w:rFonts w:ascii="Arial" w:cs="Arial" w:eastAsia="Arial" w:hAnsi="Arial"/>
          <w:sz w:val="18"/>
          <w:szCs w:val="18"/>
          <w:i w:val="1"/>
          <w:iCs w:val="1"/>
          <w:color w:val="auto"/>
        </w:rPr>
        <w:t>December 31, 2026</w:t>
      </w:r>
      <w:r>
        <w:rPr>
          <w:rFonts w:ascii="Arial" w:cs="Arial" w:eastAsia="Arial" w:hAnsi="Arial"/>
          <w:sz w:val="18"/>
          <w:szCs w:val="18"/>
          <w:color w:val="auto"/>
        </w:rPr>
        <w:t>”. The new Section 1.12 (a) thus reads:</w:t>
      </w:r>
    </w:p>
    <w:p>
      <w:pPr>
        <w:spacing w:after="0" w:line="62" w:lineRule="exact"/>
        <w:rPr>
          <w:rFonts w:ascii="Arial" w:cs="Arial" w:eastAsia="Arial" w:hAnsi="Arial"/>
          <w:sz w:val="18"/>
          <w:szCs w:val="18"/>
          <w:color w:val="auto"/>
        </w:rPr>
      </w:pPr>
    </w:p>
    <w:p>
      <w:pPr>
        <w:ind w:left="444" w:right="40"/>
        <w:spacing w:after="0" w:line="263" w:lineRule="auto"/>
        <w:rPr>
          <w:rFonts w:ascii="Arial" w:cs="Arial" w:eastAsia="Arial" w:hAnsi="Arial"/>
          <w:sz w:val="18"/>
          <w:szCs w:val="18"/>
          <w:color w:val="auto"/>
        </w:rPr>
      </w:pPr>
      <w:r>
        <w:rPr>
          <w:rFonts w:ascii="Arial" w:cs="Arial" w:eastAsia="Arial" w:hAnsi="Arial"/>
          <w:sz w:val="18"/>
          <w:szCs w:val="18"/>
          <w:color w:val="auto"/>
        </w:rPr>
        <w:t>“(a) all classes or types of patents, utility models and design patents, including applications therefor, in all countries of the world, which are issued or published, or filed prior to (and including) December 31, 2026 including continuations, divisionals, reissues and other pre-grant and post-grant applications and issuances and foreign counterparts thereof; and”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Infineon Confidential</w:t>
      </w:r>
    </w:p>
    <w:p>
      <w:pPr>
        <w:sectPr>
          <w:pgSz w:w="11900" w:h="16838" w:orient="portrait"/>
          <w:cols w:equalWidth="0" w:num="1">
            <w:col w:w="11024"/>
          </w:cols>
          <w:pgMar w:left="436" w:top="121" w:right="439" w:bottom="1440" w:gutter="0" w:footer="0" w:header="0"/>
        </w:sectPr>
      </w:pPr>
    </w:p>
    <w:bookmarkStart w:id="163" w:name="page164"/>
    <w:bookmarkEnd w:id="163"/>
    <w:p>
      <w:pPr>
        <w:ind w:left="424" w:right="900" w:hanging="424"/>
        <w:spacing w:after="0" w:line="277" w:lineRule="auto"/>
        <w:tabs>
          <w:tab w:leader="none" w:pos="4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Section 1.13 (Definition of INFINEON LICENSED PRODUCTS) of the AGREEMENT the words [***] shall be deleted. The new Section 1.13 thus reads:</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“1.13 “INFINEON LICENSED PRODUCTS” shall mean [***].</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Section 1.18 (a) (Definition of MAGNACHIP LICENSED PATENTS) of the AGREEMENT the words “</w:t>
      </w:r>
      <w:r>
        <w:rPr>
          <w:rFonts w:ascii="Arial" w:cs="Arial" w:eastAsia="Arial" w:hAnsi="Arial"/>
          <w:sz w:val="18"/>
          <w:szCs w:val="18"/>
          <w:i w:val="1"/>
          <w:iCs w:val="1"/>
          <w:color w:val="auto"/>
        </w:rPr>
        <w:t>December 31, 2020</w:t>
      </w:r>
      <w:r>
        <w:rPr>
          <w:rFonts w:ascii="Arial" w:cs="Arial" w:eastAsia="Arial" w:hAnsi="Arial"/>
          <w:sz w:val="18"/>
          <w:szCs w:val="18"/>
          <w:color w:val="auto"/>
        </w:rPr>
        <w:t>” shall be replaced by “</w:t>
      </w:r>
      <w:r>
        <w:rPr>
          <w:rFonts w:ascii="Arial" w:cs="Arial" w:eastAsia="Arial" w:hAnsi="Arial"/>
          <w:sz w:val="18"/>
          <w:szCs w:val="18"/>
          <w:i w:val="1"/>
          <w:iCs w:val="1"/>
          <w:color w:val="auto"/>
        </w:rPr>
        <w:t>December 31, 2026</w:t>
      </w:r>
      <w:r>
        <w:rPr>
          <w:rFonts w:ascii="Arial" w:cs="Arial" w:eastAsia="Arial" w:hAnsi="Arial"/>
          <w:sz w:val="18"/>
          <w:szCs w:val="18"/>
          <w:color w:val="auto"/>
        </w:rPr>
        <w:t>”. The new Section 1.18 (a) thus reads:</w:t>
      </w:r>
    </w:p>
    <w:p>
      <w:pPr>
        <w:sectPr>
          <w:pgSz w:w="11900" w:h="16838" w:orient="portrait"/>
          <w:cols w:equalWidth="0" w:num="1">
            <w:col w:w="11004"/>
          </w:cols>
          <w:pgMar w:left="436" w:top="274" w:right="459" w:bottom="1440" w:gutter="0" w:footer="0" w:header="0"/>
        </w:sectPr>
      </w:pPr>
    </w:p>
    <w:p>
      <w:pPr>
        <w:spacing w:after="0" w:line="7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classes or types of patents, utility models and design patents, including applications therefor, in all countries of the world, which are issued or published, or filed prior to (and including) December 31, 2026, including continuations, divisionals, reissues and other pre-grant and post-grant applications and issuances and foreign counterparts thereof; and”</w:t>
      </w:r>
    </w:p>
    <w:p>
      <w:pPr>
        <w:spacing w:after="0" w:line="89" w:lineRule="exact"/>
        <w:rPr>
          <w:sz w:val="20"/>
          <w:szCs w:val="20"/>
          <w:color w:val="auto"/>
        </w:rPr>
      </w:pPr>
    </w:p>
    <w:p>
      <w:pPr>
        <w:sectPr>
          <w:pgSz w:w="11900" w:h="16838" w:orient="portrait"/>
          <w:cols w:equalWidth="0" w:num="2">
            <w:col w:w="704" w:space="260"/>
            <w:col w:w="10040"/>
          </w:cols>
          <w:pgMar w:left="436" w:top="274" w:right="459" w:bottom="1440" w:gutter="0" w:footer="0" w:header="0"/>
          <w:type w:val="continuous"/>
        </w:sectPr>
      </w:pPr>
    </w:p>
    <w:p>
      <w:pPr>
        <w:ind w:left="424" w:right="280" w:hanging="424"/>
        <w:spacing w:after="0" w:line="277" w:lineRule="auto"/>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Section 1.19 (Definition of MAGNACHIP LICENSED PRODUCTS) of the AGREEMENT the words “</w:t>
      </w:r>
      <w:r>
        <w:rPr>
          <w:rFonts w:ascii="Arial" w:cs="Arial" w:eastAsia="Arial" w:hAnsi="Arial"/>
          <w:sz w:val="18"/>
          <w:szCs w:val="18"/>
          <w:i w:val="1"/>
          <w:iCs w:val="1"/>
          <w:color w:val="auto"/>
        </w:rPr>
        <w:t>in each case first sold at production</w:t>
      </w:r>
      <w:r>
        <w:rPr>
          <w:rFonts w:ascii="Arial" w:cs="Arial" w:eastAsia="Arial" w:hAnsi="Arial"/>
          <w:sz w:val="18"/>
          <w:szCs w:val="18"/>
          <w:color w:val="auto"/>
        </w:rPr>
        <w:t xml:space="preserve"> </w:t>
      </w:r>
      <w:r>
        <w:rPr>
          <w:rFonts w:ascii="Arial" w:cs="Arial" w:eastAsia="Arial" w:hAnsi="Arial"/>
          <w:sz w:val="18"/>
          <w:szCs w:val="18"/>
          <w:i w:val="1"/>
          <w:iCs w:val="1"/>
          <w:color w:val="auto"/>
        </w:rPr>
        <w:t>volume prior to (and including) December 31, 2020</w:t>
      </w:r>
      <w:r>
        <w:rPr>
          <w:rFonts w:ascii="Arial" w:cs="Arial" w:eastAsia="Arial" w:hAnsi="Arial"/>
          <w:sz w:val="18"/>
          <w:szCs w:val="18"/>
          <w:color w:val="auto"/>
        </w:rPr>
        <w:t>” shall be deleted. The new Section 1.19 thus reads:</w:t>
      </w:r>
    </w:p>
    <w:p>
      <w:pPr>
        <w:spacing w:after="0" w:line="62" w:lineRule="exact"/>
        <w:rPr>
          <w:rFonts w:ascii="Arial" w:cs="Arial" w:eastAsia="Arial" w:hAnsi="Arial"/>
          <w:sz w:val="18"/>
          <w:szCs w:val="18"/>
          <w:color w:val="auto"/>
        </w:rPr>
      </w:pPr>
    </w:p>
    <w:p>
      <w:pPr>
        <w:ind w:left="444" w:right="20"/>
        <w:spacing w:after="0" w:line="257" w:lineRule="auto"/>
        <w:rPr>
          <w:rFonts w:ascii="Arial" w:cs="Arial" w:eastAsia="Arial" w:hAnsi="Arial"/>
          <w:sz w:val="18"/>
          <w:szCs w:val="18"/>
          <w:color w:val="auto"/>
        </w:rPr>
      </w:pPr>
      <w:r>
        <w:rPr>
          <w:rFonts w:ascii="Arial" w:cs="Arial" w:eastAsia="Arial" w:hAnsi="Arial"/>
          <w:sz w:val="18"/>
          <w:szCs w:val="18"/>
          <w:color w:val="auto"/>
        </w:rPr>
        <w:t>“MAGNACHIP LICENSED PRODUCTS” shall mean any DISCRETE POWER MOSFET PRODUCTS with identification numbers or codes assigned thereto and any individual IGBT DISCRETE PRODUCTS with identification numbers or codes assigned thereto, which (i) are designed or developed by or for MAGNACHIP and/or any of its AFFILIATES (either solely or jointly with one or more THIRD PARTIES), or of which designs are licensed or acquired by MAGNACHIP and/or any of its AFFILIATES and (ii) if marketed, are marketed by MAGNACHIP and/or any of its AFFILIATES under its own name as its own product.”</w:t>
      </w:r>
    </w:p>
    <w:p>
      <w:pPr>
        <w:spacing w:after="0" w:line="93"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Section 1.25 (a) (Definition of RECIPIENT LICENSED PATENTS) of the AGREEMENT the words “</w:t>
      </w:r>
      <w:r>
        <w:rPr>
          <w:rFonts w:ascii="Arial" w:cs="Arial" w:eastAsia="Arial" w:hAnsi="Arial"/>
          <w:sz w:val="18"/>
          <w:szCs w:val="18"/>
          <w:i w:val="1"/>
          <w:iCs w:val="1"/>
          <w:color w:val="auto"/>
        </w:rPr>
        <w:t>December 31, 2020</w:t>
      </w:r>
      <w:r>
        <w:rPr>
          <w:rFonts w:ascii="Arial" w:cs="Arial" w:eastAsia="Arial" w:hAnsi="Arial"/>
          <w:sz w:val="18"/>
          <w:szCs w:val="18"/>
          <w:color w:val="auto"/>
        </w:rPr>
        <w:t>” shall be replaced by “</w:t>
      </w:r>
      <w:r>
        <w:rPr>
          <w:rFonts w:ascii="Arial" w:cs="Arial" w:eastAsia="Arial" w:hAnsi="Arial"/>
          <w:sz w:val="18"/>
          <w:szCs w:val="18"/>
          <w:i w:val="1"/>
          <w:iCs w:val="1"/>
          <w:color w:val="auto"/>
        </w:rPr>
        <w:t>December 31, 2026</w:t>
      </w:r>
      <w:r>
        <w:rPr>
          <w:rFonts w:ascii="Arial" w:cs="Arial" w:eastAsia="Arial" w:hAnsi="Arial"/>
          <w:sz w:val="18"/>
          <w:szCs w:val="18"/>
          <w:color w:val="auto"/>
        </w:rPr>
        <w:t>”. The new Section 1.25 (a) thus reads:</w:t>
      </w:r>
    </w:p>
    <w:p>
      <w:pPr>
        <w:spacing w:after="0" w:line="62" w:lineRule="exact"/>
        <w:rPr>
          <w:rFonts w:ascii="Arial" w:cs="Arial" w:eastAsia="Arial" w:hAnsi="Arial"/>
          <w:sz w:val="18"/>
          <w:szCs w:val="18"/>
          <w:color w:val="auto"/>
        </w:rPr>
      </w:pPr>
    </w:p>
    <w:p>
      <w:pPr>
        <w:jc w:val="both"/>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“(a) all classes or types of patents, utility models and design patents, including applications therefor, in all countries of the world, which are issued or published, or filed prior to (and including) December 31, 2026, including continuations, divisionals, reissues and other pre-grant and post-grant applications and issuances and foreign counterparts thereof; and”</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Section 1.27 (Definition of TERM) of the AGREEMENT shall be replaced in its entirety by the following wording: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Infineon Confidential</w:t>
      </w:r>
    </w:p>
    <w:p>
      <w:pPr>
        <w:sectPr>
          <w:pgSz w:w="11900" w:h="16838" w:orient="portrait"/>
          <w:cols w:equalWidth="0" w:num="1">
            <w:col w:w="11004"/>
          </w:cols>
          <w:pgMar w:left="436" w:top="274" w:right="459" w:bottom="1440" w:gutter="0" w:footer="0" w:header="0"/>
          <w:type w:val="continuous"/>
        </w:sectPr>
      </w:pPr>
    </w:p>
    <w:bookmarkStart w:id="164" w:name="page165"/>
    <w:bookmarkEnd w:id="164"/>
    <w:p>
      <w:pPr>
        <w:ind w:left="44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“1.27“TERM” shall comprise the period from June 15, 2017 to December 31, 2021 (“FIRST TERM”) as well as the period from January 1, 2022 to December 31, 2026 (“SECOND TERM”) and shall have the meaning ascribed to it in Section 5.1.”</w:t>
      </w:r>
    </w:p>
    <w:p>
      <w:pPr>
        <w:spacing w:after="0" w:line="76" w:lineRule="exact"/>
        <w:rPr>
          <w:sz w:val="20"/>
          <w:szCs w:val="20"/>
          <w:color w:val="auto"/>
        </w:rPr>
      </w:pPr>
    </w:p>
    <w:p>
      <w:pPr>
        <w:ind w:left="444" w:right="2100" w:hanging="444"/>
        <w:spacing w:after="0" w:line="375" w:lineRule="auto"/>
        <w:tabs>
          <w:tab w:leader="none" w:pos="43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Section 4.1.1 (Balancing Payments) of the AGREEMENT shall be replaced in its entirety by the following wording: “4.1.1 </w:t>
      </w:r>
      <w:r>
        <w:rPr>
          <w:rFonts w:ascii="Arial" w:cs="Arial" w:eastAsia="Arial" w:hAnsi="Arial"/>
          <w:sz w:val="18"/>
          <w:szCs w:val="18"/>
          <w:u w:val="single" w:color="auto"/>
          <w:color w:val="auto"/>
        </w:rPr>
        <w:t>Balancing Payments</w:t>
      </w:r>
    </w:p>
    <w:p>
      <w:pPr>
        <w:spacing w:after="0" w:line="1" w:lineRule="exact"/>
        <w:rPr>
          <w:rFonts w:ascii="Arial" w:cs="Arial" w:eastAsia="Arial" w:hAnsi="Arial"/>
          <w:sz w:val="18"/>
          <w:szCs w:val="18"/>
          <w:color w:val="auto"/>
        </w:rPr>
      </w:pPr>
    </w:p>
    <w:p>
      <w:pPr>
        <w:ind w:left="444" w:right="180"/>
        <w:spacing w:after="0" w:line="263" w:lineRule="auto"/>
        <w:rPr>
          <w:rFonts w:ascii="Arial" w:cs="Arial" w:eastAsia="Arial" w:hAnsi="Arial"/>
          <w:sz w:val="18"/>
          <w:szCs w:val="18"/>
          <w:color w:val="auto"/>
        </w:rPr>
      </w:pPr>
      <w:r>
        <w:rPr>
          <w:rFonts w:ascii="Arial" w:cs="Arial" w:eastAsia="Arial" w:hAnsi="Arial"/>
          <w:sz w:val="18"/>
          <w:szCs w:val="18"/>
          <w:color w:val="auto"/>
        </w:rPr>
        <w:t>In consideration for the license granted by each PARTY and its AFFILIATES pursuant to this AGREEMENT and the releases set forth in Section 3, MAGNACHIP has paid to INFINEON in accordance with the agreed upon payment schedule as set forth in Annex 1 a sum of [***] (collectively, the “BALANCING PAYMENTS”).</w:t>
      </w:r>
    </w:p>
    <w:p>
      <w:pPr>
        <w:spacing w:after="0" w:line="75" w:lineRule="exact"/>
        <w:rPr>
          <w:rFonts w:ascii="Arial" w:cs="Arial" w:eastAsia="Arial" w:hAnsi="Arial"/>
          <w:sz w:val="18"/>
          <w:szCs w:val="18"/>
          <w:color w:val="auto"/>
        </w:rPr>
      </w:pPr>
    </w:p>
    <w:p>
      <w:pPr>
        <w:ind w:left="444" w:right="200"/>
        <w:spacing w:after="0" w:line="263" w:lineRule="auto"/>
        <w:rPr>
          <w:rFonts w:ascii="Arial" w:cs="Arial" w:eastAsia="Arial" w:hAnsi="Arial"/>
          <w:sz w:val="18"/>
          <w:szCs w:val="18"/>
          <w:color w:val="auto"/>
        </w:rPr>
      </w:pPr>
      <w:r>
        <w:rPr>
          <w:rFonts w:ascii="Arial" w:cs="Arial" w:eastAsia="Arial" w:hAnsi="Arial"/>
          <w:sz w:val="18"/>
          <w:szCs w:val="18"/>
          <w:color w:val="auto"/>
        </w:rPr>
        <w:t>For each BALANCING PAYMENT installment as set forth in Annex 1 and Annex 2, INFINEON will issue a corresponding invoice, and payments shall be made not later than (i) fifteen (15) calendar days following the receipt by MAGNACHIP of the respective invoice or (ii) the respective due date, whichever is later.</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Within Section 4.3 of the AGREEMENT the bank account details shall be updated as follows:</w:t>
      </w:r>
    </w:p>
    <w:p>
      <w:pPr>
        <w:spacing w:after="0" w:line="252"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color w:val="auto"/>
        </w:rPr>
        <w:t>Account No.</w:t>
        <w:tab/>
        <w:t>[***]</w:t>
      </w:r>
    </w:p>
    <w:p>
      <w:pPr>
        <w:spacing w:after="0" w:line="9"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color w:val="auto"/>
        </w:rPr>
        <w:t>Swift Code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color w:val="auto"/>
        </w:rPr>
        <w:t>IBAN</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424" w:hanging="424"/>
        <w:spacing w:after="0"/>
        <w:tabs>
          <w:tab w:leader="none" w:pos="4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Section 5.1 (Term and Termination) of the AGREEMENT shall be replaced in its entirety by the following wording:</w:t>
      </w:r>
    </w:p>
    <w:p>
      <w:pPr>
        <w:spacing w:after="0" w:line="117" w:lineRule="exact"/>
        <w:rPr>
          <w:rFonts w:ascii="Arial" w:cs="Arial" w:eastAsia="Arial" w:hAnsi="Arial"/>
          <w:sz w:val="18"/>
          <w:szCs w:val="18"/>
          <w:color w:val="auto"/>
        </w:rPr>
      </w:pPr>
    </w:p>
    <w:p>
      <w:pPr>
        <w:ind w:left="444" w:right="12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“5.1 This AGREEMENT has become effective as of the EFFECTIVE DATE and initially was in effect until December 31, 2021 (“FIRST TERM”). The PARTIES have agreed to extend the term of this AGREEMENT from January 1, 2022 to December 31, 2026 (the “SECOND TERM”). Unless this AGREEMENT is terminated before the end of TERM pursuant to Section 5.2, 5.3 or 5.4, at the request of a PARTY the PARTIES shall in good faith, commence discussing a renewal at </w:t>
      </w:r>
      <w:r>
        <w:rPr>
          <w:rFonts w:ascii="Arial" w:cs="Arial" w:eastAsia="Arial" w:hAnsi="Arial"/>
          <w:sz w:val="17"/>
          <w:szCs w:val="17"/>
          <w:u w:val="single" w:color="auto"/>
          <w:color w:val="auto"/>
        </w:rPr>
        <w:t>least two (2) months</w:t>
      </w:r>
      <w:r>
        <w:rPr>
          <w:rFonts w:ascii="Arial" w:cs="Arial" w:eastAsia="Arial" w:hAnsi="Arial"/>
          <w:sz w:val="17"/>
          <w:szCs w:val="17"/>
          <w:color w:val="auto"/>
        </w:rPr>
        <w:t xml:space="preserve"> prior to the end of TERM, including the consideration for renewal and the adjustment of the scope of LICENSED PRODUCTS under this AGREEMENT.”</w:t>
      </w:r>
    </w:p>
    <w:p>
      <w:pPr>
        <w:spacing w:after="0" w:line="81"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Within Section 6.2 (A PARTY being acquired by a THIRD PARTY) of the AGREEMENT the reference to BALANCING PAYMENT NO. 1 and BALANCING PAYMENT NO. 2 shall be deleted and the respective two paragraphs shall be amended as mentioned below:</w:t>
      </w:r>
    </w:p>
    <w:p>
      <w:pPr>
        <w:spacing w:after="0" w:line="38"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(a) The paragraph:</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Infineon Confidential</w:t>
      </w:r>
    </w:p>
    <w:p>
      <w:pPr>
        <w:sectPr>
          <w:pgSz w:w="11900" w:h="16838" w:orient="portrait"/>
          <w:cols w:equalWidth="0" w:num="1">
            <w:col w:w="10904"/>
          </w:cols>
          <w:pgMar w:left="436" w:top="274" w:right="559" w:bottom="1440" w:gutter="0" w:footer="0" w:header="0"/>
        </w:sectPr>
      </w:pPr>
    </w:p>
    <w:bookmarkStart w:id="165" w:name="page166"/>
    <w:bookmarkEnd w:id="165"/>
    <w:p>
      <w:pPr>
        <w:ind w:left="44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INFINEON terminates this AGREEMENT pursuant to the foregoing sentence, then BALANCING PAYMENT NO. 1, and BALANCING PAYMENT NO. 2, to the extent not already paid, and any other BALANCING PAYMENT that is due but unpaid, shall immediately become due and payable in full.”</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shall be replaced by the following wording:</w:t>
      </w:r>
    </w:p>
    <w:p>
      <w:pPr>
        <w:spacing w:after="0" w:line="117" w:lineRule="exact"/>
        <w:rPr>
          <w:sz w:val="20"/>
          <w:szCs w:val="20"/>
          <w:color w:val="auto"/>
        </w:rPr>
      </w:pPr>
    </w:p>
    <w:p>
      <w:pPr>
        <w:ind w:left="444" w:right="320"/>
        <w:spacing w:after="0" w:line="277" w:lineRule="auto"/>
        <w:rPr>
          <w:sz w:val="20"/>
          <w:szCs w:val="20"/>
          <w:color w:val="auto"/>
        </w:rPr>
      </w:pPr>
      <w:r>
        <w:rPr>
          <w:rFonts w:ascii="Arial" w:cs="Arial" w:eastAsia="Arial" w:hAnsi="Arial"/>
          <w:sz w:val="18"/>
          <w:szCs w:val="18"/>
          <w:color w:val="auto"/>
        </w:rPr>
        <w:t>“If INFINEON terminates this AGREEMENT pursuant to the foregoing sentence, then any BALANCING PAYMENT that is due but unpaid, shall immediately become due and payable in full.”</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The paragraph:</w:t>
      </w:r>
    </w:p>
    <w:p>
      <w:pPr>
        <w:spacing w:after="0" w:line="117" w:lineRule="exact"/>
        <w:rPr>
          <w:sz w:val="20"/>
          <w:szCs w:val="20"/>
          <w:color w:val="auto"/>
        </w:rPr>
      </w:pPr>
    </w:p>
    <w:p>
      <w:pPr>
        <w:ind w:left="444" w:right="20"/>
        <w:spacing w:after="0" w:line="254" w:lineRule="auto"/>
        <w:rPr>
          <w:sz w:val="20"/>
          <w:szCs w:val="20"/>
          <w:color w:val="auto"/>
        </w:rPr>
      </w:pPr>
      <w:r>
        <w:rPr>
          <w:rFonts w:ascii="Arial" w:cs="Arial" w:eastAsia="Arial" w:hAnsi="Arial"/>
          <w:sz w:val="18"/>
          <w:szCs w:val="18"/>
          <w:color w:val="auto"/>
        </w:rPr>
        <w:t>“Notwithstanding the foregoing, except for BALANCING PAYMENT NO. 1, and BALANCING PAYMENT NO. 2, if INFINEON terminates this AGREEMENT pursuant to this Section 6.2, then any BALANCING PAYMENT, which had already been paid for the year during which such termination occurs, shall be subject to a pro rata refund. The amount of such refund shall be calculated by multiplying the amount of the applicable BALANCING PAYMENT by a fraction whose numerator is the number of calendar days remaining in the calendar year and whose denominator is 365. INFINEON shall pay such refund within thirty (30) calendar days after receipt of a proper invoice issued upon termination of this AGREEMENT pursuant to this Section 6.2. As an example, if this AGREEMENT is terminated after BALANCING PAYMENT NO. 4 is made and there are two hundred (200) calendar days remaining in the calendar year 2019, then INFINEON shall pay a refund of [***] to MAGNACHIP.”</w:t>
      </w:r>
    </w:p>
    <w:p>
      <w:pPr>
        <w:spacing w:after="0" w:line="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shall be replaced by the following wording:</w:t>
      </w:r>
    </w:p>
    <w:p>
      <w:pPr>
        <w:spacing w:after="0" w:line="117"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“Notwithstanding the foregoing, if INFINEON terminates this AGREEMENT pursuant to this Section 6.2, then any BALANCING PAYMENT, which had already been paid for the year during which such termination occurs, shall be subject to a pro rata refund. The amount of such refund shall be calculated by multiplying the amount of the applicable BALANCING PAYMENT by a fraction whose numerator is the number of calendar days remaining in the calendar year and whose denominator is 365. INFINEON shall pay such refund within thirty (30) calendar days after receipt of a proper invoice issued upon termination of this AGREEMENT pursuant to this Section 6.2. As an example, if this AGREEMENT is terminated after BALANCING PAYMENT NO. 4 is made and there are two hundred (200) calendar days remaining in the calendar year 2019, then INFINEON shall pay a refund of [***] to MAGNACHIP.”</w:t>
      </w:r>
    </w:p>
    <w:p>
      <w:pPr>
        <w:spacing w:after="0" w:line="83" w:lineRule="exact"/>
        <w:rPr>
          <w:sz w:val="20"/>
          <w:szCs w:val="20"/>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Within Section 7.3 of the AGREEMENT INFINEON´s and MAGNACHIP´s addresses shall be updated as follows: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Infineon Confidential</w:t>
      </w:r>
    </w:p>
    <w:p>
      <w:pPr>
        <w:sectPr>
          <w:pgSz w:w="11900" w:h="16838" w:orient="portrait"/>
          <w:cols w:equalWidth="0" w:num="1">
            <w:col w:w="10964"/>
          </w:cols>
          <w:pgMar w:left="436" w:top="274" w:right="499" w:bottom="1440" w:gutter="0" w:footer="0" w:header="0"/>
        </w:sectPr>
      </w:pPr>
    </w:p>
    <w:bookmarkStart w:id="166" w:name="page167"/>
    <w:bookmarkEnd w:id="16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INFINEON:</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Senior Vice President Intellectual Property Infineon Technologies AG</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Infineon Technologies AG</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For MAGNACHIP</w:t>
      </w:r>
      <w:r>
        <w:rPr>
          <w:rFonts w:ascii="Arial" w:cs="Arial" w:eastAsia="Arial" w:hAnsi="Arial"/>
          <w:sz w:val="18"/>
          <w:szCs w:val="18"/>
          <w:color w:val="auto"/>
        </w:rPr>
        <w:t>:</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Magnachip Semiconductor, Ltd.</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w:t>
      </w:r>
    </w:p>
    <w:p>
      <w:pPr>
        <w:spacing w:after="0" w:line="116" w:lineRule="exact"/>
        <w:rPr>
          <w:sz w:val="20"/>
          <w:szCs w:val="20"/>
          <w:color w:val="auto"/>
        </w:rPr>
      </w:pPr>
    </w:p>
    <w:p>
      <w:pPr>
        <w:ind w:left="444" w:right="940" w:hanging="444"/>
        <w:spacing w:after="0" w:line="402" w:lineRule="auto"/>
        <w:tabs>
          <w:tab w:leader="none" w:pos="4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Another Annex shall be added to the AGREEMENT as ANNEX 2 and shall be considered as a substantial part of the AGREEMENT. ANNEX 2 shall have the following contents:</w:t>
      </w:r>
    </w:p>
    <w:p>
      <w:pPr>
        <w:spacing w:after="0" w:line="6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24" w:hanging="424"/>
        <w:spacing w:after="0"/>
        <w:tabs>
          <w:tab w:leader="none" w:pos="42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Except as modified by this FIRST AMENDMENT, all other terms and conditions of the AGREEMENT shall remain in full force and effect.</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Unless otherwise defined herein, all capitalized terms set forth herein shall have the same meanings attributed to such terms in the AGREEMENT.</w:t>
      </w:r>
    </w:p>
    <w:p>
      <w:pPr>
        <w:spacing w:after="0" w:line="248" w:lineRule="exact"/>
        <w:rPr>
          <w:sz w:val="20"/>
          <w:szCs w:val="20"/>
          <w:color w:val="auto"/>
        </w:rPr>
      </w:pPr>
    </w:p>
    <w:p>
      <w:pPr>
        <w:ind w:left="4" w:right="920"/>
        <w:spacing w:after="0" w:line="277" w:lineRule="auto"/>
        <w:rPr>
          <w:sz w:val="20"/>
          <w:szCs w:val="20"/>
          <w:color w:val="auto"/>
        </w:rPr>
      </w:pPr>
      <w:r>
        <w:rPr>
          <w:rFonts w:ascii="Arial" w:cs="Arial" w:eastAsia="Arial" w:hAnsi="Arial"/>
          <w:sz w:val="18"/>
          <w:szCs w:val="18"/>
          <w:color w:val="auto"/>
        </w:rPr>
        <w:t>IN WITNESS WHEREOF, the PARTIES hereto have caused this FIRST AMENDMENT to be executed by their respective duly authorized representatives: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Infineon Confidential</w:t>
      </w:r>
    </w:p>
    <w:p>
      <w:pPr>
        <w:sectPr>
          <w:pgSz w:w="11900" w:h="16838" w:orient="portrait"/>
          <w:cols w:equalWidth="0" w:num="1">
            <w:col w:w="10984"/>
          </w:cols>
          <w:pgMar w:left="436" w:top="274" w:right="4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Magnachip Semiconductor, Ltd.</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Infineon Technologies AG</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May 18, 2022</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 May 20, 2022</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S. Kim</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Theodore S. Kim</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CCO &amp; GC</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SVP Intellectual Property</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Ho Park</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Chan Ho Park</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GM of Power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Senior Director – Corporate Legal Counsel</w:t>
            </w:r>
          </w:p>
        </w:tc>
      </w:tr>
      <w:tr>
        <w:trPr>
          <w:trHeight w:val="364"/>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6</w:t>
            </w:r>
          </w:p>
        </w:tc>
        <w:tc>
          <w:tcPr>
            <w:tcW w:w="452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MagnaChip/ Infineon Confidential</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80" w:firstLine="436"/>
        <w:spacing w:after="0" w:line="342" w:lineRule="auto"/>
        <w:tabs>
          <w:tab w:leader="none" w:pos="6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Shin Young Park, certify that:</w:t>
      </w:r>
    </w:p>
    <w:p>
      <w:pPr>
        <w:spacing w:after="0" w:line="117" w:lineRule="exact"/>
        <w:rPr>
          <w:sz w:val="20"/>
          <w:szCs w:val="20"/>
          <w:color w:val="auto"/>
        </w:rPr>
      </w:pPr>
    </w:p>
    <w:p>
      <w:pPr>
        <w:ind w:left="620" w:hanging="184"/>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80" w:firstLine="436"/>
        <w:spacing w:after="0" w:line="342" w:lineRule="auto"/>
        <w:tabs>
          <w:tab w:leader="none" w:pos="6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Shin Young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020"/>
          </w:cols>
          <w:pgMar w:left="440" w:top="121" w:right="4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60" w:firstLine="436"/>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2022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November 8, 2022</w:t>
            </w:r>
          </w:p>
        </w:tc>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Young-Joon Kim</w:t>
            </w:r>
          </w:p>
        </w:tc>
      </w:tr>
      <w:tr>
        <w:trPr>
          <w:trHeight w:val="195"/>
        </w:trPr>
        <w:tc>
          <w:tcPr>
            <w:tcW w:w="5700" w:type="dxa"/>
            <w:vAlign w:val="bottom"/>
          </w:tcPr>
          <w:p>
            <w:pPr>
              <w:spacing w:after="0"/>
              <w:rPr>
                <w:sz w:val="16"/>
                <w:szCs w:val="16"/>
                <w:color w:val="auto"/>
              </w:rPr>
            </w:pPr>
          </w:p>
        </w:tc>
        <w:tc>
          <w:tcPr>
            <w:tcW w:w="5320" w:type="dxa"/>
            <w:vAlign w:val="bottom"/>
          </w:tcPr>
          <w:p>
            <w:pPr>
              <w:ind w:left="140"/>
              <w:spacing w:after="0" w:line="195" w:lineRule="exact"/>
              <w:rPr>
                <w:sz w:val="20"/>
                <w:szCs w:val="20"/>
                <w:color w:val="auto"/>
              </w:rPr>
            </w:pPr>
            <w:r>
              <w:rPr>
                <w:rFonts w:ascii="Arial" w:cs="Arial" w:eastAsia="Arial" w:hAnsi="Arial"/>
                <w:sz w:val="18"/>
                <w:szCs w:val="18"/>
                <w:color w:val="auto"/>
              </w:rPr>
              <w:t>Young-Joon Kim</w:t>
            </w:r>
          </w:p>
        </w:tc>
      </w:tr>
      <w:tr>
        <w:trPr>
          <w:trHeight w:val="216"/>
        </w:trPr>
        <w:tc>
          <w:tcPr>
            <w:tcW w:w="57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30"/>
        </w:trPr>
        <w:tc>
          <w:tcPr>
            <w:tcW w:w="570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60" w:firstLine="436"/>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2022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November 8, 2022</w:t>
            </w:r>
          </w:p>
        </w:tc>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Shin Young Park</w:t>
            </w:r>
          </w:p>
        </w:tc>
      </w:tr>
      <w:tr>
        <w:trPr>
          <w:trHeight w:val="195"/>
        </w:trPr>
        <w:tc>
          <w:tcPr>
            <w:tcW w:w="5700" w:type="dxa"/>
            <w:vAlign w:val="bottom"/>
          </w:tcPr>
          <w:p>
            <w:pPr>
              <w:spacing w:after="0"/>
              <w:rPr>
                <w:sz w:val="16"/>
                <w:szCs w:val="16"/>
                <w:color w:val="auto"/>
              </w:rPr>
            </w:pPr>
          </w:p>
        </w:tc>
        <w:tc>
          <w:tcPr>
            <w:tcW w:w="5320" w:type="dxa"/>
            <w:vAlign w:val="bottom"/>
          </w:tcPr>
          <w:p>
            <w:pPr>
              <w:ind w:left="140"/>
              <w:spacing w:after="0" w:line="195" w:lineRule="exact"/>
              <w:rPr>
                <w:sz w:val="20"/>
                <w:szCs w:val="20"/>
                <w:color w:val="auto"/>
              </w:rPr>
            </w:pPr>
            <w:r>
              <w:rPr>
                <w:rFonts w:ascii="Arial" w:cs="Arial" w:eastAsia="Arial" w:hAnsi="Arial"/>
                <w:sz w:val="18"/>
                <w:szCs w:val="18"/>
                <w:color w:val="auto"/>
              </w:rPr>
              <w:t>Shin Young Park</w:t>
            </w:r>
          </w:p>
        </w:tc>
      </w:tr>
      <w:tr>
        <w:trPr>
          <w:trHeight w:val="216"/>
        </w:trPr>
        <w:tc>
          <w:tcPr>
            <w:tcW w:w="57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570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15"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endash "/>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1)"/>
      <w:numFmt w:val="lowerLetter"/>
      <w:start w:val="1"/>
    </w:lvl>
    <w:lvl w:ilvl="1">
      <w:lvlJc w:val="left"/>
      <w:lvlText w:val="•"/>
      <w:numFmt w:val="bullet"/>
      <w:start w:val="1"/>
    </w:lvl>
  </w:abstractNum>
  <w:abstractNum w:abstractNumId="6">
    <w:nsid w:val="4C04A8AF"/>
    <w:multiLevelType w:val="hybridMultilevel"/>
    <w:lvl w:ilvl="0">
      <w:lvlJc w:val="left"/>
      <w:lvlText w:val="(%1)"/>
      <w:numFmt w:val="lowerLetter"/>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1)"/>
      <w:numFmt w:val="lowerLetter"/>
      <w:start w:val="1"/>
    </w:lvl>
  </w:abstractNum>
  <w:abstractNum w:abstractNumId="9">
    <w:nsid w:val="3222E7CD"/>
    <w:multiLevelType w:val="hybridMultilevel"/>
    <w:lvl w:ilvl="0">
      <w:lvlJc w:val="left"/>
      <w:lvlText w:val="(%1)"/>
      <w:numFmt w:val="lowerLetter"/>
      <w:start w:val="3"/>
    </w:lvl>
    <w:lvl w:ilvl="1">
      <w:lvlJc w:val="left"/>
      <w:lvlText w:val="•"/>
      <w:numFmt w:val="bullet"/>
      <w:start w:val="1"/>
    </w:lvl>
  </w:abstractNum>
  <w:abstractNum w:abstractNumId="10">
    <w:nsid w:val="74DE0EE3"/>
    <w:multiLevelType w:val="hybridMultilevel"/>
    <w:lvl w:ilvl="0">
      <w:lvlJc w:val="left"/>
      <w:lvlText w:val="(%1)"/>
      <w:numFmt w:val="decimal"/>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1."/>
      <w:numFmt w:val="decimal"/>
      <w:start w:val="1"/>
    </w:lvl>
  </w:abstractNum>
  <w:abstractNum w:abstractNumId="13">
    <w:nsid w:val="46B7D447"/>
    <w:multiLevelType w:val="hybridMultilevel"/>
    <w:lvl w:ilvl="0">
      <w:lvlJc w:val="left"/>
      <w:lvlText w:val="(%1)"/>
      <w:numFmt w:val="lowerLetter"/>
      <w:start w:val="1"/>
    </w:lvl>
  </w:abstractNum>
  <w:abstractNum w:abstractNumId="14">
    <w:nsid w:val="4A2AC315"/>
    <w:multiLevelType w:val="hybridMultilevel"/>
    <w:lvl w:ilvl="0">
      <w:lvlJc w:val="left"/>
      <w:lvlText w:val="%1."/>
      <w:numFmt w:val="decimal"/>
      <w:start w:val="2"/>
    </w:lvl>
  </w:abstractNum>
  <w:abstractNum w:abstractNumId="15">
    <w:nsid w:val="39EE015C"/>
    <w:multiLevelType w:val="hybridMultilevel"/>
    <w:lvl w:ilvl="0">
      <w:lvlJc w:val="left"/>
      <w:lvlText w:val="%1."/>
      <w:numFmt w:val="decimal"/>
      <w:start w:val="3"/>
    </w:lvl>
  </w:abstractNum>
  <w:abstractNum w:abstractNumId="16">
    <w:nsid w:val="57FC4FBB"/>
    <w:multiLevelType w:val="hybridMultilevel"/>
    <w:lvl w:ilvl="0">
      <w:lvlJc w:val="left"/>
      <w:lvlText w:val="%1."/>
      <w:numFmt w:val="decimal"/>
      <w:start w:val="4"/>
    </w:lvl>
  </w:abstractNum>
  <w:abstractNum w:abstractNumId="17">
    <w:nsid w:val="CC1016F"/>
    <w:multiLevelType w:val="hybridMultilevel"/>
    <w:lvl w:ilvl="0">
      <w:lvlJc w:val="left"/>
      <w:lvlText w:val="%1."/>
      <w:numFmt w:val="decimal"/>
      <w:start w:val="5"/>
    </w:lvl>
  </w:abstractNum>
  <w:abstractNum w:abstractNumId="18">
    <w:nsid w:val="43F18422"/>
    <w:multiLevelType w:val="hybridMultilevel"/>
    <w:lvl w:ilvl="0">
      <w:lvlJc w:val="left"/>
      <w:lvlText w:val="%1."/>
      <w:numFmt w:val="decimal"/>
      <w:start w:val="6"/>
    </w:lvl>
  </w:abstractNum>
  <w:abstractNum w:abstractNumId="19">
    <w:nsid w:val="60EF0119"/>
    <w:multiLevelType w:val="hybridMultilevel"/>
    <w:lvl w:ilvl="0">
      <w:lvlJc w:val="left"/>
      <w:lvlText w:val="%1."/>
      <w:numFmt w:val="decimal"/>
      <w:start w:val="7"/>
    </w:lvl>
  </w:abstractNum>
  <w:abstractNum w:abstractNumId="20">
    <w:nsid w:val="26F324BA"/>
    <w:multiLevelType w:val="hybridMultilevel"/>
    <w:lvl w:ilvl="0">
      <w:lvlJc w:val="left"/>
      <w:lvlText w:val="(%1)"/>
      <w:numFmt w:val="lowerLetter"/>
      <w:start w:val="1"/>
    </w:lvl>
  </w:abstractNum>
  <w:abstractNum w:abstractNumId="21">
    <w:nsid w:val="7F01579B"/>
    <w:multiLevelType w:val="hybridMultilevel"/>
    <w:lvl w:ilvl="0">
      <w:lvlJc w:val="left"/>
      <w:lvlText w:val="%1."/>
      <w:numFmt w:val="decimal"/>
      <w:start w:val="8"/>
    </w:lvl>
  </w:abstractNum>
  <w:abstractNum w:abstractNumId="22">
    <w:nsid w:val="49DA307D"/>
    <w:multiLevelType w:val="hybridMultilevel"/>
    <w:lvl w:ilvl="0">
      <w:lvlJc w:val="left"/>
      <w:lvlText w:val="%1."/>
      <w:numFmt w:val="decimal"/>
      <w:start w:val="9"/>
    </w:lvl>
  </w:abstractNum>
  <w:abstractNum w:abstractNumId="23">
    <w:nsid w:val="7055A5F5"/>
    <w:multiLevelType w:val="hybridMultilevel"/>
    <w:lvl w:ilvl="0">
      <w:lvlJc w:val="left"/>
      <w:lvlText w:val="%1."/>
      <w:numFmt w:val="decimal"/>
      <w:start w:val="10"/>
    </w:lvl>
  </w:abstractNum>
  <w:abstractNum w:abstractNumId="24">
    <w:nsid w:val="5FB8370B"/>
    <w:multiLevelType w:val="hybridMultilevel"/>
    <w:lvl w:ilvl="0">
      <w:lvlJc w:val="left"/>
      <w:lvlText w:val="%1."/>
      <w:numFmt w:val="decimal"/>
      <w:start w:val="11"/>
    </w:lvl>
  </w:abstractNum>
  <w:abstractNum w:abstractNumId="25">
    <w:nsid w:val="50801EE1"/>
    <w:multiLevelType w:val="hybridMultilevel"/>
    <w:lvl w:ilvl="0">
      <w:lvlJc w:val="left"/>
      <w:lvlText w:val="%1."/>
      <w:numFmt w:val="decimal"/>
      <w:start w:val="12"/>
    </w:lvl>
  </w:abstractNum>
  <w:abstractNum w:abstractNumId="26">
    <w:nsid w:val="488AC1A"/>
    <w:multiLevelType w:val="hybridMultilevel"/>
    <w:lvl w:ilvl="0">
      <w:lvlJc w:val="left"/>
      <w:lvlText w:val="%1."/>
      <w:numFmt w:val="decimal"/>
      <w:start w:val="13"/>
    </w:lvl>
  </w:abstractNum>
  <w:abstractNum w:abstractNumId="27">
    <w:nsid w:val="5FB8011C"/>
    <w:multiLevelType w:val="hybridMultilevel"/>
    <w:lvl w:ilvl="0">
      <w:lvlJc w:val="left"/>
      <w:lvlText w:val="(%1)"/>
      <w:numFmt w:val="lowerLetter"/>
      <w:start w:val="1"/>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1)"/>
      <w:numFmt w:val="lowerLetter"/>
      <w:start w:val="1"/>
    </w:lvl>
  </w:abstractNum>
  <w:abstractNum w:abstractNumId="30">
    <w:nsid w:val="6FC75AF8"/>
    <w:multiLevelType w:val="hybridMultilevel"/>
    <w:lvl w:ilvl="0">
      <w:lvlJc w:val="left"/>
      <w:lvlText w:val="%1."/>
      <w:numFmt w:val="decimal"/>
      <w:start w:val="2"/>
    </w:lvl>
  </w:abstractNum>
  <w:abstractNum w:abstractNumId="31">
    <w:nsid w:val="6A5F7029"/>
    <w:multiLevelType w:val="hybridMultilevel"/>
    <w:lvl w:ilvl="0">
      <w:lvlJc w:val="left"/>
      <w:lvlText w:val="%1"/>
      <w:numFmt w:val="decimal"/>
      <w:start w:val="1"/>
    </w:lvl>
    <w:lvl w:ilvl="1">
      <w:lvlJc w:val="left"/>
      <w:lvlText w:val="(%2)"/>
      <w:numFmt w:val="lowerLetter"/>
      <w:start w:val="1"/>
    </w:lvl>
  </w:abstractNum>
  <w:abstractNum w:abstractNumId="32">
    <w:nsid w:val="7D5E18F8"/>
    <w:multiLevelType w:val="hybridMultilevel"/>
    <w:lvl w:ilvl="0">
      <w:lvlJc w:val="left"/>
      <w:lvlText w:val="(%1)"/>
      <w:numFmt w:val="decimal"/>
      <w:start w:val="1"/>
    </w:lvl>
    <w:lvl w:ilvl="1">
      <w:lvlJc w:val="left"/>
      <w:lvlText w:val="(%2)"/>
      <w:numFmt w:val="lowerLetter"/>
      <w:start w:val="3"/>
    </w:lvl>
  </w:abstractNum>
  <w:abstractNum w:abstractNumId="33">
    <w:nsid w:val="5F3534A4"/>
    <w:multiLevelType w:val="hybridMultilevel"/>
    <w:lvl w:ilvl="0">
      <w:lvlJc w:val="left"/>
      <w:lvlText w:val="(%1)"/>
      <w:numFmt w:val="lowerLetter"/>
      <w:start w:val="8"/>
    </w:lvl>
  </w:abstractNum>
  <w:abstractNum w:abstractNumId="34">
    <w:nsid w:val="73A1821B"/>
    <w:multiLevelType w:val="hybridMultilevel"/>
    <w:lvl w:ilvl="0">
      <w:lvlJc w:val="left"/>
      <w:lvlText w:val="%1"/>
      <w:numFmt w:val="decimal"/>
      <w:start w:val="1"/>
    </w:lvl>
    <w:lvl w:ilvl="1">
      <w:lvlJc w:val="left"/>
      <w:lvlText w:val="(%2)"/>
      <w:numFmt w:val="upperLetter"/>
      <w:start w:val="3"/>
    </w:lvl>
  </w:abstractNum>
  <w:abstractNum w:abstractNumId="35">
    <w:nsid w:val="7DE67713"/>
    <w:multiLevelType w:val="hybridMultilevel"/>
    <w:lvl w:ilvl="0">
      <w:lvlJc w:val="left"/>
      <w:lvlText w:val="%1."/>
      <w:numFmt w:val="decimal"/>
      <w:start w:val="3"/>
    </w:lvl>
    <w:lvl w:ilvl="1">
      <w:lvlJc w:val="left"/>
      <w:lvlText w:val="%2"/>
      <w:numFmt w:val="upperLetter"/>
      <w:start w:val="1"/>
    </w:lvl>
  </w:abstractNum>
  <w:abstractNum w:abstractNumId="36">
    <w:nsid w:val="555C55B5"/>
    <w:multiLevelType w:val="hybridMultilevel"/>
    <w:lvl w:ilvl="0">
      <w:lvlJc w:val="left"/>
      <w:lvlText w:val="%1."/>
      <w:numFmt w:val="decimal"/>
      <w:start w:val="4"/>
    </w:lvl>
  </w:abstractNum>
  <w:abstractNum w:abstractNumId="37">
    <w:nsid w:val="3FA62ACA"/>
    <w:multiLevelType w:val="hybridMultilevel"/>
    <w:lvl w:ilvl="0">
      <w:lvlJc w:val="left"/>
      <w:lvlText w:val="%1."/>
      <w:numFmt w:val="decimal"/>
      <w:start w:val="5"/>
    </w:lvl>
  </w:abstractNum>
  <w:abstractNum w:abstractNumId="38">
    <w:nsid w:val="14FCE74E"/>
    <w:multiLevelType w:val="hybridMultilevel"/>
    <w:lvl w:ilvl="0">
      <w:lvlJc w:val="left"/>
      <w:lvlText w:val="%1."/>
      <w:numFmt w:val="decimal"/>
      <w:start w:val="6"/>
    </w:lvl>
  </w:abstractNum>
  <w:abstractNum w:abstractNumId="39">
    <w:nsid w:val="6A3DD3E8"/>
    <w:multiLevelType w:val="hybridMultilevel"/>
    <w:lvl w:ilvl="0">
      <w:lvlJc w:val="left"/>
      <w:lvlText w:val="%1."/>
      <w:numFmt w:val="decimal"/>
      <w:start w:val="7"/>
    </w:lvl>
  </w:abstractNum>
  <w:abstractNum w:abstractNumId="40">
    <w:nsid w:val="71C91298"/>
    <w:multiLevelType w:val="hybridMultilevel"/>
    <w:lvl w:ilvl="0">
      <w:lvlJc w:val="left"/>
      <w:lvlText w:val="%1."/>
      <w:numFmt w:val="decimal"/>
      <w:start w:val="8"/>
    </w:lvl>
  </w:abstractNum>
  <w:abstractNum w:abstractNumId="41">
    <w:nsid w:val="9DAF632"/>
    <w:multiLevelType w:val="hybridMultilevel"/>
    <w:lvl w:ilvl="0">
      <w:lvlJc w:val="left"/>
      <w:lvlText w:val="%1."/>
      <w:numFmt w:val="decimal"/>
      <w:start w:val="9"/>
    </w:lvl>
  </w:abstractNum>
  <w:abstractNum w:abstractNumId="42">
    <w:nsid w:val="53299938"/>
    <w:multiLevelType w:val="hybridMultilevel"/>
    <w:lvl w:ilvl="0">
      <w:lvlJc w:val="left"/>
      <w:lvlText w:val="%1."/>
      <w:numFmt w:val="decimal"/>
      <w:start w:val="10"/>
    </w:lvl>
  </w:abstractNum>
  <w:abstractNum w:abstractNumId="43">
    <w:nsid w:val="1FBFE8E0"/>
    <w:multiLevelType w:val="hybridMultilevel"/>
    <w:lvl w:ilvl="0">
      <w:lvlJc w:val="left"/>
      <w:lvlText w:val="%1."/>
      <w:numFmt w:val="decimal"/>
      <w:start w:val="11"/>
    </w:lvl>
  </w:abstractNum>
  <w:abstractNum w:abstractNumId="44">
    <w:nsid w:val="5092CA79"/>
    <w:multiLevelType w:val="hybridMultilevel"/>
    <w:lvl w:ilvl="0">
      <w:lvlJc w:val="left"/>
      <w:lvlText w:val="%1."/>
      <w:numFmt w:val="decimal"/>
      <w:start w:val="12"/>
    </w:lvl>
  </w:abstractNum>
  <w:abstractNum w:abstractNumId="45">
    <w:nsid w:val="1D545C4D"/>
    <w:multiLevelType w:val="hybridMultilevel"/>
    <w:lvl w:ilvl="0">
      <w:lvlJc w:val="left"/>
      <w:lvlText w:val="(%1)"/>
      <w:numFmt w:val="lowerLetter"/>
      <w:start w:val="1"/>
    </w:lvl>
  </w:abstractNum>
  <w:abstractNum w:abstractNumId="46">
    <w:nsid w:val="59ADEA3D"/>
    <w:multiLevelType w:val="hybridMultilevel"/>
    <w:lvl w:ilvl="0">
      <w:lvlJc w:val="left"/>
      <w:lvlText w:val="%1."/>
      <w:numFmt w:val="decimal"/>
      <w:start w:val="1"/>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decimal"/>
      <w:start w:val="2"/>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3"/>
    </w:lvl>
  </w:abstractNum>
  <w:abstractNum w:abstractNumId="51">
    <w:nsid w:val="51088277"/>
    <w:multiLevelType w:val="hybridMultilevel"/>
    <w:lvl w:ilvl="0">
      <w:lvlJc w:val="left"/>
      <w:lvlText w:val="(%1)"/>
      <w:numFmt w:val="lowerLetter"/>
      <w:start w:val="7"/>
    </w:lvl>
  </w:abstractNum>
  <w:abstractNum w:abstractNumId="52">
    <w:nsid w:val="1CA0C5FA"/>
    <w:multiLevelType w:val="hybridMultilevel"/>
    <w:lvl w:ilvl="0">
      <w:lvlJc w:val="left"/>
      <w:lvlText w:val="%1"/>
      <w:numFmt w:val="decimal"/>
      <w:start w:val="1"/>
    </w:lvl>
    <w:lvl w:ilvl="1">
      <w:lvlJc w:val="left"/>
      <w:lvlText w:val="(%2)"/>
      <w:numFmt w:val="upperLetter"/>
      <w:start w:val="3"/>
    </w:lvl>
  </w:abstractNum>
  <w:abstractNum w:abstractNumId="53">
    <w:nsid w:val="53584BCB"/>
    <w:multiLevelType w:val="hybridMultilevel"/>
    <w:lvl w:ilvl="0">
      <w:lvlJc w:val="left"/>
      <w:lvlText w:val="%1."/>
      <w:numFmt w:val="decimal"/>
      <w:start w:val="3"/>
    </w:lvl>
    <w:lvl w:ilvl="1">
      <w:lvlJc w:val="left"/>
      <w:lvlText w:val="%2"/>
      <w:numFmt w:val="upperLetter"/>
      <w:start w:val="1"/>
    </w:lvl>
  </w:abstractNum>
  <w:abstractNum w:abstractNumId="54">
    <w:nsid w:val="415E286C"/>
    <w:multiLevelType w:val="hybridMultilevel"/>
    <w:lvl w:ilvl="0">
      <w:lvlJc w:val="left"/>
      <w:lvlText w:val="%1."/>
      <w:numFmt w:val="decimal"/>
      <w:start w:val="4"/>
    </w:lvl>
  </w:abstractNum>
  <w:abstractNum w:abstractNumId="55">
    <w:nsid w:val="7C58FD05"/>
    <w:multiLevelType w:val="hybridMultilevel"/>
    <w:lvl w:ilvl="0">
      <w:lvlJc w:val="left"/>
      <w:lvlText w:val="%1."/>
      <w:numFmt w:val="decimal"/>
      <w:start w:val="5"/>
    </w:lvl>
  </w:abstractNum>
  <w:abstractNum w:abstractNumId="56">
    <w:nsid w:val="23D86AAC"/>
    <w:multiLevelType w:val="hybridMultilevel"/>
    <w:lvl w:ilvl="0">
      <w:lvlJc w:val="left"/>
      <w:lvlText w:val="%1."/>
      <w:numFmt w:val="decimal"/>
      <w:start w:val="6"/>
    </w:lvl>
  </w:abstractNum>
  <w:abstractNum w:abstractNumId="57">
    <w:nsid w:val="45E6D486"/>
    <w:multiLevelType w:val="hybridMultilevel"/>
    <w:lvl w:ilvl="0">
      <w:lvlJc w:val="left"/>
      <w:lvlText w:val="%1."/>
      <w:numFmt w:val="decimal"/>
      <w:start w:val="7"/>
    </w:lvl>
  </w:abstractNum>
  <w:abstractNum w:abstractNumId="58">
    <w:nsid w:val="5C10FE21"/>
    <w:multiLevelType w:val="hybridMultilevel"/>
    <w:lvl w:ilvl="0">
      <w:lvlJc w:val="left"/>
      <w:lvlText w:val="%1."/>
      <w:numFmt w:val="decimal"/>
      <w:start w:val="8"/>
    </w:lvl>
  </w:abstractNum>
  <w:abstractNum w:abstractNumId="59">
    <w:nsid w:val="E7FFA2B"/>
    <w:multiLevelType w:val="hybridMultilevel"/>
    <w:lvl w:ilvl="0">
      <w:lvlJc w:val="left"/>
      <w:lvlText w:val="%1."/>
      <w:numFmt w:val="decimal"/>
      <w:start w:val="9"/>
    </w:lvl>
  </w:abstractNum>
  <w:abstractNum w:abstractNumId="60">
    <w:nsid w:val="3C5991AA"/>
    <w:multiLevelType w:val="hybridMultilevel"/>
    <w:lvl w:ilvl="0">
      <w:lvlJc w:val="left"/>
      <w:lvlText w:val="%1."/>
      <w:numFmt w:val="decimal"/>
      <w:start w:val="10"/>
    </w:lvl>
  </w:abstractNum>
  <w:abstractNum w:abstractNumId="61">
    <w:nsid w:val="4BD8591A"/>
    <w:multiLevelType w:val="hybridMultilevel"/>
    <w:lvl w:ilvl="0">
      <w:lvlJc w:val="left"/>
      <w:lvlText w:val="%1."/>
      <w:numFmt w:val="decimal"/>
      <w:start w:val="11"/>
    </w:lvl>
  </w:abstractNum>
  <w:abstractNum w:abstractNumId="62">
    <w:nsid w:val="78DF6A55"/>
    <w:multiLevelType w:val="hybridMultilevel"/>
    <w:lvl w:ilvl="0">
      <w:lvlJc w:val="left"/>
      <w:lvlText w:val="%1."/>
      <w:numFmt w:val="decimal"/>
      <w:start w:val="12"/>
    </w:lvl>
  </w:abstractNum>
  <w:abstractNum w:abstractNumId="63">
    <w:nsid w:val="39B7AAA2"/>
    <w:multiLevelType w:val="hybridMultilevel"/>
    <w:lvl w:ilvl="0">
      <w:lvlJc w:val="left"/>
      <w:lvlText w:val="%1."/>
      <w:numFmt w:val="decimal"/>
      <w:start w:val="13"/>
    </w:lvl>
  </w:abstractNum>
  <w:abstractNum w:abstractNumId="64">
    <w:nsid w:val="2B0D8DBE"/>
    <w:multiLevelType w:val="hybridMultilevel"/>
    <w:lvl w:ilvl="0">
      <w:lvlJc w:val="left"/>
      <w:lvlText w:val="(%1)"/>
      <w:numFmt w:val="lowerLetter"/>
      <w:start w:val="1"/>
    </w:lvl>
  </w:abstractNum>
  <w:abstractNum w:abstractNumId="65">
    <w:nsid w:val="6C80EC70"/>
    <w:multiLevelType w:val="hybridMultilevel"/>
    <w:lvl w:ilvl="0">
      <w:lvlJc w:val="left"/>
      <w:lvlText w:val="(%1)"/>
      <w:numFmt w:val="lowerLetter"/>
      <w:start w:val="2"/>
    </w:lvl>
  </w:abstractNum>
  <w:abstractNum w:abstractNumId="66">
    <w:nsid w:val="379E21B5"/>
    <w:multiLevelType w:val="hybridMultilevel"/>
    <w:lvl w:ilvl="0">
      <w:lvlJc w:val="left"/>
      <w:lvlText w:val="%1."/>
      <w:numFmt w:val="decimal"/>
      <w:start w:val="1"/>
    </w:lvl>
  </w:abstractNum>
  <w:abstractNum w:abstractNumId="67">
    <w:nsid w:val="69E373"/>
    <w:multiLevelType w:val="hybridMultilevel"/>
    <w:lvl w:ilvl="0">
      <w:lvlJc w:val="left"/>
      <w:lvlText w:val="(%1)"/>
      <w:numFmt w:val="lowerLetter"/>
      <w:start w:val="1"/>
    </w:lvl>
  </w:abstractNum>
  <w:abstractNum w:abstractNumId="68">
    <w:nsid w:val="2C27173B"/>
    <w:multiLevelType w:val="hybridMultilevel"/>
    <w:lvl w:ilvl="0">
      <w:lvlJc w:val="left"/>
      <w:lvlText w:val="%1."/>
      <w:numFmt w:val="decimal"/>
      <w:start w:val="2"/>
    </w:lvl>
  </w:abstractNum>
  <w:abstractNum w:abstractNumId="69">
    <w:nsid w:val="4C9B0904"/>
    <w:multiLevelType w:val="hybridMultilevel"/>
    <w:lvl w:ilvl="0">
      <w:lvlJc w:val="left"/>
      <w:lvlText w:val="(%1)"/>
      <w:numFmt w:val="lowerLetter"/>
      <w:start w:val="1"/>
    </w:lvl>
  </w:abstractNum>
  <w:abstractNum w:abstractNumId="70">
    <w:nsid w:val="6AA7B75C"/>
    <w:multiLevelType w:val="hybridMultilevel"/>
    <w:lvl w:ilvl="0">
      <w:lvlJc w:val="left"/>
      <w:lvlText w:val="(%1)"/>
      <w:numFmt w:val="lowerLetter"/>
      <w:start w:val="3"/>
    </w:lvl>
  </w:abstractNum>
  <w:abstractNum w:abstractNumId="71">
    <w:nsid w:val="1DF029D3"/>
    <w:multiLevelType w:val="hybridMultilevel"/>
    <w:lvl w:ilvl="0">
      <w:lvlJc w:val="left"/>
      <w:lvlText w:val="(%1)"/>
      <w:numFmt w:val="lowerLetter"/>
      <w:start w:val="6"/>
    </w:lvl>
  </w:abstractNum>
  <w:abstractNum w:abstractNumId="72">
    <w:nsid w:val="5675FF36"/>
    <w:multiLevelType w:val="hybridMultilevel"/>
    <w:lvl w:ilvl="0">
      <w:lvlJc w:val="left"/>
      <w:lvlText w:val="(%1)"/>
      <w:numFmt w:val="upperLetter"/>
      <w:start w:val="3"/>
    </w:lvl>
  </w:abstractNum>
  <w:abstractNum w:abstractNumId="73">
    <w:nsid w:val="3DD15094"/>
    <w:multiLevelType w:val="hybridMultilevel"/>
    <w:lvl w:ilvl="0">
      <w:lvlJc w:val="left"/>
      <w:lvlText w:val="%1."/>
      <w:numFmt w:val="decimal"/>
      <w:start w:val="3"/>
    </w:lvl>
  </w:abstractNum>
  <w:abstractNum w:abstractNumId="74">
    <w:nsid w:val="3DB012B3"/>
    <w:multiLevelType w:val="hybridMultilevel"/>
    <w:lvl w:ilvl="0">
      <w:lvlJc w:val="left"/>
      <w:lvlText w:val="%1."/>
      <w:numFmt w:val="decimal"/>
      <w:start w:val="4"/>
    </w:lvl>
  </w:abstractNum>
  <w:abstractNum w:abstractNumId="75">
    <w:nsid w:val="2708C9AF"/>
    <w:multiLevelType w:val="hybridMultilevel"/>
    <w:lvl w:ilvl="0">
      <w:lvlJc w:val="left"/>
      <w:lvlText w:val="%1."/>
      <w:numFmt w:val="decimal"/>
      <w:start w:val="5"/>
    </w:lvl>
  </w:abstractNum>
  <w:abstractNum w:abstractNumId="76">
    <w:nsid w:val="5B25ACE2"/>
    <w:multiLevelType w:val="hybridMultilevel"/>
    <w:lvl w:ilvl="0">
      <w:lvlJc w:val="left"/>
      <w:lvlText w:val="%1."/>
      <w:numFmt w:val="decimal"/>
      <w:start w:val="6"/>
    </w:lvl>
  </w:abstractNum>
  <w:abstractNum w:abstractNumId="77">
    <w:nsid w:val="175DFCF0"/>
    <w:multiLevelType w:val="hybridMultilevel"/>
    <w:lvl w:ilvl="0">
      <w:lvlJc w:val="left"/>
      <w:lvlText w:val="%1."/>
      <w:numFmt w:val="decimal"/>
      <w:start w:val="7"/>
    </w:lvl>
  </w:abstractNum>
  <w:abstractNum w:abstractNumId="78">
    <w:nsid w:val="4F97E3E4"/>
    <w:multiLevelType w:val="hybridMultilevel"/>
    <w:lvl w:ilvl="0">
      <w:lvlJc w:val="left"/>
      <w:lvlText w:val="%1."/>
      <w:numFmt w:val="decimal"/>
      <w:start w:val="8"/>
    </w:lvl>
  </w:abstractNum>
  <w:abstractNum w:abstractNumId="79">
    <w:nsid w:val="53B0A9E"/>
    <w:multiLevelType w:val="hybridMultilevel"/>
    <w:lvl w:ilvl="0">
      <w:lvlJc w:val="left"/>
      <w:lvlText w:val="%1."/>
      <w:numFmt w:val="decimal"/>
      <w:start w:val="9"/>
    </w:lvl>
  </w:abstractNum>
  <w:abstractNum w:abstractNumId="80">
    <w:nsid w:val="34FD6B4F"/>
    <w:multiLevelType w:val="hybridMultilevel"/>
    <w:lvl w:ilvl="0">
      <w:lvlJc w:val="left"/>
      <w:lvlText w:val="%1."/>
      <w:numFmt w:val="decimal"/>
      <w:start w:val="10"/>
    </w:lvl>
  </w:abstractNum>
  <w:abstractNum w:abstractNumId="81">
    <w:nsid w:val="5915FF32"/>
    <w:multiLevelType w:val="hybridMultilevel"/>
    <w:lvl w:ilvl="0">
      <w:lvlJc w:val="left"/>
      <w:lvlText w:val="%1."/>
      <w:numFmt w:val="decimal"/>
      <w:start w:val="11"/>
    </w:lvl>
  </w:abstractNum>
  <w:abstractNum w:abstractNumId="82">
    <w:nsid w:val="56438D15"/>
    <w:multiLevelType w:val="hybridMultilevel"/>
    <w:lvl w:ilvl="0">
      <w:lvlJc w:val="left"/>
      <w:lvlText w:val="%1."/>
      <w:numFmt w:val="decimal"/>
      <w:start w:val="12"/>
    </w:lvl>
  </w:abstractNum>
  <w:abstractNum w:abstractNumId="83">
    <w:nsid w:val="519E3149"/>
    <w:multiLevelType w:val="hybridMultilevel"/>
    <w:lvl w:ilvl="0">
      <w:lvlJc w:val="left"/>
      <w:lvlText w:val="%1."/>
      <w:numFmt w:val="decimal"/>
      <w:start w:val="13"/>
    </w:lvl>
  </w:abstractNum>
  <w:abstractNum w:abstractNumId="84">
    <w:nsid w:val="2C6E4AFD"/>
    <w:multiLevelType w:val="hybridMultilevel"/>
    <w:lvl w:ilvl="0">
      <w:lvlJc w:val="left"/>
      <w:lvlText w:val="(%1)"/>
      <w:numFmt w:val="lowerLetter"/>
      <w:start w:val="1"/>
    </w:lvl>
  </w:abstractNum>
  <w:abstractNum w:abstractNumId="85">
    <w:nsid w:val="17A1B582"/>
    <w:multiLevelType w:val="hybridMultilevel"/>
    <w:lvl w:ilvl="0">
      <w:lvlJc w:val="left"/>
      <w:lvlText w:val="%1."/>
      <w:numFmt w:val="decimal"/>
      <w:start w:val="1"/>
    </w:lvl>
  </w:abstractNum>
  <w:abstractNum w:abstractNumId="86">
    <w:nsid w:val="4DF72E4E"/>
    <w:multiLevelType w:val="hybridMultilevel"/>
    <w:lvl w:ilvl="0">
      <w:lvlJc w:val="left"/>
      <w:lvlText w:val="(%1)"/>
      <w:numFmt w:val="lowerLetter"/>
      <w:start w:val="1"/>
    </w:lvl>
  </w:abstractNum>
  <w:abstractNum w:abstractNumId="87">
    <w:nsid w:val="5046B5A9"/>
    <w:multiLevelType w:val="hybridMultilevel"/>
    <w:lvl w:ilvl="0">
      <w:lvlJc w:val="left"/>
      <w:lvlText w:val="%1."/>
      <w:numFmt w:val="decimal"/>
      <w:start w:val="2"/>
    </w:lvl>
  </w:abstractNum>
  <w:abstractNum w:abstractNumId="88">
    <w:nsid w:val="5D888A08"/>
    <w:multiLevelType w:val="hybridMultilevel"/>
    <w:lvl w:ilvl="0">
      <w:lvlJc w:val="left"/>
      <w:lvlText w:val="(%1)"/>
      <w:numFmt w:val="lowerLetter"/>
      <w:start w:val="1"/>
    </w:lvl>
  </w:abstractNum>
  <w:abstractNum w:abstractNumId="89">
    <w:nsid w:val="2A082C70"/>
    <w:multiLevelType w:val="hybridMultilevel"/>
    <w:lvl w:ilvl="0">
      <w:lvlJc w:val="left"/>
      <w:lvlText w:val="(%1)"/>
      <w:numFmt w:val="lowerLetter"/>
      <w:start w:val="6"/>
    </w:lvl>
  </w:abstractNum>
  <w:abstractNum w:abstractNumId="90">
    <w:nsid w:val="5EC6AFD4"/>
    <w:multiLevelType w:val="hybridMultilevel"/>
    <w:lvl w:ilvl="0">
      <w:lvlJc w:val="left"/>
      <w:lvlText w:val="(%1)"/>
      <w:numFmt w:val="upperLetter"/>
      <w:start w:val="3"/>
    </w:lvl>
  </w:abstractNum>
  <w:abstractNum w:abstractNumId="91">
    <w:nsid w:val="19E21BB2"/>
    <w:multiLevelType w:val="hybridMultilevel"/>
    <w:lvl w:ilvl="0">
      <w:lvlJc w:val="left"/>
      <w:lvlText w:val="%1."/>
      <w:numFmt w:val="decimal"/>
      <w:start w:val="3"/>
    </w:lvl>
  </w:abstractNum>
  <w:abstractNum w:abstractNumId="92">
    <w:nsid w:val="75E0858A"/>
    <w:multiLevelType w:val="hybridMultilevel"/>
    <w:lvl w:ilvl="0">
      <w:lvlJc w:val="left"/>
      <w:lvlText w:val="%1."/>
      <w:numFmt w:val="decimal"/>
      <w:start w:val="4"/>
    </w:lvl>
  </w:abstractNum>
  <w:abstractNum w:abstractNumId="93">
    <w:nsid w:val="57A61A29"/>
    <w:multiLevelType w:val="hybridMultilevel"/>
    <w:lvl w:ilvl="0">
      <w:lvlJc w:val="left"/>
      <w:lvlText w:val="%1."/>
      <w:numFmt w:val="decimal"/>
      <w:start w:val="5"/>
    </w:lvl>
  </w:abstractNum>
  <w:abstractNum w:abstractNumId="94">
    <w:nsid w:val="5399C654"/>
    <w:multiLevelType w:val="hybridMultilevel"/>
    <w:lvl w:ilvl="0">
      <w:lvlJc w:val="left"/>
      <w:lvlText w:val="%1."/>
      <w:numFmt w:val="decimal"/>
      <w:start w:val="6"/>
    </w:lvl>
  </w:abstractNum>
  <w:abstractNum w:abstractNumId="95">
    <w:nsid w:val="20EE1348"/>
    <w:multiLevelType w:val="hybridMultilevel"/>
    <w:lvl w:ilvl="0">
      <w:lvlJc w:val="left"/>
      <w:lvlText w:val="%1."/>
      <w:numFmt w:val="decimal"/>
      <w:start w:val="7"/>
    </w:lvl>
  </w:abstractNum>
  <w:abstractNum w:abstractNumId="96">
    <w:nsid w:val="4427069A"/>
    <w:multiLevelType w:val="hybridMultilevel"/>
    <w:lvl w:ilvl="0">
      <w:lvlJc w:val="left"/>
      <w:lvlText w:val="%1."/>
      <w:numFmt w:val="decimal"/>
      <w:start w:val="8"/>
    </w:lvl>
  </w:abstractNum>
  <w:abstractNum w:abstractNumId="97">
    <w:nsid w:val="B37E80A"/>
    <w:multiLevelType w:val="hybridMultilevel"/>
    <w:lvl w:ilvl="0">
      <w:lvlJc w:val="left"/>
      <w:lvlText w:val="%1."/>
      <w:numFmt w:val="decimal"/>
      <w:start w:val="9"/>
    </w:lvl>
  </w:abstractNum>
  <w:abstractNum w:abstractNumId="98">
    <w:nsid w:val="2157F6BC"/>
    <w:multiLevelType w:val="hybridMultilevel"/>
    <w:lvl w:ilvl="0">
      <w:lvlJc w:val="left"/>
      <w:lvlText w:val="%1."/>
      <w:numFmt w:val="decimal"/>
      <w:start w:val="10"/>
    </w:lvl>
  </w:abstractNum>
  <w:abstractNum w:abstractNumId="99">
    <w:nsid w:val="704E1DD5"/>
    <w:multiLevelType w:val="hybridMultilevel"/>
    <w:lvl w:ilvl="0">
      <w:lvlJc w:val="left"/>
      <w:lvlText w:val="%1."/>
      <w:numFmt w:val="decimal"/>
      <w:start w:val="11"/>
    </w:lvl>
  </w:abstractNum>
  <w:abstractNum w:abstractNumId="100">
    <w:nsid w:val="57D2F10E"/>
    <w:multiLevelType w:val="hybridMultilevel"/>
    <w:lvl w:ilvl="0">
      <w:lvlJc w:val="left"/>
      <w:lvlText w:val="%1."/>
      <w:numFmt w:val="decimal"/>
      <w:start w:val="12"/>
    </w:lvl>
  </w:abstractNum>
  <w:abstractNum w:abstractNumId="101">
    <w:nsid w:val="BFFAE18"/>
    <w:multiLevelType w:val="hybridMultilevel"/>
    <w:lvl w:ilvl="0">
      <w:lvlJc w:val="left"/>
      <w:lvlText w:val="%1."/>
      <w:numFmt w:val="decimal"/>
      <w:start w:val="13"/>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decimal"/>
      <w:start w:val="1"/>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decimal"/>
      <w:start w:val="2"/>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lowerLetter"/>
      <w:start w:val="4"/>
    </w:lvl>
  </w:abstractNum>
  <w:abstractNum w:abstractNumId="108">
    <w:nsid w:val="634C574C"/>
    <w:multiLevelType w:val="hybridMultilevel"/>
    <w:lvl w:ilvl="0">
      <w:lvlJc w:val="left"/>
      <w:lvlText w:val="(%1)"/>
      <w:numFmt w:val="lowerLetter"/>
      <w:start w:val="15"/>
    </w:lvl>
  </w:abstractNum>
  <w:abstractNum w:abstractNumId="109">
    <w:nsid w:val="24E99DD7"/>
    <w:multiLevelType w:val="hybridMultilevel"/>
    <w:lvl w:ilvl="0">
      <w:lvlJc w:val="left"/>
      <w:lvlText w:val="(%1)"/>
      <w:numFmt w:val="upperLetter"/>
      <w:start w:val="3"/>
    </w:lvl>
  </w:abstractNum>
  <w:abstractNum w:abstractNumId="110">
    <w:nsid w:val="2A31B62D"/>
    <w:multiLevelType w:val="hybridMultilevel"/>
    <w:lvl w:ilvl="0">
      <w:lvlJc w:val="left"/>
      <w:lvlText w:val="%1."/>
      <w:numFmt w:val="decimal"/>
      <w:start w:val="3"/>
    </w:lvl>
  </w:abstractNum>
  <w:abstractNum w:abstractNumId="111">
    <w:nsid w:val="1849C29B"/>
    <w:multiLevelType w:val="hybridMultilevel"/>
    <w:lvl w:ilvl="0">
      <w:lvlJc w:val="left"/>
      <w:lvlText w:val="%1."/>
      <w:numFmt w:val="decimal"/>
      <w:start w:val="4"/>
    </w:lvl>
  </w:abstractNum>
  <w:abstractNum w:abstractNumId="112">
    <w:nsid w:val="7DFF9D09"/>
    <w:multiLevelType w:val="hybridMultilevel"/>
    <w:lvl w:ilvl="0">
      <w:lvlJc w:val="left"/>
      <w:lvlText w:val="%1."/>
      <w:numFmt w:val="decimal"/>
      <w:start w:val="5"/>
    </w:lvl>
  </w:abstractNum>
  <w:abstractNum w:abstractNumId="113">
    <w:nsid w:val="754342"/>
    <w:multiLevelType w:val="hybridMultilevel"/>
    <w:lvl w:ilvl="0">
      <w:lvlJc w:val="left"/>
      <w:lvlText w:val="%1."/>
      <w:numFmt w:val="decimal"/>
      <w:start w:val="6"/>
    </w:lvl>
  </w:abstractNum>
  <w:abstractNum w:abstractNumId="114">
    <w:nsid w:val="69E7F3E5"/>
    <w:multiLevelType w:val="hybridMultilevel"/>
    <w:lvl w:ilvl="0">
      <w:lvlJc w:val="left"/>
      <w:lvlText w:val="%1."/>
      <w:numFmt w:val="decimal"/>
      <w:start w:val="7"/>
    </w:lvl>
  </w:abstractNum>
  <w:abstractNum w:abstractNumId="115">
    <w:nsid w:val="2A6DE806"/>
    <w:multiLevelType w:val="hybridMultilevel"/>
    <w:lvl w:ilvl="0">
      <w:lvlJc w:val="left"/>
      <w:lvlText w:val="%1."/>
      <w:numFmt w:val="decimal"/>
      <w:start w:val="8"/>
    </w:lvl>
  </w:abstractNum>
  <w:abstractNum w:abstractNumId="116">
    <w:nsid w:val="1816F8C4"/>
    <w:multiLevelType w:val="hybridMultilevel"/>
    <w:lvl w:ilvl="0">
      <w:lvlJc w:val="left"/>
      <w:lvlText w:val="%1."/>
      <w:numFmt w:val="decimal"/>
      <w:start w:val="9"/>
    </w:lvl>
  </w:abstractNum>
  <w:abstractNum w:abstractNumId="117">
    <w:nsid w:val="37DF2233"/>
    <w:multiLevelType w:val="hybridMultilevel"/>
    <w:lvl w:ilvl="0">
      <w:lvlJc w:val="left"/>
      <w:lvlText w:val="(%1)"/>
      <w:numFmt w:val="lowerRoman"/>
      <w:start w:val="3"/>
    </w:lvl>
  </w:abstractNum>
  <w:abstractNum w:abstractNumId="118">
    <w:nsid w:val="7AB49DAF"/>
    <w:multiLevelType w:val="hybridMultilevel"/>
    <w:lvl w:ilvl="0">
      <w:lvlJc w:val="left"/>
      <w:lvlText w:val="%1."/>
      <w:numFmt w:val="decimal"/>
      <w:start w:val="10"/>
    </w:lvl>
  </w:abstractNum>
  <w:abstractNum w:abstractNumId="119">
    <w:nsid w:val="759F82CD"/>
    <w:multiLevelType w:val="hybridMultilevel"/>
    <w:lvl w:ilvl="0">
      <w:lvlJc w:val="left"/>
      <w:lvlText w:val="%1."/>
      <w:numFmt w:val="decimal"/>
      <w:start w:val="11"/>
    </w:lvl>
  </w:abstractNum>
  <w:abstractNum w:abstractNumId="120">
    <w:nsid w:val="61E74EA3"/>
    <w:multiLevelType w:val="hybridMultilevel"/>
    <w:lvl w:ilvl="0">
      <w:lvlJc w:val="left"/>
      <w:lvlText w:val="%1."/>
      <w:numFmt w:val="decimal"/>
      <w:start w:val="12"/>
    </w:lvl>
  </w:abstractNum>
  <w:abstractNum w:abstractNumId="121">
    <w:nsid w:val="597B4D84"/>
    <w:multiLevelType w:val="hybridMultilevel"/>
    <w:lvl w:ilvl="0">
      <w:lvlJc w:val="left"/>
      <w:lvlText w:val="%1."/>
      <w:numFmt w:val="decimal"/>
      <w:start w:val="13"/>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2"/>
    </w:lvl>
  </w:abstractNum>
  <w:abstractNum w:abstractNumId="124">
    <w:nsid w:val="312167AD"/>
    <w:multiLevelType w:val="hybridMultilevel"/>
    <w:lvl w:ilvl="0">
      <w:lvlJc w:val="left"/>
      <w:lvlText w:val="%1."/>
      <w:numFmt w:val="decimal"/>
      <w:start w:val="3"/>
    </w:lvl>
  </w:abstractNum>
  <w:abstractNum w:abstractNumId="125">
    <w:nsid w:val="631B64D4"/>
    <w:multiLevelType w:val="hybridMultilevel"/>
    <w:lvl w:ilvl="0">
      <w:lvlJc w:val="left"/>
      <w:lvlText w:val="%1."/>
      <w:numFmt w:val="decimal"/>
      <w:start w:val="6"/>
    </w:lvl>
  </w:abstractNum>
  <w:abstractNum w:abstractNumId="126">
    <w:nsid w:val="78B5E776"/>
    <w:multiLevelType w:val="hybridMultilevel"/>
    <w:lvl w:ilvl="0">
      <w:lvlJc w:val="left"/>
      <w:lvlText w:val="%1."/>
      <w:numFmt w:val="decimal"/>
      <w:start w:val="1"/>
    </w:lvl>
  </w:abstractNum>
  <w:abstractNum w:abstractNumId="127">
    <w:nsid w:val="75486E47"/>
    <w:multiLevelType w:val="hybridMultilevel"/>
    <w:lvl w:ilvl="0">
      <w:lvlJc w:val="left"/>
      <w:lvlText w:val="(%1)"/>
      <w:numFmt w:val="lowerLetter"/>
      <w:start w:val="1"/>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1"/>
    </w:lvl>
  </w:abstractNum>
  <w:abstractNum w:abstractNumId="131">
    <w:nsid w:val="46263DEC"/>
    <w:multiLevelType w:val="hybridMultilevel"/>
    <w:lvl w:ilvl="0">
      <w:lvlJc w:val="left"/>
      <w:lvlText w:val="%1."/>
      <w:numFmt w:val="decimal"/>
      <w:start w:val="2"/>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lowerLetter"/>
      <w:start w:val="1"/>
    </w:lvl>
  </w:abstractNum>
  <w:abstractNum w:abstractNumId="134">
    <w:nsid w:val="746F2E30"/>
    <w:multiLevelType w:val="hybridMultilevel"/>
    <w:lvl w:ilvl="0">
      <w:lvlJc w:val="left"/>
      <w:lvlText w:val="(%1)"/>
      <w:numFmt w:val="lowerLetter"/>
      <w:start w:val="1"/>
    </w:lvl>
  </w:abstractNum>
  <w:abstractNum w:abstractNumId="135">
    <w:nsid w:val="6FDE8AF6"/>
    <w:multiLevelType w:val="hybridMultilevel"/>
    <w:lvl w:ilvl="0">
      <w:lvlJc w:val="left"/>
      <w:lvlText w:val="(%1)"/>
      <w:numFmt w:val="lowerLetter"/>
      <w:start w:val="4"/>
    </w:lvl>
  </w:abstractNum>
  <w:abstractNum w:abstractNumId="136">
    <w:nsid w:val="3FC32E20"/>
    <w:multiLevelType w:val="hybridMultilevel"/>
    <w:lvl w:ilvl="0">
      <w:lvlJc w:val="left"/>
      <w:lvlText w:val="(%1)"/>
      <w:numFmt w:val="lowerLetter"/>
      <w:start w:val="1"/>
    </w:lvl>
  </w:abstractNum>
  <w:abstractNum w:abstractNumId="137">
    <w:nsid w:val="49C0E823"/>
    <w:multiLevelType w:val="hybridMultilevel"/>
    <w:lvl w:ilvl="0">
      <w:lvlJc w:val="left"/>
      <w:lvlText w:val="%1."/>
      <w:numFmt w:val="decimal"/>
      <w:start w:val="3"/>
    </w:lvl>
  </w:abstractNum>
  <w:abstractNum w:abstractNumId="138">
    <w:nsid w:val="14D53685"/>
    <w:multiLevelType w:val="hybridMultilevel"/>
    <w:lvl w:ilvl="0">
      <w:lvlJc w:val="left"/>
      <w:lvlText w:val="%1."/>
      <w:numFmt w:val="decimal"/>
      <w:start w:val="4"/>
    </w:lvl>
  </w:abstractNum>
  <w:abstractNum w:abstractNumId="139">
    <w:nsid w:val="230F856C"/>
    <w:multiLevelType w:val="hybridMultilevel"/>
    <w:lvl w:ilvl="0">
      <w:lvlJc w:val="left"/>
      <w:lvlText w:val="%1."/>
      <w:numFmt w:val="decimal"/>
      <w:start w:val="5"/>
    </w:lvl>
  </w:abstractNum>
  <w:abstractNum w:abstractNumId="140">
    <w:nsid w:val="6EAA85FB"/>
    <w:multiLevelType w:val="hybridMultilevel"/>
    <w:lvl w:ilvl="0">
      <w:lvlJc w:val="left"/>
      <w:lvlText w:val="(%1)"/>
      <w:numFmt w:val="lowerLetter"/>
      <w:start w:val="1"/>
    </w:lvl>
  </w:abstractNum>
  <w:abstractNum w:abstractNumId="141">
    <w:nsid w:val="3F06ECB2"/>
    <w:multiLevelType w:val="hybridMultilevel"/>
    <w:lvl w:ilvl="0">
      <w:lvlJc w:val="left"/>
      <w:lvlText w:val="%1."/>
      <w:numFmt w:val="decimal"/>
      <w:start w:val="6"/>
    </w:lvl>
  </w:abstractNum>
  <w:abstractNum w:abstractNumId="142">
    <w:nsid w:val="3B594807"/>
    <w:multiLevelType w:val="hybridMultilevel"/>
    <w:lvl w:ilvl="0">
      <w:lvlJc w:val="left"/>
      <w:lvlText w:val="(%1)"/>
      <w:numFmt w:val="lowerLetter"/>
      <w:start w:val="1"/>
    </w:lvl>
  </w:abstractNum>
  <w:abstractNum w:abstractNumId="143">
    <w:nsid w:val="6CAA2304"/>
    <w:multiLevelType w:val="hybridMultilevel"/>
    <w:lvl w:ilvl="0">
      <w:lvlJc w:val="left"/>
      <w:lvlText w:val="(%1)"/>
      <w:numFmt w:val="lowerLetter"/>
      <w:start w:val="1"/>
    </w:lvl>
  </w:abstractNum>
  <w:abstractNum w:abstractNumId="144">
    <w:nsid w:val="3F7C2FF4"/>
    <w:multiLevelType w:val="hybridMultilevel"/>
    <w:lvl w:ilvl="0">
      <w:lvlJc w:val="left"/>
      <w:lvlText w:val="(%1)"/>
      <w:numFmt w:val="lowerLetter"/>
      <w:start w:val="2"/>
    </w:lvl>
  </w:abstractNum>
  <w:abstractNum w:abstractNumId="145">
    <w:nsid w:val="25413BEC"/>
    <w:multiLevelType w:val="hybridMultilevel"/>
    <w:lvl w:ilvl="0">
      <w:lvlJc w:val="left"/>
      <w:lvlText w:val="(%1)"/>
      <w:numFmt w:val="lowerRoman"/>
      <w:start w:val="1"/>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decimal"/>
      <w:start w:val="7"/>
    </w:lvl>
  </w:abstractNum>
  <w:abstractNum w:abstractNumId="148">
    <w:nsid w:val="5D205E20"/>
    <w:multiLevelType w:val="hybridMultilevel"/>
    <w:lvl w:ilvl="0">
      <w:lvlJc w:val="left"/>
      <w:lvlText w:val="(%1)"/>
      <w:numFmt w:val="lowerLetter"/>
      <w:start w:val="1"/>
    </w:lvl>
  </w:abstractNum>
  <w:abstractNum w:abstractNumId="149">
    <w:nsid w:val="11CCA8BA"/>
    <w:multiLevelType w:val="hybridMultilevel"/>
    <w:lvl w:ilvl="0">
      <w:lvlJc w:val="left"/>
      <w:lvlText w:val="(%1)"/>
      <w:numFmt w:val="lowerLetter"/>
      <w:start w:val="1"/>
    </w:lvl>
  </w:abstractNum>
  <w:abstractNum w:abstractNumId="150">
    <w:nsid w:val="4D32AB86"/>
    <w:multiLevelType w:val="hybridMultilevel"/>
    <w:lvl w:ilvl="0">
      <w:lvlJc w:val="left"/>
      <w:lvlText w:val="%1."/>
      <w:numFmt w:val="decimal"/>
      <w:start w:val="1"/>
    </w:lvl>
  </w:abstractNum>
  <w:abstractNum w:abstractNumId="151">
    <w:nsid w:val="3F07ACC3"/>
    <w:multiLevelType w:val="hybridMultilevel"/>
    <w:lvl w:ilvl="0">
      <w:lvlJc w:val="left"/>
      <w:lvlText w:val="%1."/>
      <w:numFmt w:val="decimal"/>
      <w:start w:val="3"/>
    </w:lvl>
  </w:abstractNum>
  <w:abstractNum w:abstractNumId="152">
    <w:nsid w:val="6B47F63E"/>
    <w:multiLevelType w:val="hybridMultilevel"/>
    <w:lvl w:ilvl="0">
      <w:lvlJc w:val="left"/>
      <w:lvlText w:val="%1."/>
      <w:numFmt w:val="decimal"/>
      <w:start w:val="5"/>
    </w:lvl>
  </w:abstractNum>
  <w:abstractNum w:abstractNumId="153">
    <w:nsid w:val="5CB44A05"/>
    <w:multiLevelType w:val="hybridMultilevel"/>
    <w:lvl w:ilvl="0">
      <w:lvlJc w:val="left"/>
      <w:lvlText w:val="%1."/>
      <w:numFmt w:val="decimal"/>
      <w:start w:val="8"/>
    </w:lvl>
  </w:abstractNum>
  <w:abstractNum w:abstractNumId="154">
    <w:nsid w:val="16CF80F1"/>
    <w:multiLevelType w:val="hybridMultilevel"/>
    <w:lvl w:ilvl="0">
      <w:lvlJc w:val="left"/>
      <w:lvlText w:val="%1."/>
      <w:numFmt w:val="decimal"/>
      <w:start w:val="10"/>
    </w:lvl>
  </w:abstractNum>
  <w:abstractNum w:abstractNumId="155">
    <w:nsid w:val="1C695DEC"/>
    <w:multiLevelType w:val="hybridMultilevel"/>
    <w:lvl w:ilvl="0">
      <w:lvlJc w:val="left"/>
      <w:lvlText w:val="%1."/>
      <w:numFmt w:val="decimal"/>
      <w:start w:val="12"/>
    </w:lvl>
  </w:abstractNum>
  <w:abstractNum w:abstractNumId="156">
    <w:nsid w:val="3FCFAED9"/>
    <w:multiLevelType w:val="hybridMultilevel"/>
    <w:lvl w:ilvl="0">
      <w:lvlJc w:val="left"/>
      <w:lvlText w:val="%1."/>
      <w:numFmt w:val="decimal"/>
      <w:start w:val="13"/>
    </w:lvl>
  </w:abstractNum>
  <w:abstractNum w:abstractNumId="157">
    <w:nsid w:val="F856867"/>
    <w:multiLevelType w:val="hybridMultilevel"/>
    <w:lvl w:ilvl="0">
      <w:lvlJc w:val="left"/>
      <w:lvlText w:val="%1."/>
      <w:numFmt w:val="decimal"/>
      <w:start w:val="14"/>
    </w:lvl>
  </w:abstractNum>
  <w:abstractNum w:abstractNumId="158">
    <w:nsid w:val="11B1CC33"/>
    <w:multiLevelType w:val="hybridMultilevel"/>
    <w:lvl w:ilvl="0">
      <w:lvlJc w:val="left"/>
      <w:lvlText w:val="%1."/>
      <w:numFmt w:val="decimal"/>
      <w:start w:val="1"/>
    </w:lvl>
  </w:abstractNum>
  <w:abstractNum w:abstractNumId="159">
    <w:nsid w:val="2E22FBB7"/>
    <w:multiLevelType w:val="hybridMultilevel"/>
    <w:lvl w:ilvl="0">
      <w:lvlJc w:val="left"/>
      <w:lvlText w:val="(%1)"/>
      <w:numFmt w:val="lowerLetter"/>
      <w:start w:val="1"/>
    </w:lvl>
  </w:abstractNum>
  <w:abstractNum w:abstractNumId="160">
    <w:nsid w:val="29934699"/>
    <w:multiLevelType w:val="hybridMultilevel"/>
    <w:lvl w:ilvl="0">
      <w:lvlJc w:val="left"/>
      <w:lvlText w:val="%1."/>
      <w:numFmt w:val="decimal"/>
      <w:start w:val="5"/>
    </w:lvl>
  </w:abstractNum>
  <w:abstractNum w:abstractNumId="161">
    <w:nsid w:val="77485850"/>
    <w:multiLevelType w:val="hybridMultilevel"/>
    <w:lvl w:ilvl="0">
      <w:lvlJc w:val="left"/>
      <w:lvlText w:val="(%1)"/>
      <w:numFmt w:val="lowerLetter"/>
      <w:start w:val="1"/>
    </w:lvl>
  </w:abstractNum>
  <w:abstractNum w:abstractNumId="162">
    <w:nsid w:val="744939A3"/>
    <w:multiLevelType w:val="hybridMultilevel"/>
    <w:lvl w:ilvl="0">
      <w:lvlJc w:val="left"/>
      <w:lvlText w:val="%1."/>
      <w:numFmt w:val="decimal"/>
      <w:start w:val="1"/>
    </w:lvl>
  </w:abstractNum>
  <w:abstractNum w:abstractNumId="163">
    <w:nsid w:val="4FA0D2E3"/>
    <w:multiLevelType w:val="hybridMultilevel"/>
    <w:lvl w:ilvl="0">
      <w:lvlJc w:val="left"/>
      <w:lvlText w:val="(%1)"/>
      <w:numFmt w:val="lowerLetter"/>
      <w:start w:val="1"/>
    </w:lvl>
  </w:abstractNum>
  <w:abstractNum w:abstractNumId="164">
    <w:nsid w:val="6B1D2C14"/>
    <w:multiLevelType w:val="hybridMultilevel"/>
    <w:lvl w:ilvl="0">
      <w:lvlJc w:val="left"/>
      <w:lvlText w:val="%1."/>
      <w:numFmt w:val="decimal"/>
      <w:start w:val="5"/>
    </w:lvl>
  </w:abstractNum>
  <w:abstractNum w:abstractNumId="165">
    <w:nsid w:val="68B867D3"/>
    <w:multiLevelType w:val="hybridMultilevel"/>
    <w:lvl w:ilvl="0">
      <w:lvlJc w:val="left"/>
      <w:lvlText w:val="(%1)"/>
      <w:numFmt w:val="lowerLetter"/>
      <w:start w:val="1"/>
    </w:lvl>
  </w:abstractNum>
  <w:abstractNum w:abstractNumId="166">
    <w:nsid w:val="3F7F5DD9"/>
    <w:multiLevelType w:val="hybridMultilevel"/>
    <w:lvl w:ilvl="0">
      <w:lvlJc w:val="left"/>
      <w:lvlText w:val="(%1)"/>
      <w:numFmt w:val="lowerRoman"/>
      <w:start w:val="1"/>
    </w:lvl>
  </w:abstractNum>
  <w:abstractNum w:abstractNumId="167">
    <w:nsid w:val="2AE05A3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2022-11-08T15:32:21Z</dcterms:created>
  <dcterms:modified xsi:type="dcterms:W3CDTF">2022-11-08T15:32:21Z</dcterms:modified>
</cp:coreProperties>
</file>