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August 1, 2005</w:t>
      </w:r>
    </w:p>
    <w:p>
      <w:pPr>
        <w:spacing w:after="0" w:line="12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420" w:type="dxa"/>
        <w:tblCellMar>
          <w:top w:w="0" w:type="dxa"/>
          <w:left w:w="0" w:type="dxa"/>
          <w:bottom w:w="0" w:type="dxa"/>
          <w:right w:w="0" w:type="dxa"/>
        </w:tblCellMar>
      </w:tblPr>
      <w:tr>
        <w:trPr>
          <w:trHeight w:val="218"/>
        </w:trPr>
        <w:tc>
          <w:tcPr>
            <w:tcW w:w="4840" w:type="dxa"/>
            <w:vAlign w:val="bottom"/>
          </w:tcPr>
          <w:p>
            <w:pPr>
              <w:jc w:val="center"/>
              <w:ind w:right="1702"/>
              <w:spacing w:after="0"/>
              <w:rPr>
                <w:sz w:val="20"/>
                <w:szCs w:val="20"/>
                <w:color w:val="auto"/>
              </w:rPr>
            </w:pPr>
            <w:r>
              <w:rPr>
                <w:rFonts w:ascii="Arial" w:cs="Arial" w:eastAsia="Arial" w:hAnsi="Arial"/>
                <w:sz w:val="18"/>
                <w:szCs w:val="18"/>
                <w:b w:val="1"/>
                <w:bCs w:val="1"/>
                <w:color w:val="auto"/>
                <w:w w:val="88"/>
              </w:rPr>
              <w:t>Delaware</w:t>
            </w:r>
          </w:p>
        </w:tc>
        <w:tc>
          <w:tcPr>
            <w:tcW w:w="2020" w:type="dxa"/>
            <w:vAlign w:val="bottom"/>
          </w:tcPr>
          <w:p>
            <w:pPr>
              <w:jc w:val="center"/>
              <w:ind w:right="786"/>
              <w:spacing w:after="0"/>
              <w:rPr>
                <w:sz w:val="20"/>
                <w:szCs w:val="20"/>
                <w:color w:val="auto"/>
              </w:rPr>
            </w:pPr>
            <w:r>
              <w:rPr>
                <w:rFonts w:ascii="Arial" w:cs="Arial" w:eastAsia="Arial" w:hAnsi="Arial"/>
                <w:sz w:val="18"/>
                <w:szCs w:val="18"/>
                <w:b w:val="1"/>
                <w:bCs w:val="1"/>
                <w:color w:val="auto"/>
                <w:w w:val="88"/>
              </w:rPr>
              <w:t>333-126019-09</w:t>
            </w:r>
          </w:p>
        </w:tc>
        <w:tc>
          <w:tcPr>
            <w:tcW w:w="284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840" w:type="dxa"/>
            <w:vAlign w:val="bottom"/>
          </w:tcPr>
          <w:p>
            <w:pPr>
              <w:jc w:val="center"/>
              <w:ind w:right="168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020" w:type="dxa"/>
            <w:vAlign w:val="bottom"/>
          </w:tcPr>
          <w:p>
            <w:pPr>
              <w:jc w:val="center"/>
              <w:ind w:right="7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40" w:type="dxa"/>
            <w:vAlign w:val="bottom"/>
          </w:tcPr>
          <w:p>
            <w:pPr>
              <w:jc w:val="center"/>
              <w:ind w:left="17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840" w:type="dxa"/>
            <w:vAlign w:val="bottom"/>
          </w:tcPr>
          <w:p>
            <w:pPr>
              <w:jc w:val="center"/>
              <w:ind w:right="1682"/>
              <w:spacing w:after="0"/>
              <w:rPr>
                <w:sz w:val="20"/>
                <w:szCs w:val="20"/>
                <w:color w:val="auto"/>
              </w:rPr>
            </w:pPr>
            <w:r>
              <w:rPr>
                <w:rFonts w:ascii="Arial" w:cs="Arial" w:eastAsia="Arial" w:hAnsi="Arial"/>
                <w:sz w:val="14"/>
                <w:szCs w:val="14"/>
                <w:b w:val="1"/>
                <w:bCs w:val="1"/>
                <w:color w:val="auto"/>
                <w:w w:val="89"/>
              </w:rPr>
              <w:t>of Incorporation</w:t>
            </w:r>
          </w:p>
        </w:tc>
        <w:tc>
          <w:tcPr>
            <w:tcW w:w="2020" w:type="dxa"/>
            <w:vAlign w:val="bottom"/>
          </w:tcPr>
          <w:p>
            <w:pPr>
              <w:jc w:val="center"/>
              <w:ind w:right="766"/>
              <w:spacing w:after="0"/>
              <w:rPr>
                <w:sz w:val="20"/>
                <w:szCs w:val="20"/>
                <w:color w:val="auto"/>
              </w:rPr>
            </w:pPr>
            <w:r>
              <w:rPr>
                <w:rFonts w:ascii="Arial" w:cs="Arial" w:eastAsia="Arial" w:hAnsi="Arial"/>
                <w:sz w:val="14"/>
                <w:szCs w:val="14"/>
                <w:b w:val="1"/>
                <w:bCs w:val="1"/>
                <w:color w:val="auto"/>
                <w:w w:val="91"/>
              </w:rPr>
              <w:t>File Number)</w:t>
            </w:r>
          </w:p>
        </w:tc>
        <w:tc>
          <w:tcPr>
            <w:tcW w:w="2840" w:type="dxa"/>
            <w:vAlign w:val="bottom"/>
          </w:tcPr>
          <w:p>
            <w:pPr>
              <w:jc w:val="center"/>
              <w:ind w:left="1704"/>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8"/>
              </w:rPr>
              <w:t>c/o MagnaChip Semiconductor S.A., 10, rue de Vianden, L-2680</w:t>
            </w:r>
          </w:p>
        </w:tc>
        <w:tc>
          <w:tcPr>
            <w:tcW w:w="20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1"/>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020" w:type="dxa"/>
            <w:vAlign w:val="bottom"/>
          </w:tcPr>
          <w:p>
            <w:pPr>
              <w:spacing w:after="0"/>
              <w:rPr>
                <w:sz w:val="20"/>
                <w:szCs w:val="20"/>
                <w:color w:val="auto"/>
              </w:rPr>
            </w:pPr>
          </w:p>
        </w:tc>
        <w:tc>
          <w:tcPr>
            <w:tcW w:w="2840" w:type="dxa"/>
            <w:vAlign w:val="bottom"/>
          </w:tcPr>
          <w:p>
            <w:pPr>
              <w:jc w:val="center"/>
              <w:ind w:left="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84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020" w:type="dxa"/>
            <w:vAlign w:val="bottom"/>
          </w:tcPr>
          <w:p>
            <w:pPr>
              <w:spacing w:after="0"/>
              <w:rPr>
                <w:sz w:val="15"/>
                <w:szCs w:val="15"/>
                <w:color w:val="auto"/>
              </w:rPr>
            </w:pPr>
          </w:p>
        </w:tc>
        <w:tc>
          <w:tcPr>
            <w:tcW w:w="2840" w:type="dxa"/>
            <w:vAlign w:val="bottom"/>
          </w:tcPr>
          <w:p>
            <w:pPr>
              <w:jc w:val="center"/>
              <w:ind w:left="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July 3, 2005, as presented in a press release dated August 1, 2005.</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7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18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180" w:type="dxa"/>
            <w:vAlign w:val="bottom"/>
            <w:gridSpan w:val="3"/>
          </w:tcPr>
          <w:p>
            <w:pPr>
              <w:ind w:left="880"/>
              <w:spacing w:after="0"/>
              <w:rPr>
                <w:sz w:val="20"/>
                <w:szCs w:val="20"/>
                <w:color w:val="auto"/>
              </w:rPr>
            </w:pPr>
            <w:r>
              <w:rPr>
                <w:rFonts w:ascii="Arial" w:cs="Arial" w:eastAsia="Arial" w:hAnsi="Arial"/>
                <w:sz w:val="18"/>
                <w:szCs w:val="18"/>
                <w:color w:val="auto"/>
                <w:w w:val="87"/>
              </w:rPr>
              <w:t>Press release for MagnaChip Semiconductor LLC dated August 1, 2005, announcing the results for the second quarter</w:t>
            </w:r>
          </w:p>
        </w:tc>
      </w:tr>
      <w:tr>
        <w:trPr>
          <w:trHeight w:val="222"/>
        </w:trPr>
        <w:tc>
          <w:tcPr>
            <w:tcW w:w="880" w:type="dxa"/>
            <w:vAlign w:val="bottom"/>
          </w:tcPr>
          <w:p>
            <w:pPr>
              <w:spacing w:after="0"/>
              <w:rPr>
                <w:sz w:val="19"/>
                <w:szCs w:val="19"/>
                <w:color w:val="auto"/>
              </w:rPr>
            </w:pPr>
          </w:p>
        </w:tc>
        <w:tc>
          <w:tcPr>
            <w:tcW w:w="9180" w:type="dxa"/>
            <w:vAlign w:val="bottom"/>
            <w:gridSpan w:val="3"/>
          </w:tcPr>
          <w:p>
            <w:pPr>
              <w:ind w:left="880"/>
              <w:spacing w:after="0"/>
              <w:rPr>
                <w:sz w:val="20"/>
                <w:szCs w:val="20"/>
                <w:color w:val="auto"/>
              </w:rPr>
            </w:pPr>
            <w:r>
              <w:rPr>
                <w:rFonts w:ascii="Arial" w:cs="Arial" w:eastAsia="Arial" w:hAnsi="Arial"/>
                <w:sz w:val="18"/>
                <w:szCs w:val="18"/>
                <w:color w:val="auto"/>
              </w:rPr>
              <w:t>ended July 3, 2005.</w:t>
            </w:r>
          </w:p>
        </w:tc>
      </w:tr>
    </w:tbl>
    <w:p>
      <w:pPr>
        <w:sectPr>
          <w:pgSz w:w="11900" w:h="16838" w:orient="portrait"/>
          <w:cols w:equalWidth="0" w:num="1">
            <w:col w:w="10580"/>
          </w:cols>
          <w:pgMar w:left="240" w:top="422" w:right="10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spacing w:after="0"/>
              <w:rPr>
                <w:sz w:val="19"/>
                <w:szCs w:val="19"/>
                <w:color w:val="auto"/>
              </w:rPr>
            </w:pPr>
          </w:p>
        </w:tc>
        <w:tc>
          <w:tcPr>
            <w:tcW w:w="7580" w:type="dxa"/>
            <w:vAlign w:val="bottom"/>
            <w:gridSpan w:val="2"/>
          </w:tcPr>
          <w:p>
            <w:pPr>
              <w:ind w:left="224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840" w:type="dxa"/>
            <w:vAlign w:val="bottom"/>
          </w:tcPr>
          <w:p>
            <w:pPr>
              <w:spacing w:after="0"/>
              <w:rPr>
                <w:sz w:val="20"/>
                <w:szCs w:val="20"/>
                <w:color w:val="auto"/>
              </w:rPr>
            </w:pPr>
            <w:r>
              <w:rPr>
                <w:rFonts w:ascii="Arial" w:cs="Arial" w:eastAsia="Arial" w:hAnsi="Arial"/>
                <w:sz w:val="18"/>
                <w:szCs w:val="18"/>
                <w:color w:val="auto"/>
              </w:rPr>
              <w:t>Dated: August 5, 2005</w:t>
            </w:r>
          </w:p>
        </w:tc>
        <w:tc>
          <w:tcPr>
            <w:tcW w:w="2560" w:type="dxa"/>
            <w:vAlign w:val="bottom"/>
          </w:tcPr>
          <w:p>
            <w:pPr>
              <w:ind w:left="2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Youm Huh</w:t>
            </w:r>
          </w:p>
        </w:tc>
      </w:tr>
      <w:tr>
        <w:trPr>
          <w:trHeight w:val="202"/>
        </w:trPr>
        <w:tc>
          <w:tcPr>
            <w:tcW w:w="38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422"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320" w:type="dxa"/>
            <w:vAlign w:val="bottom"/>
            <w:gridSpan w:val="3"/>
          </w:tcPr>
          <w:p>
            <w:pPr>
              <w:ind w:left="9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r>
      <w:tr>
        <w:trPr>
          <w:trHeight w:val="95"/>
        </w:trPr>
        <w:tc>
          <w:tcPr>
            <w:tcW w:w="8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92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5"/>
          </w:tcPr>
          <w:p>
            <w:pPr>
              <w:ind w:left="980"/>
              <w:spacing w:after="0"/>
              <w:rPr>
                <w:sz w:val="20"/>
                <w:szCs w:val="20"/>
                <w:color w:val="auto"/>
              </w:rPr>
            </w:pPr>
            <w:r>
              <w:rPr>
                <w:rFonts w:ascii="Arial" w:cs="Arial" w:eastAsia="Arial" w:hAnsi="Arial"/>
                <w:sz w:val="18"/>
                <w:szCs w:val="18"/>
                <w:color w:val="auto"/>
                <w:w w:val="87"/>
              </w:rPr>
              <w:t>Press release for MagnaChip Semiconductor LLC dated August 1, 2005, announcing the results for the second quarter ended July 3,</w:t>
            </w:r>
          </w:p>
        </w:tc>
      </w:tr>
      <w:tr>
        <w:trPr>
          <w:trHeight w:val="222"/>
        </w:trPr>
        <w:tc>
          <w:tcPr>
            <w:tcW w:w="880" w:type="dxa"/>
            <w:vAlign w:val="bottom"/>
          </w:tcPr>
          <w:p>
            <w:pPr>
              <w:spacing w:after="0"/>
              <w:rPr>
                <w:sz w:val="19"/>
                <w:szCs w:val="19"/>
                <w:color w:val="auto"/>
              </w:rPr>
            </w:pP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rPr>
              <w:t>2005.</w:t>
            </w:r>
          </w:p>
        </w:tc>
        <w:tc>
          <w:tcPr>
            <w:tcW w:w="2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r>
    </w:tbl>
    <w:p>
      <w:pPr>
        <w:sectPr>
          <w:pgSz w:w="11900" w:h="16838" w:orient="portrait"/>
          <w:cols w:equalWidth="0" w:num="1">
            <w:col w:w="11140"/>
          </w:cols>
          <w:pgMar w:left="240" w:top="405"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109220</wp:posOffset>
            </wp:positionV>
            <wp:extent cx="245237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23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York, August 1, 2005 </w:t>
      </w:r>
      <w:r>
        <w:rPr>
          <w:rFonts w:ascii="Arial" w:cs="Arial" w:eastAsia="Arial" w:hAnsi="Arial"/>
          <w:sz w:val="18"/>
          <w:szCs w:val="18"/>
          <w:color w:val="auto"/>
        </w:rPr>
        <w:t>– MagnaChip Semiconductor today announced results for the second quarter ended July 3, 2005.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July 3, 2005 increased 10.6% to $236.0 million, compared to $213.4 million in the first quarter of 2005.</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Gross margin on a U.S. GAAP basis was $60.4 million or 25.6% of revenue for the quarter ended July 3, 2005, compared to 12.2% for the quarter ended April 3, 2005. Gross margin for the second quarter of 2005 was 25.6%, compared to 14.3% in the first quarter of 2005, an increase of 1,130 basis points, on an adjusted basis, due to increased utilization, higher yields, and the positive impacts of cost containment programs.</w:t>
      </w:r>
    </w:p>
    <w:p>
      <w:pPr>
        <w:spacing w:after="0" w:line="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expenses were $68.7 million in the second quarter or 29.1% of revenue, an increase of $14.2 million or 25.9% from the first quarter primarily due an asset impairment charge and increased amortization of intangible assets related to the acquisition of IC Media. On a U.S. GAAP basis, the operating loss for the quarter was $8.3 million, a $20.3 million or 70.9% improvement from $28.6 million loss in the first quarter. Adjusted for the special charge of $8.7 million of restructuring and impairment charges and $2.6 million of the amortization of intangible assets associated with acquisition, operating income was $3.0 million or 1.3% of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$14.0 million for the quarter.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three months ended July 3, 2005, on a US GAAP basis was $33.5 million, compared to a net loss of $31.3 million in the previous quarter.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Adjusted for the special non-cash charges, net loss was $22.2 million for the second quarter of 2005.</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Youm Huh, President and CEO of MagnaChip Semiconductor, commented, “We are encouraged by our second quarter results. Our improvement in revenue and operations reflects a more favorable semiconductor environment and the results of our various operational initiatives. During the second quarter, we launched several new driver technologies with great potential. One example is the introduction of our new 162 channel 8-bit 1 chip driver for Low Temperature Poly Silicon (LTPS) panels. LTPS panels have shown remarkable growth in the small and medium-sized panel market in recent months with their ability to provide faster response time and support high-resolution picture quality. We also announced the launch of our newest microcontroller (MCU) line. These MCUs have the capacity range of 4K, 16K, 24K and 48K flash memory and will be ready for mass production in early July 2005.”</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Robert Krakauer, Executive Vice President of Strategic Operations and CFO of MagnaChip Semiconductor, said, “We made significant progress this past quarter. Our gross margin improvement efforts are significantly ahead of where we expected. Improved utilization of our manufacturing facilities; reduction in material costs; better than expected yields, including hitting new highs for our mega-pixel image sensors; and improved labor productivity have all contributed to a dramatic recovery in gross margin during the quarter. In addition, we recently announced a move toward a product line oriented management structure that focuses on growth and accountability for product line profitability rather than the traditional functional management structure. We believe this structure will improve our financial performance as we continue to expand and support the world’s leading consumer electronics and communications companies. Finally, the United States Securities and Exchange Commission (“SEC”)</w:t>
      </w:r>
    </w:p>
    <w:p>
      <w:pPr>
        <w:sectPr>
          <w:pgSz w:w="11900" w:h="16838" w:orient="portrait"/>
          <w:cols w:equalWidth="0" w:num="1">
            <w:col w:w="11420"/>
          </w:cols>
          <w:pgMar w:left="240" w:top="125" w:right="239" w:bottom="1440" w:gutter="0" w:footer="0" w:header="0"/>
        </w:sectPr>
      </w:pPr>
    </w:p>
    <w:bookmarkStart w:id="5" w:name="page6"/>
    <w:bookmarkEnd w:id="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declared effective MagnaChip’s S-4 statement related to our December 23, 2004 sale of US$750 million of high yield notes in a private offering. This is a critical step toward establishing a liquid market for MagnaChip’s bonds.”</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Dr. Huh, concluded, “While we remain optimistic about our progress and strong long-term growth prospects, we expect revenue growth will be only modest to flat in the third quarter due to the timing of our new product introductions ramping into volume. Importantly, we expect that the positioning of our products will continue to improve going forward with significant new launches coming to the market in the second half of the year. We expect MagnaChip will be well positioned for renewed growth as we leverage these new products in our target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MagnaChip will report full results for the second quarter 2005 on Monday, August 1, 2005 at 5:00 p.m. EDT (6:00 a.m., Tuesday, August 2 in South Korea). The conference call will be available at www.magnachip.com and by telephone at (201) 689-8359. A replay of the call will be available immediately following the call on Monday, August 1, 2005 through midnight EDT on Monday, August 8, 2005 (1:00 p.m., Tuesday, August 9 in South Korea) by telephone at (201) 612-7415 and via the web www.magnachip.com. The account number and confirmation identification for the replay are 3055 and 157445,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more than 13,400 registered and pending patents. As a result, MagnaChip is a valued partner in providing leading technology solutions to its customers worldwide. For more information, visit www.magnachip.com.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Offering Memorandum dated December 16, 2004.</w:t>
      </w:r>
    </w:p>
    <w:p>
      <w:pPr>
        <w:spacing w:after="0" w:line="10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Strategic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-421640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5340" w:space="720"/>
            <w:col w:w="4159"/>
          </w:cols>
          <w:pgMar w:left="240" w:top="27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6"/>
              </w:rPr>
              <w:t>July 3,</w:t>
            </w:r>
          </w:p>
        </w:tc>
        <w:tc>
          <w:tcPr>
            <w:tcW w:w="1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236,023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175,619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187,438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Interest (expenses), net</w:t>
            </w:r>
          </w:p>
        </w:tc>
        <w:tc>
          <w:tcPr>
            <w:tcW w:w="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(13,991)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(expenses), net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(12,795)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(35,108)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8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(33,484)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(31,278)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common units :</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Common units (in thousands) used in per common units calculation: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 Ratios &amp; Information: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6,490</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-1746250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-1746250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-1746250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-1746250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-1746250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-1746250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a non-US GAAP conforming measure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5"/>
              </w:rPr>
              <w:t>Three Months Ended July 3, 2005</w:t>
            </w:r>
          </w:p>
        </w:tc>
        <w:tc>
          <w:tcPr>
            <w:tcW w:w="26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6"/>
              </w:rPr>
              <w:t>Three Months Ended April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Operating</w:t>
            </w:r>
          </w:p>
        </w:tc>
        <w:tc>
          <w:tcPr>
            <w:tcW w:w="1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Operating</w:t>
            </w: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Profit</w:t>
            </w: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(loss)</w:t>
            </w:r>
          </w:p>
        </w:tc>
        <w:tc>
          <w:tcPr>
            <w:tcW w:w="12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(loss)</w:t>
            </w:r>
          </w:p>
        </w:tc>
        <w:tc>
          <w:tcPr>
            <w:tcW w:w="580" w:type="dxa"/>
            <w:vAlign w:val="bottom"/>
          </w:tcPr>
          <w:p>
            <w:pPr>
              <w:jc w:val="right"/>
              <w:ind w:right="44"/>
              <w:spacing w:after="0"/>
              <w:rPr>
                <w:sz w:val="20"/>
                <w:szCs w:val="20"/>
                <w:color w:val="auto"/>
              </w:rPr>
            </w:pPr>
            <w:r>
              <w:rPr>
                <w:rFonts w:ascii="Arial" w:cs="Arial" w:eastAsia="Arial" w:hAnsi="Arial"/>
                <w:sz w:val="14"/>
                <w:szCs w:val="14"/>
                <w:b w:val="1"/>
                <w:bCs w:val="1"/>
                <w:color w:val="auto"/>
              </w:rPr>
              <w:t>Profit</w:t>
            </w:r>
          </w:p>
        </w:tc>
        <w:tc>
          <w:tcPr>
            <w:tcW w:w="2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(loss)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gridSpan w:val="2"/>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2060" w:type="dxa"/>
            <w:vAlign w:val="bottom"/>
            <w:gridSpan w:val="3"/>
            <w:shd w:val="clear" w:color="auto" w:fill="CCEEFF"/>
          </w:tcPr>
          <w:p>
            <w:pPr>
              <w:jc w:val="center"/>
              <w:ind w:left="1192"/>
              <w:spacing w:after="0"/>
              <w:rPr>
                <w:sz w:val="20"/>
                <w:szCs w:val="20"/>
                <w:color w:val="auto"/>
              </w:rPr>
            </w:pPr>
            <w:r>
              <w:rPr>
                <w:rFonts w:ascii="Arial" w:cs="Arial" w:eastAsia="Arial" w:hAnsi="Arial"/>
                <w:sz w:val="18"/>
                <w:szCs w:val="18"/>
                <w:color w:val="auto"/>
                <w:w w:val="89"/>
              </w:rPr>
              <w:t>$60,404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(8,322)</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 (33,484)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$25,952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(28,626)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Special items</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uplift of inventory expense</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4100" w:type="dxa"/>
            <w:vAlign w:val="bottom"/>
          </w:tcPr>
          <w:p>
            <w:pPr>
              <w:ind w:left="20"/>
              <w:spacing w:after="0"/>
              <w:rPr>
                <w:sz w:val="20"/>
                <w:szCs w:val="20"/>
                <w:color w:val="auto"/>
              </w:rPr>
            </w:pPr>
            <w:r>
              <w:rPr>
                <w:rFonts w:ascii="Arial" w:cs="Arial" w:eastAsia="Arial" w:hAnsi="Arial"/>
                <w:sz w:val="18"/>
                <w:szCs w:val="18"/>
                <w:color w:val="auto"/>
              </w:rPr>
              <w:t>Order backlog amortization</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2,969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impairment charges</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8,720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100" w:type="dxa"/>
            <w:vAlign w:val="bottom"/>
          </w:tcPr>
          <w:p>
            <w:pPr>
              <w:ind w:left="20"/>
              <w:spacing w:after="0"/>
              <w:rPr>
                <w:sz w:val="20"/>
                <w:szCs w:val="20"/>
                <w:color w:val="auto"/>
              </w:rPr>
            </w:pPr>
            <w:r>
              <w:rPr>
                <w:rFonts w:ascii="Arial" w:cs="Arial" w:eastAsia="Arial" w:hAnsi="Arial"/>
                <w:sz w:val="18"/>
                <w:szCs w:val="18"/>
                <w:color w:val="auto"/>
              </w:rPr>
              <w:t>IPR&amp;D amortization</w:t>
            </w: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2,605</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64770</wp:posOffset>
            </wp:positionV>
            <wp:extent cx="2710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 - US GAAP Profit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(22,159)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$30,427</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(21,182)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(23,834)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24.3%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-507365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-507365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-507365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-507365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-507365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-507365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-507365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-507365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-507365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-507365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-507365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-507365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-507365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-507365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-507365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-507365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-507365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-507365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July 3, and April 3, are as follows:</w:t>
      </w:r>
    </w:p>
    <w:p>
      <w:pPr>
        <w:spacing w:after="0" w:line="3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uplift for inventories in purchase accounting, non-cash charge in the first quarter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Order back log capitalized in purchase accounting and amortized for 3 months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impairment charges include headcount reduction and asset impairment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IPR&amp;D in purchase accounting and amortized immediately</w:t>
      </w:r>
    </w:p>
    <w:p>
      <w:pPr>
        <w:sectPr>
          <w:pgSz w:w="11900" w:h="16838" w:orient="portrait"/>
          <w:cols w:equalWidth="0" w:num="1">
            <w:col w:w="11420"/>
          </w:cols>
          <w:pgMar w:left="240" w:top="42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July 3,</w:t>
            </w:r>
          </w:p>
        </w:tc>
        <w:tc>
          <w:tcPr>
            <w:tcW w:w="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105,748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77,301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514,704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219,758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46,925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1,031,187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1,069,916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other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92,237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35,970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Long-term debts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940,414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(10,634)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1,031,187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1,069,916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-2447290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-2447290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-2447290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-2447290</wp:posOffset>
            </wp:positionV>
            <wp:extent cx="57848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-895350</wp:posOffset>
            </wp:positionV>
            <wp:extent cx="57848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-895350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-895350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-895350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2019-12-12T04:35:40Z</dcterms:created>
  <dcterms:modified xsi:type="dcterms:W3CDTF">2019-12-12T04:35:40Z</dcterms:modified>
</cp:coreProperties>
</file>