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Lee Woung Moo</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365" w:lineRule="auto"/>
        <w:rPr>
          <w:sz w:val="20"/>
          <w:szCs w:val="20"/>
          <w:color w:val="auto"/>
        </w:rPr>
      </w:pPr>
      <w:r>
        <w:rPr>
          <w:rFonts w:ascii="Times New Roman" w:cs="Times New Roman" w:eastAsia="Times New Roman" w:hAnsi="Times New Roman"/>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ind w:left="9"/>
        <w:spacing w:after="0"/>
        <w:rPr>
          <w:rFonts w:ascii="Times New Roman" w:cs="Times New Roman" w:eastAsia="Times New Roman" w:hAnsi="Times New Roman"/>
          <w:sz w:val="21"/>
          <w:szCs w:val="21"/>
          <w:u w:val="single" w:color="auto"/>
          <w:color w:val="0000EE"/>
        </w:rPr>
      </w:pPr>
      <w:hyperlink r:id="rId14">
        <w:r>
          <w:rPr>
            <w:rFonts w:ascii="Times New Roman" w:cs="Times New Roman" w:eastAsia="Times New Roman" w:hAnsi="Times New Roman"/>
            <w:sz w:val="21"/>
            <w:szCs w:val="21"/>
            <w:u w:val="single" w:color="auto"/>
            <w:color w:val="0000EE"/>
          </w:rPr>
          <w:t>MAGNACHIP SEMICONDUCTOR Corp</w:t>
        </w:r>
      </w:hyperlink>
    </w:p>
    <w:p>
      <w:pPr>
        <w:ind w:left="129" w:hanging="129"/>
        <w:spacing w:after="0"/>
        <w:tabs>
          <w:tab w:leader="none" w:pos="129"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0000FF"/>
        </w:rPr>
        <w:t xml:space="preserve">MX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12"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ind w:left="9"/>
        <w:spacing w:after="0"/>
        <w:rPr>
          <w:sz w:val="20"/>
          <w:szCs w:val="20"/>
          <w:color w:val="auto"/>
        </w:rPr>
      </w:pPr>
      <w:r>
        <w:rPr>
          <w:rFonts w:ascii="Times New Roman" w:cs="Times New Roman" w:eastAsia="Times New Roman" w:hAnsi="Times New Roman"/>
          <w:sz w:val="17"/>
          <w:szCs w:val="17"/>
          <w:color w:val="0000FF"/>
        </w:rPr>
        <w:t>02/16/2021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See Remarks</w:t>
      </w:r>
    </w:p>
    <w:p>
      <w:pPr>
        <w:spacing w:after="0" w:line="668" w:lineRule="exact"/>
        <w:rPr>
          <w:sz w:val="24"/>
          <w:szCs w:val="24"/>
          <w:color w:val="auto"/>
        </w:rPr>
      </w:pPr>
    </w:p>
    <w:p>
      <w:pPr>
        <w:sectPr>
          <w:pgSz w:w="11900" w:h="16838" w:orient="portrait"/>
          <w:cols w:equalWidth="0" w:num="3">
            <w:col w:w="3500" w:space="411"/>
            <w:col w:w="3649" w:space="175"/>
            <w:col w:w="3345"/>
          </w:cols>
          <w:pgMar w:left="460" w:top="219" w:right="359" w:bottom="1440" w:gutter="0" w:footer="0" w:header="0"/>
          <w:type w:val="continuous"/>
        </w:sectPr>
      </w:pPr>
    </w:p>
    <w:p>
      <w:pPr>
        <w:spacing w:after="0" w:line="27"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SEOUL,</w:t>
      </w:r>
    </w:p>
    <w:p>
      <w:pPr>
        <w:spacing w:after="0" w:line="31" w:lineRule="exact"/>
        <w:rPr>
          <w:sz w:val="24"/>
          <w:szCs w:val="24"/>
          <w:color w:val="auto"/>
        </w:rPr>
      </w:pPr>
    </w:p>
    <w:p>
      <w:pPr>
        <w:ind w:left="120" w:right="200"/>
        <w:spacing w:after="0" w:line="261" w:lineRule="auto"/>
        <w:rPr>
          <w:sz w:val="20"/>
          <w:szCs w:val="20"/>
          <w:color w:val="auto"/>
        </w:rPr>
      </w:pPr>
      <w:r>
        <w:rPr>
          <w:rFonts w:ascii="Times New Roman" w:cs="Times New Roman" w:eastAsia="Times New Roman" w:hAnsi="Times New Roman"/>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spacing w:after="0" w:line="6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85090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17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9"/>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vMerge w:val="continue"/>
          </w:tcPr>
          <w:p>
            <w:pPr>
              <w:spacing w:after="0"/>
              <w:rPr>
                <w:sz w:val="11"/>
                <w:szCs w:val="11"/>
                <w:color w:val="auto"/>
              </w:rPr>
            </w:pP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12,373</w:t>
            </w:r>
            <w:r>
              <w:rPr>
                <w:rFonts w:ascii="Times New Roman" w:cs="Times New Roman" w:eastAsia="Times New Roman" w:hAnsi="Times New Roman"/>
                <w:sz w:val="22"/>
                <w:szCs w:val="22"/>
                <w:color w:val="008000"/>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111,781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02/16/2021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ind w:right="13"/>
              <w:spacing w:after="0"/>
              <w:rPr>
                <w:sz w:val="20"/>
                <w:szCs w:val="20"/>
                <w:color w:val="auto"/>
              </w:rPr>
            </w:pPr>
            <w:r>
              <w:rPr>
                <w:rFonts w:ascii="Times New Roman" w:cs="Times New Roman" w:eastAsia="Times New Roman" w:hAnsi="Times New Roman"/>
                <w:sz w:val="17"/>
                <w:szCs w:val="17"/>
                <w:color w:val="0000FF"/>
              </w:rPr>
              <w:t>5,534</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19.86</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106,247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vMerge w:val="continue"/>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reflects shares of common stock issued in connection with the vesting of financial performance-based restricted stock units granted on June 2, 2020.</w:t>
      </w:r>
    </w:p>
    <w:p>
      <w:pPr>
        <w:spacing w:after="0" w:line="50" w:lineRule="exact"/>
        <w:rPr>
          <w:rFonts w:ascii="Times New Roman" w:cs="Times New Roman" w:eastAsia="Times New Roman" w:hAnsi="Times New Roman"/>
          <w:sz w:val="13"/>
          <w:szCs w:val="13"/>
          <w:color w:val="008000"/>
        </w:rPr>
      </w:pPr>
    </w:p>
    <w:p>
      <w:pPr>
        <w:ind w:left="40" w:right="300" w:firstLine="7"/>
        <w:spacing w:after="0" w:line="271"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represents the withholding by the Issuer of 5,534 shares of common stock to satisfy tax withholding obligations incurred by the Reporting Person upon the vesting of 12,373 shares of common stock issued in connection with the vesting of financial performance-based restricted stock units granted on June 2, 2020.</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General Manager of Worldwide Sales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Theodore Kim, Attorney-</w:t>
            </w:r>
          </w:p>
        </w:tc>
        <w:tc>
          <w:tcPr>
            <w:tcW w:w="10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02/18/2021</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58198"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2021-02-18T15:23:45Z</dcterms:created>
  <dcterms:modified xsi:type="dcterms:W3CDTF">2021-02-18T15:23:45Z</dcterms:modified>
</cp:coreProperties>
</file>