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11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1937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Kim Theodore S</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60 SOUTH MARKET STREET, SUITE 750</w:t>
      </w:r>
    </w:p>
    <w:p>
      <w:pPr>
        <w:spacing w:after="0" w:line="344"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0000FF"/>
              </w:rPr>
              <w:t>SAN JOSE</w:t>
            </w:r>
          </w:p>
        </w:tc>
        <w:tc>
          <w:tcPr>
            <w:tcW w:w="108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CA</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95113</w:t>
            </w: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2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900" w:type="dxa"/>
            <w:vAlign w:val="bottom"/>
            <w:gridSpan w:val="2"/>
          </w:tcPr>
          <w:p>
            <w:pPr>
              <w:spacing w:after="0" w:line="216" w:lineRule="exact"/>
              <w:rPr>
                <w:rFonts w:ascii="Times New Roman" w:cs="Times New Roman" w:eastAsia="Times New Roman" w:hAnsi="Times New Roman"/>
                <w:sz w:val="22"/>
                <w:szCs w:val="22"/>
                <w:color w:val="0000EE"/>
                <w:w w:val="99"/>
              </w:rPr>
            </w:pPr>
            <w:hyperlink r:id="rId13">
              <w:r>
                <w:rPr>
                  <w:rFonts w:ascii="Times New Roman" w:cs="Times New Roman" w:eastAsia="Times New Roman" w:hAnsi="Times New Roman"/>
                  <w:sz w:val="22"/>
                  <w:szCs w:val="22"/>
                  <w:color w:val="0000EE"/>
                  <w:w w:val="99"/>
                </w:rPr>
                <w:t xml:space="preserve">MAGNACHIP SEMICONDUCTOR Corp </w:t>
              </w:r>
            </w:hyperlink>
            <w:r>
              <w:rPr>
                <w:rFonts w:ascii="Times New Roman" w:cs="Times New Roman" w:eastAsia="Times New Roman" w:hAnsi="Times New Roman"/>
                <w:sz w:val="22"/>
                <w:szCs w:val="22"/>
                <w:color w:val="000000"/>
                <w:w w:val="99"/>
              </w:rPr>
              <w:t>[</w:t>
            </w:r>
          </w:p>
        </w:tc>
        <w:tc>
          <w:tcPr>
            <w:tcW w:w="22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370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8"/>
                <w:szCs w:val="18"/>
                <w:color w:val="0000FF"/>
              </w:rPr>
              <w:t xml:space="preserve">MX </w:t>
            </w:r>
            <w:r>
              <w:rPr>
                <w:rFonts w:ascii="Times New Roman" w:cs="Times New Roman" w:eastAsia="Times New Roman" w:hAnsi="Times New Roman"/>
                <w:sz w:val="21"/>
                <w:szCs w:val="21"/>
                <w:color w:val="000000"/>
              </w:rPr>
              <w:t>]</w:t>
            </w:r>
          </w:p>
        </w:tc>
        <w:tc>
          <w:tcPr>
            <w:tcW w:w="200" w:type="dxa"/>
            <w:vAlign w:val="bottom"/>
            <w:vMerge w:val="restart"/>
          </w:tcPr>
          <w:p>
            <w:pPr>
              <w:spacing w:after="0"/>
              <w:rPr>
                <w:sz w:val="13"/>
                <w:szCs w:val="13"/>
                <w:color w:val="auto"/>
              </w:rPr>
            </w:pPr>
          </w:p>
        </w:tc>
        <w:tc>
          <w:tcPr>
            <w:tcW w:w="520" w:type="dxa"/>
            <w:vAlign w:val="bottom"/>
          </w:tcPr>
          <w:p>
            <w:pPr>
              <w:spacing w:after="0"/>
              <w:rPr>
                <w:sz w:val="13"/>
                <w:szCs w:val="13"/>
                <w:color w:val="auto"/>
              </w:rPr>
            </w:pPr>
          </w:p>
        </w:tc>
        <w:tc>
          <w:tcPr>
            <w:tcW w:w="1700" w:type="dxa"/>
            <w:vAlign w:val="bottom"/>
          </w:tcPr>
          <w:p>
            <w:pPr>
              <w:ind w:left="100"/>
              <w:spacing w:after="0" w:line="153" w:lineRule="exact"/>
              <w:rPr>
                <w:sz w:val="20"/>
                <w:szCs w:val="20"/>
                <w:color w:val="auto"/>
              </w:rPr>
            </w:pPr>
            <w:r>
              <w:rPr>
                <w:rFonts w:ascii="Arial" w:cs="Arial" w:eastAsia="Arial" w:hAnsi="Arial"/>
                <w:sz w:val="14"/>
                <w:szCs w:val="14"/>
                <w:color w:val="auto"/>
              </w:rPr>
              <w:t>Director</w:t>
            </w:r>
          </w:p>
        </w:tc>
        <w:tc>
          <w:tcPr>
            <w:tcW w:w="1200" w:type="dxa"/>
            <w:vAlign w:val="bottom"/>
          </w:tcPr>
          <w:p>
            <w:pPr>
              <w:ind w:left="40"/>
              <w:spacing w:after="0" w:line="153"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0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5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0000FF"/>
              </w:rPr>
              <w:t>X</w:t>
            </w:r>
          </w:p>
        </w:tc>
        <w:tc>
          <w:tcPr>
            <w:tcW w:w="1700" w:type="dxa"/>
            <w:vAlign w:val="bottom"/>
            <w:vMerge w:val="restart"/>
          </w:tcPr>
          <w:p>
            <w:pPr>
              <w:ind w:left="100"/>
              <w:spacing w:after="0" w:line="154" w:lineRule="exact"/>
              <w:rPr>
                <w:sz w:val="20"/>
                <w:szCs w:val="20"/>
                <w:color w:val="auto"/>
              </w:rPr>
            </w:pPr>
            <w:r>
              <w:rPr>
                <w:rFonts w:ascii="Arial" w:cs="Arial" w:eastAsia="Arial" w:hAnsi="Arial"/>
                <w:sz w:val="14"/>
                <w:szCs w:val="14"/>
                <w:color w:val="auto"/>
              </w:rPr>
              <w:t>Officer (give title</w:t>
            </w:r>
          </w:p>
        </w:tc>
        <w:tc>
          <w:tcPr>
            <w:tcW w:w="1200" w:type="dxa"/>
            <w:vAlign w:val="bottom"/>
            <w:vMerge w:val="restart"/>
          </w:tcPr>
          <w:p>
            <w:pPr>
              <w:ind w:left="40"/>
              <w:spacing w:after="0" w:line="154"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1700" w:type="dxa"/>
            <w:vAlign w:val="bottom"/>
            <w:vMerge w:val="continue"/>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80" w:type="dxa"/>
            <w:vAlign w:val="bottom"/>
            <w:tcBorders>
              <w:bottom w:val="single" w:sz="8" w:color="2C2C2C"/>
            </w:tcBorders>
          </w:tcPr>
          <w:p>
            <w:pPr>
              <w:spacing w:after="0"/>
              <w:rPr>
                <w:sz w:val="9"/>
                <w:szCs w:val="9"/>
                <w:color w:val="auto"/>
              </w:rPr>
            </w:pPr>
          </w:p>
        </w:tc>
        <w:tc>
          <w:tcPr>
            <w:tcW w:w="37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20" w:type="dxa"/>
            <w:vAlign w:val="bottom"/>
            <w:vMerge w:val="continue"/>
          </w:tcPr>
          <w:p>
            <w:pPr>
              <w:spacing w:after="0"/>
              <w:rPr>
                <w:sz w:val="9"/>
                <w:szCs w:val="9"/>
                <w:color w:val="auto"/>
              </w:rPr>
            </w:pPr>
          </w:p>
        </w:tc>
        <w:tc>
          <w:tcPr>
            <w:tcW w:w="17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3900" w:type="dxa"/>
            <w:vAlign w:val="bottom"/>
            <w:gridSpan w:val="2"/>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4"/>
                <w:szCs w:val="4"/>
                <w:color w:val="auto"/>
              </w:rPr>
            </w:pPr>
          </w:p>
        </w:tc>
        <w:tc>
          <w:tcPr>
            <w:tcW w:w="170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80" w:type="dxa"/>
            <w:vAlign w:val="bottom"/>
          </w:tcPr>
          <w:p>
            <w:pPr>
              <w:spacing w:after="0"/>
              <w:rPr>
                <w:sz w:val="11"/>
                <w:szCs w:val="11"/>
                <w:color w:val="auto"/>
              </w:rPr>
            </w:pPr>
          </w:p>
        </w:tc>
        <w:tc>
          <w:tcPr>
            <w:tcW w:w="390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vMerge w:val="restart"/>
          </w:tcPr>
          <w:p>
            <w:pPr>
              <w:ind w:left="740"/>
              <w:spacing w:after="0"/>
              <w:rPr>
                <w:sz w:val="20"/>
                <w:szCs w:val="20"/>
                <w:color w:val="auto"/>
              </w:rPr>
            </w:pPr>
            <w:r>
              <w:rPr>
                <w:rFonts w:ascii="Times New Roman" w:cs="Times New Roman" w:eastAsia="Times New Roman" w:hAnsi="Times New Roman"/>
                <w:sz w:val="18"/>
                <w:szCs w:val="18"/>
                <w:color w:val="0000FF"/>
                <w:w w:val="99"/>
              </w:rPr>
              <w:t>See Remarks</w:t>
            </w: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0000FF"/>
              </w:rPr>
              <w:t>03/08/2019</w:t>
            </w: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7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80" w:type="dxa"/>
            <w:vAlign w:val="bottom"/>
            <w:tcBorders>
              <w:bottom w:val="single" w:sz="8" w:color="2C2C2C"/>
            </w:tcBorders>
          </w:tcPr>
          <w:p>
            <w:pPr>
              <w:spacing w:after="0"/>
              <w:rPr>
                <w:sz w:val="11"/>
                <w:szCs w:val="11"/>
                <w:color w:val="auto"/>
              </w:rPr>
            </w:pPr>
          </w:p>
        </w:tc>
        <w:tc>
          <w:tcPr>
            <w:tcW w:w="37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342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25" w:lineRule="auto"/>
        <w:tabs>
          <w:tab w:leader="none" w:pos="460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Person</w:t>
      </w:r>
    </w:p>
    <w:p>
      <w:pPr>
        <w:spacing w:after="0" w:line="305" w:lineRule="exact"/>
        <w:rPr>
          <w:sz w:val="24"/>
          <w:szCs w:val="24"/>
          <w:color w:val="auto"/>
        </w:rPr>
      </w:pPr>
    </w:p>
    <w:p>
      <w:pPr>
        <w:sectPr>
          <w:pgSz w:w="11900" w:h="16838" w:orient="portrait"/>
          <w:cols w:equalWidth="0" w:num="2">
            <w:col w:w="3920" w:space="80"/>
            <w:col w:w="742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4"/>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vMerge w:val="continue"/>
          </w:tcPr>
          <w:p>
            <w:pPr>
              <w:spacing w:after="0"/>
              <w:rPr>
                <w:sz w:val="11"/>
                <w:szCs w:val="11"/>
                <w:color w:val="auto"/>
              </w:rPr>
            </w:pPr>
          </w:p>
        </w:tc>
        <w:tc>
          <w:tcPr>
            <w:tcW w:w="620" w:type="dxa"/>
            <w:vAlign w:val="bottom"/>
            <w:gridSpan w:val="2"/>
            <w:vMerge w:val="restart"/>
          </w:tcPr>
          <w:p>
            <w:pPr>
              <w:jc w:val="right"/>
              <w:ind w:right="219"/>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8"/>
                <w:szCs w:val="18"/>
                <w:color w:val="0000FF"/>
              </w:rPr>
              <w:t>03/08/2019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7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8"/>
                <w:szCs w:val="18"/>
                <w:color w:val="0000FF"/>
                <w:w w:val="86"/>
              </w:rPr>
              <w:t>4,044</w:t>
            </w:r>
            <w:r>
              <w:rPr>
                <w:rFonts w:ascii="Times New Roman" w:cs="Times New Roman" w:eastAsia="Times New Roman" w:hAnsi="Times New Roman"/>
                <w:sz w:val="22"/>
                <w:szCs w:val="22"/>
                <w:color w:val="008000"/>
                <w:w w:val="86"/>
                <w:vertAlign w:val="superscript"/>
              </w:rPr>
              <w:t>(1)</w:t>
            </w:r>
          </w:p>
        </w:tc>
        <w:tc>
          <w:tcPr>
            <w:tcW w:w="7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A</w:t>
            </w:r>
          </w:p>
        </w:tc>
        <w:tc>
          <w:tcPr>
            <w:tcW w:w="620" w:type="dxa"/>
            <w:vAlign w:val="bottom"/>
            <w:tcBorders>
              <w:bottom w:val="single" w:sz="8" w:color="2C2C2C"/>
            </w:tcBorders>
            <w:gridSpan w:val="2"/>
          </w:tcPr>
          <w:p>
            <w:pPr>
              <w:jc w:val="right"/>
              <w:ind w:right="59"/>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0.00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8"/>
                <w:szCs w:val="18"/>
                <w:color w:val="0000FF"/>
              </w:rPr>
              <w:t>75,237</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8"/>
                <w:szCs w:val="18"/>
                <w:color w:val="0000FF"/>
              </w:rPr>
              <w:t>03/08/2019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4"/>
                <w:szCs w:val="14"/>
                <w:color w:val="0000FF"/>
              </w:rPr>
              <w:t>F</w:t>
            </w:r>
          </w:p>
        </w:tc>
        <w:tc>
          <w:tcPr>
            <w:tcW w:w="7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8"/>
                <w:szCs w:val="18"/>
                <w:color w:val="0000FF"/>
                <w:w w:val="86"/>
              </w:rPr>
              <w:t>1,674</w:t>
            </w:r>
            <w:r>
              <w:rPr>
                <w:rFonts w:ascii="Times New Roman" w:cs="Times New Roman" w:eastAsia="Times New Roman" w:hAnsi="Times New Roman"/>
                <w:sz w:val="22"/>
                <w:szCs w:val="22"/>
                <w:color w:val="008000"/>
                <w:w w:val="86"/>
                <w:vertAlign w:val="superscript"/>
              </w:rPr>
              <w:t>(2)</w:t>
            </w:r>
          </w:p>
        </w:tc>
        <w:tc>
          <w:tcPr>
            <w:tcW w:w="7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620" w:type="dxa"/>
            <w:vAlign w:val="bottom"/>
            <w:tcBorders>
              <w:bottom w:val="single" w:sz="8" w:color="2C2C2C"/>
            </w:tcBorders>
            <w:gridSpan w:val="2"/>
          </w:tcPr>
          <w:p>
            <w:pPr>
              <w:jc w:val="right"/>
              <w:ind w:right="59"/>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7.51</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8"/>
                <w:szCs w:val="18"/>
                <w:color w:val="0000FF"/>
              </w:rPr>
              <w:t>73,563</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8"/>
                <w:szCs w:val="18"/>
                <w:color w:val="0000FF"/>
              </w:rPr>
              <w:t>03/11/2019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4"/>
                <w:szCs w:val="14"/>
                <w:color w:val="0000FF"/>
              </w:rPr>
              <w:t>F</w:t>
            </w:r>
          </w:p>
        </w:tc>
        <w:tc>
          <w:tcPr>
            <w:tcW w:w="7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8"/>
                <w:szCs w:val="18"/>
                <w:color w:val="0000FF"/>
                <w:w w:val="86"/>
              </w:rPr>
              <w:t>1,863</w:t>
            </w:r>
            <w:r>
              <w:rPr>
                <w:rFonts w:ascii="Times New Roman" w:cs="Times New Roman" w:eastAsia="Times New Roman" w:hAnsi="Times New Roman"/>
                <w:sz w:val="22"/>
                <w:szCs w:val="22"/>
                <w:color w:val="008000"/>
                <w:w w:val="86"/>
                <w:vertAlign w:val="superscript"/>
              </w:rPr>
              <w:t>(3)</w:t>
            </w:r>
          </w:p>
        </w:tc>
        <w:tc>
          <w:tcPr>
            <w:tcW w:w="7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620" w:type="dxa"/>
            <w:vAlign w:val="bottom"/>
            <w:tcBorders>
              <w:bottom w:val="single" w:sz="8" w:color="2C2C2C"/>
            </w:tcBorders>
            <w:gridSpan w:val="2"/>
          </w:tcPr>
          <w:p>
            <w:pPr>
              <w:jc w:val="right"/>
              <w:ind w:right="59"/>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7.52</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8"/>
                <w:szCs w:val="18"/>
                <w:color w:val="0000FF"/>
              </w:rPr>
              <w:t>71,700</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72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132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This transaction reflects shares of common stock issued in connection with the vesting of AOP performance-based restricted stock units granted on October 22, 2018.</w:t>
      </w:r>
    </w:p>
    <w:p>
      <w:pPr>
        <w:spacing w:after="0" w:line="41" w:lineRule="exact"/>
        <w:rPr>
          <w:rFonts w:ascii="Times New Roman" w:cs="Times New Roman" w:eastAsia="Times New Roman" w:hAnsi="Times New Roman"/>
          <w:sz w:val="14"/>
          <w:szCs w:val="14"/>
          <w:color w:val="008000"/>
        </w:rPr>
      </w:pPr>
    </w:p>
    <w:p>
      <w:pPr>
        <w:ind w:left="40" w:right="4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This transaction represents the withholding by the Issuer of 1,674 shares of common stock to satisfy tax withholding obligations incurred by the Reporting Person upon the vesting of 4,044 shares of common stock issued in connection with the vesting of AOP performance-based restricted stock units granted on October 22, 2018.</w:t>
      </w:r>
    </w:p>
    <w:p>
      <w:pPr>
        <w:spacing w:after="0" w:line="27" w:lineRule="exact"/>
        <w:rPr>
          <w:rFonts w:ascii="Times New Roman" w:cs="Times New Roman" w:eastAsia="Times New Roman" w:hAnsi="Times New Roman"/>
          <w:sz w:val="14"/>
          <w:szCs w:val="14"/>
          <w:color w:val="008000"/>
        </w:rPr>
      </w:pPr>
    </w:p>
    <w:p>
      <w:pPr>
        <w:ind w:left="40" w:right="4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This transaction represents the withholding by the Issuer of 1,863 shares of common stock to satisfy tax withholding obligations incurred by the Reporting Person upon the vesting of 4,500 shares of common stock originally awarded to the Reporting Person on March 11, 2016.</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008000"/>
        </w:rPr>
        <w:t>Chief Compliance Officer, Executive Vice President and General Counsel</w:t>
      </w:r>
    </w:p>
    <w:p>
      <w:pPr>
        <w:spacing w:after="0" w:line="50"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 Theodore Kim</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0000FF"/>
                <w:w w:val="95"/>
              </w:rPr>
              <w:t>03/12/2019</w:t>
            </w:r>
          </w:p>
        </w:tc>
      </w:tr>
      <w:tr>
        <w:trPr>
          <w:trHeight w:val="20"/>
        </w:trPr>
        <w:tc>
          <w:tcPr>
            <w:tcW w:w="12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8"/>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2205"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2019-12-23T16:03:42Z</dcterms:created>
  <dcterms:modified xsi:type="dcterms:W3CDTF">2019-12-23T16:03:42Z</dcterms:modified>
</cp:coreProperties>
</file>