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Financial Officer (4)</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6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40" w:type="dxa"/>
            <w:vAlign w:val="bottom"/>
            <w:gridSpan w:val="9"/>
          </w:tcPr>
          <w:p>
            <w:pPr>
              <w:ind w:left="2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6"/>
              </w:rPr>
              <w:t>441</w:t>
            </w:r>
            <w:r>
              <w:rPr>
                <w:rFonts w:ascii="Arial" w:cs="Arial" w:eastAsia="Arial" w:hAnsi="Arial"/>
                <w:sz w:val="22"/>
                <w:szCs w:val="22"/>
                <w:color w:val="008000"/>
                <w:w w:val="86"/>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32,503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6"/>
              </w:rPr>
              <w:t>787</w:t>
            </w:r>
            <w:r>
              <w:rPr>
                <w:rFonts w:ascii="Arial" w:cs="Arial" w:eastAsia="Arial" w:hAnsi="Arial"/>
                <w:sz w:val="22"/>
                <w:szCs w:val="22"/>
                <w:color w:val="008000"/>
                <w:w w:val="86"/>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31,716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5"/>
              </w:rPr>
              <w:t>1,057</w:t>
            </w:r>
            <w:r>
              <w:rPr>
                <w:rFonts w:ascii="Arial" w:cs="Arial" w:eastAsia="Arial" w:hAnsi="Arial"/>
                <w:sz w:val="22"/>
                <w:szCs w:val="22"/>
                <w:color w:val="008000"/>
                <w:w w:val="85"/>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30,659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441 shares of common stock to satisfy tax withholding obligations incurred by the Reporting Person upon the vesting of 934 shares of common stock originally awarded to the Reporting Person on October 22, 2019.</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787 shares of common stock to satisfy tax withholding obligations incurred by the Reporting Person upon the vesting of 1,667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1,057 shares of common stock to satisfy tax withholding obligations incurred by the Reporting Person upon the vesting of 2,237 shares of common stock originally awarded to the Reporting Person on February 19,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(4) Appointed as Chief Financial Officer and Principal Financial Officer as of January 1, 2022.</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2022-01-04T15:28:15Z</dcterms:created>
  <dcterms:modified xsi:type="dcterms:W3CDTF">2022-01-04T15:28:15Z</dcterms:modified>
</cp:coreProperties>
</file>