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80"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Engaged Capital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03/11/2016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610 NEWPORT CENTER DRIVE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250</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NEWPORT</w:t>
            </w:r>
          </w:p>
        </w:tc>
        <w:tc>
          <w:tcPr>
            <w:tcW w:w="84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92660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color w:val="0000FF"/>
              </w:rPr>
              <w:t>BEACH</w:t>
            </w:r>
          </w:p>
        </w:tc>
        <w:tc>
          <w:tcPr>
            <w:tcW w:w="8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MAGNACHIP SEMICONDUCTOR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80"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color w:val="0000FF"/>
                <w:w w:val="96"/>
              </w:rPr>
              <w:t>Common Stock</w:t>
            </w:r>
            <w:r>
              <w:rPr>
                <w:rFonts w:ascii="Arial" w:cs="Arial" w:eastAsia="Arial" w:hAnsi="Arial"/>
                <w:sz w:val="22"/>
                <w:szCs w:val="22"/>
                <w:color w:val="008000"/>
                <w:w w:val="96"/>
                <w:vertAlign w:val="superscript"/>
              </w:rPr>
              <w:t>(1)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0000FF"/>
                <w:w w:val="89"/>
              </w:rPr>
              <w:t>1,017,209</w:t>
            </w:r>
          </w:p>
        </w:tc>
        <w:tc>
          <w:tcPr>
            <w:tcW w:w="1060" w:type="dxa"/>
            <w:vAlign w:val="bottom"/>
            <w:vMerge w:val="restart"/>
          </w:tcPr>
          <w:p>
            <w:pPr>
              <w:ind w:left="860"/>
              <w:spacing w:after="0"/>
              <w:rPr>
                <w:sz w:val="20"/>
                <w:szCs w:val="20"/>
                <w:color w:val="auto"/>
              </w:rPr>
            </w:pPr>
            <w:r>
              <w:rPr>
                <w:rFonts w:ascii="Arial" w:cs="Arial" w:eastAsia="Arial" w:hAnsi="Arial"/>
                <w:sz w:val="18"/>
                <w:szCs w:val="18"/>
                <w:color w:val="0000FF"/>
              </w:rPr>
              <w:t>I</w:t>
            </w:r>
          </w:p>
        </w:tc>
        <w:tc>
          <w:tcPr>
            <w:tcW w:w="3420" w:type="dxa"/>
            <w:vAlign w:val="bottom"/>
            <w:gridSpan w:val="4"/>
          </w:tcPr>
          <w:p>
            <w:pPr>
              <w:ind w:left="520"/>
              <w:spacing w:after="0"/>
              <w:rPr>
                <w:sz w:val="20"/>
                <w:szCs w:val="20"/>
                <w:color w:val="auto"/>
              </w:rPr>
            </w:pPr>
            <w:r>
              <w:rPr>
                <w:rFonts w:ascii="Arial" w:cs="Arial" w:eastAsia="Arial" w:hAnsi="Arial"/>
                <w:sz w:val="18"/>
                <w:szCs w:val="18"/>
                <w:color w:val="0000FF"/>
                <w:w w:val="95"/>
              </w:rPr>
              <w:t>By: Engaged Capital Master Feeder 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vMerge w:val="restart"/>
          </w:tcPr>
          <w:p>
            <w:pPr>
              <w:ind w:left="520"/>
              <w:spacing w:after="0" w:line="278" w:lineRule="exact"/>
              <w:rPr>
                <w:sz w:val="20"/>
                <w:szCs w:val="20"/>
                <w:color w:val="auto"/>
              </w:rPr>
            </w:pPr>
            <w:r>
              <w:rPr>
                <w:rFonts w:ascii="Arial" w:cs="Arial" w:eastAsia="Arial" w:hAnsi="Arial"/>
                <w:sz w:val="32"/>
                <w:szCs w:val="32"/>
                <w:color w:val="0000FF"/>
                <w:w w:val="90"/>
                <w:vertAlign w:val="subscript"/>
              </w:rPr>
              <w:t>LP</w:t>
            </w:r>
            <w:r>
              <w:rPr>
                <w:rFonts w:ascii="Arial" w:cs="Arial" w:eastAsia="Arial" w:hAnsi="Arial"/>
                <w:sz w:val="11"/>
                <w:szCs w:val="11"/>
                <w:color w:val="008000"/>
                <w:w w:val="90"/>
              </w:rPr>
              <w:t>(2)</w:t>
            </w: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color w:val="0000FF"/>
                <w:w w:val="96"/>
              </w:rPr>
              <w:t>Common Stock</w:t>
            </w:r>
            <w:r>
              <w:rPr>
                <w:rFonts w:ascii="Arial" w:cs="Arial" w:eastAsia="Arial" w:hAnsi="Arial"/>
                <w:sz w:val="22"/>
                <w:szCs w:val="22"/>
                <w:color w:val="008000"/>
                <w:w w:val="96"/>
                <w:vertAlign w:val="superscript"/>
              </w:rPr>
              <w:t>(1)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0000FF"/>
                <w:w w:val="89"/>
              </w:rPr>
              <w:t>2,435,765</w:t>
            </w:r>
          </w:p>
        </w:tc>
        <w:tc>
          <w:tcPr>
            <w:tcW w:w="1060" w:type="dxa"/>
            <w:vAlign w:val="bottom"/>
            <w:vMerge w:val="restart"/>
          </w:tcPr>
          <w:p>
            <w:pPr>
              <w:ind w:left="860"/>
              <w:spacing w:after="0"/>
              <w:rPr>
                <w:sz w:val="20"/>
                <w:szCs w:val="20"/>
                <w:color w:val="auto"/>
              </w:rPr>
            </w:pPr>
            <w:r>
              <w:rPr>
                <w:rFonts w:ascii="Arial" w:cs="Arial" w:eastAsia="Arial" w:hAnsi="Arial"/>
                <w:sz w:val="18"/>
                <w:szCs w:val="18"/>
                <w:color w:val="0000FF"/>
              </w:rPr>
              <w:t>I</w:t>
            </w:r>
          </w:p>
        </w:tc>
        <w:tc>
          <w:tcPr>
            <w:tcW w:w="3420" w:type="dxa"/>
            <w:vAlign w:val="bottom"/>
            <w:gridSpan w:val="4"/>
          </w:tcPr>
          <w:p>
            <w:pPr>
              <w:ind w:left="520"/>
              <w:spacing w:after="0"/>
              <w:rPr>
                <w:sz w:val="20"/>
                <w:szCs w:val="20"/>
                <w:color w:val="auto"/>
              </w:rPr>
            </w:pPr>
            <w:r>
              <w:rPr>
                <w:rFonts w:ascii="Arial" w:cs="Arial" w:eastAsia="Arial" w:hAnsi="Arial"/>
                <w:sz w:val="18"/>
                <w:szCs w:val="18"/>
                <w:color w:val="0000FF"/>
                <w:w w:val="94"/>
              </w:rPr>
              <w:t>By: Engaged Capital Master Feeder 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vMerge w:val="restart"/>
          </w:tcPr>
          <w:p>
            <w:pPr>
              <w:ind w:left="520"/>
              <w:spacing w:after="0" w:line="278" w:lineRule="exact"/>
              <w:rPr>
                <w:sz w:val="20"/>
                <w:szCs w:val="20"/>
                <w:color w:val="auto"/>
              </w:rPr>
            </w:pPr>
            <w:r>
              <w:rPr>
                <w:rFonts w:ascii="Arial" w:cs="Arial" w:eastAsia="Arial" w:hAnsi="Arial"/>
                <w:sz w:val="32"/>
                <w:szCs w:val="32"/>
                <w:color w:val="0000FF"/>
                <w:w w:val="90"/>
                <w:vertAlign w:val="subscript"/>
              </w:rPr>
              <w:t>LP</w:t>
            </w:r>
            <w:r>
              <w:rPr>
                <w:rFonts w:ascii="Arial" w:cs="Arial" w:eastAsia="Arial" w:hAnsi="Arial"/>
                <w:sz w:val="11"/>
                <w:szCs w:val="11"/>
                <w:color w:val="008000"/>
                <w:w w:val="90"/>
              </w:rPr>
              <w:t>(3)</w:t>
            </w: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color w:val="0000FF"/>
                <w:w w:val="96"/>
              </w:rPr>
              <w:t>Common Stock</w:t>
            </w:r>
            <w:r>
              <w:rPr>
                <w:rFonts w:ascii="Arial" w:cs="Arial" w:eastAsia="Arial" w:hAnsi="Arial"/>
                <w:sz w:val="22"/>
                <w:szCs w:val="22"/>
                <w:color w:val="008000"/>
                <w:w w:val="96"/>
                <w:vertAlign w:val="superscript"/>
              </w:rPr>
              <w:t>(1)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0000FF"/>
                <w:w w:val="86"/>
              </w:rPr>
              <w:t>400,000</w:t>
            </w:r>
          </w:p>
        </w:tc>
        <w:tc>
          <w:tcPr>
            <w:tcW w:w="1060" w:type="dxa"/>
            <w:vAlign w:val="bottom"/>
            <w:vMerge w:val="restart"/>
          </w:tcPr>
          <w:p>
            <w:pPr>
              <w:ind w:left="860"/>
              <w:spacing w:after="0"/>
              <w:rPr>
                <w:sz w:val="20"/>
                <w:szCs w:val="20"/>
                <w:color w:val="auto"/>
              </w:rPr>
            </w:pPr>
            <w:r>
              <w:rPr>
                <w:rFonts w:ascii="Arial" w:cs="Arial" w:eastAsia="Arial" w:hAnsi="Arial"/>
                <w:sz w:val="18"/>
                <w:szCs w:val="18"/>
                <w:color w:val="0000FF"/>
              </w:rPr>
              <w:t>I</w:t>
            </w:r>
          </w:p>
        </w:tc>
        <w:tc>
          <w:tcPr>
            <w:tcW w:w="3420" w:type="dxa"/>
            <w:vAlign w:val="bottom"/>
            <w:gridSpan w:val="4"/>
          </w:tcPr>
          <w:p>
            <w:pPr>
              <w:ind w:left="520"/>
              <w:spacing w:after="0"/>
              <w:rPr>
                <w:sz w:val="20"/>
                <w:szCs w:val="20"/>
                <w:color w:val="auto"/>
              </w:rPr>
            </w:pPr>
            <w:r>
              <w:rPr>
                <w:rFonts w:ascii="Arial" w:cs="Arial" w:eastAsia="Arial" w:hAnsi="Arial"/>
                <w:sz w:val="18"/>
                <w:szCs w:val="18"/>
                <w:color w:val="0000FF"/>
              </w:rPr>
              <w:t>By: Managed Account of Engaged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760" w:type="dxa"/>
            <w:vAlign w:val="bottom"/>
            <w:gridSpan w:val="2"/>
            <w:vMerge w:val="restart"/>
          </w:tcPr>
          <w:p>
            <w:pPr>
              <w:ind w:left="520"/>
              <w:spacing w:after="0"/>
              <w:rPr>
                <w:sz w:val="20"/>
                <w:szCs w:val="20"/>
                <w:color w:val="auto"/>
              </w:rPr>
            </w:pPr>
            <w:r>
              <w:rPr>
                <w:rFonts w:ascii="Arial" w:cs="Arial" w:eastAsia="Arial" w:hAnsi="Arial"/>
                <w:sz w:val="18"/>
                <w:szCs w:val="18"/>
                <w:color w:val="0000FF"/>
              </w:rPr>
              <w:t>Capital, LLC</w:t>
            </w:r>
            <w:r>
              <w:rPr>
                <w:rFonts w:ascii="Arial" w:cs="Arial" w:eastAsia="Arial" w:hAnsi="Arial"/>
                <w:sz w:val="22"/>
                <w:szCs w:val="22"/>
                <w:color w:val="008000"/>
                <w:vertAlign w:val="superscript"/>
              </w:rPr>
              <w:t>(4)</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760" w:type="dxa"/>
            <w:vAlign w:val="bottom"/>
            <w:tcBorders>
              <w:bottom w:val="single" w:sz="8" w:color="2C2C2C"/>
            </w:tcBorders>
            <w:gridSpan w:val="2"/>
            <w:vMerge w:val="continue"/>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4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Engaged Capital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8"/>
                <w:szCs w:val="18"/>
                <w:color w:val="0000FF"/>
              </w:rPr>
              <w:t>SUITE 250</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0000FF"/>
              </w:rPr>
              <w:t>NEWPORT</w:t>
            </w:r>
          </w:p>
        </w:tc>
        <w:tc>
          <w:tcPr>
            <w:tcW w:w="1400" w:type="dxa"/>
            <w:vAlign w:val="bottom"/>
            <w:gridSpan w:val="3"/>
            <w:vMerge w:val="restart"/>
          </w:tcPr>
          <w:p>
            <w:pPr>
              <w:ind w:left="120"/>
              <w:spacing w:after="0"/>
              <w:rPr>
                <w:sz w:val="20"/>
                <w:szCs w:val="20"/>
                <w:color w:val="auto"/>
              </w:rPr>
            </w:pPr>
            <w:r>
              <w:rPr>
                <w:rFonts w:ascii="Arial" w:cs="Arial" w:eastAsia="Arial" w:hAnsi="Arial"/>
                <w:sz w:val="18"/>
                <w:szCs w:val="18"/>
                <w:color w:val="0000FF"/>
              </w:rPr>
              <w:t>CA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rPr>
              <w:t>92660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40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Welling Glenn W.</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8"/>
                <w:szCs w:val="18"/>
                <w:color w:val="0000FF"/>
              </w:rPr>
              <w:t>SUITE 250</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0000FF"/>
              </w:rPr>
              <w:t>NEWPORT</w:t>
            </w:r>
          </w:p>
        </w:tc>
        <w:tc>
          <w:tcPr>
            <w:tcW w:w="1400" w:type="dxa"/>
            <w:vAlign w:val="bottom"/>
            <w:gridSpan w:val="3"/>
            <w:vMerge w:val="restart"/>
          </w:tcPr>
          <w:p>
            <w:pPr>
              <w:ind w:left="120"/>
              <w:spacing w:after="0"/>
              <w:rPr>
                <w:sz w:val="20"/>
                <w:szCs w:val="20"/>
                <w:color w:val="auto"/>
              </w:rPr>
            </w:pPr>
            <w:r>
              <w:rPr>
                <w:rFonts w:ascii="Arial" w:cs="Arial" w:eastAsia="Arial" w:hAnsi="Arial"/>
                <w:sz w:val="18"/>
                <w:szCs w:val="18"/>
                <w:color w:val="0000FF"/>
              </w:rPr>
              <w:t>CA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rPr>
              <w:t>92660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40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Engaged Capital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300"/>
              <w:spacing w:after="0"/>
              <w:rPr>
                <w:sz w:val="20"/>
                <w:szCs w:val="20"/>
                <w:color w:val="auto"/>
              </w:rPr>
            </w:pPr>
            <w:r>
              <w:rPr>
                <w:rFonts w:ascii="Arial" w:cs="Arial" w:eastAsia="Arial" w:hAnsi="Arial"/>
                <w:sz w:val="14"/>
                <w:szCs w:val="14"/>
                <w:color w:val="auto"/>
              </w:rPr>
              <w:t>(First)</w:t>
            </w:r>
          </w:p>
        </w:tc>
        <w:tc>
          <w:tcPr>
            <w:tcW w:w="164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0000FF"/>
              </w:rPr>
              <w:t>610 NEWPORT CENTER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250</w:t>
            </w: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540" w:type="dxa"/>
            <w:vAlign w:val="bottom"/>
            <w:vMerge w:val="restart"/>
          </w:tcPr>
          <w:p>
            <w:pPr>
              <w:ind w:left="300"/>
              <w:spacing w:after="0"/>
              <w:rPr>
                <w:sz w:val="20"/>
                <w:szCs w:val="20"/>
                <w:color w:val="auto"/>
              </w:rPr>
            </w:pPr>
            <w:r>
              <w:rPr>
                <w:rFonts w:ascii="Arial" w:cs="Arial" w:eastAsia="Arial" w:hAnsi="Arial"/>
                <w:sz w:val="18"/>
                <w:szCs w:val="18"/>
                <w:color w:val="0000FF"/>
              </w:rPr>
              <w:t>CA</w:t>
            </w:r>
          </w:p>
        </w:tc>
        <w:tc>
          <w:tcPr>
            <w:tcW w:w="1640" w:type="dxa"/>
            <w:vAlign w:val="bottom"/>
            <w:vMerge w:val="restart"/>
          </w:tcPr>
          <w:p>
            <w:pPr>
              <w:ind w:left="220"/>
              <w:spacing w:after="0"/>
              <w:rPr>
                <w:sz w:val="20"/>
                <w:szCs w:val="20"/>
                <w:color w:val="auto"/>
              </w:rPr>
            </w:pPr>
            <w:r>
              <w:rPr>
                <w:rFonts w:ascii="Arial" w:cs="Arial" w:eastAsia="Arial" w:hAnsi="Arial"/>
                <w:sz w:val="18"/>
                <w:szCs w:val="18"/>
                <w:color w:val="0000FF"/>
              </w:rPr>
              <w:t>92660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5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300"/>
              <w:spacing w:after="0"/>
              <w:rPr>
                <w:sz w:val="20"/>
                <w:szCs w:val="20"/>
                <w:color w:val="auto"/>
              </w:rPr>
            </w:pPr>
            <w:r>
              <w:rPr>
                <w:rFonts w:ascii="Arial" w:cs="Arial" w:eastAsia="Arial" w:hAnsi="Arial"/>
                <w:sz w:val="14"/>
                <w:szCs w:val="14"/>
                <w:color w:val="auto"/>
              </w:rPr>
              <w:t>(State)</w:t>
            </w:r>
          </w:p>
        </w:tc>
        <w:tc>
          <w:tcPr>
            <w:tcW w:w="164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Engaged Capital Master Feeder I,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CRICKET SQUARE, HUTCHINS DRIVE</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P.O. BOX 2681</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GRAND</w:t>
            </w:r>
          </w:p>
        </w:tc>
        <w:tc>
          <w:tcPr>
            <w:tcW w:w="15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E9</w:t>
            </w:r>
          </w:p>
        </w:tc>
        <w:tc>
          <w:tcPr>
            <w:tcW w:w="1600" w:type="dxa"/>
            <w:vAlign w:val="bottom"/>
            <w:gridSpan w:val="2"/>
            <w:vMerge w:val="restart"/>
          </w:tcPr>
          <w:p>
            <w:pPr>
              <w:ind w:left="80"/>
              <w:spacing w:after="0"/>
              <w:rPr>
                <w:sz w:val="20"/>
                <w:szCs w:val="20"/>
                <w:color w:val="auto"/>
              </w:rPr>
            </w:pPr>
            <w:r>
              <w:rPr>
                <w:rFonts w:ascii="Arial" w:cs="Arial" w:eastAsia="Arial" w:hAnsi="Arial"/>
                <w:sz w:val="18"/>
                <w:szCs w:val="18"/>
                <w:color w:val="0000FF"/>
              </w:rPr>
              <w:t>KY1-1111</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54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ENGAGED CAPITAL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250</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NEWPORT</w:t>
            </w:r>
          </w:p>
        </w:tc>
        <w:tc>
          <w:tcPr>
            <w:tcW w:w="15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CA</w:t>
            </w:r>
          </w:p>
        </w:tc>
        <w:tc>
          <w:tcPr>
            <w:tcW w:w="1500" w:type="dxa"/>
            <w:vAlign w:val="bottom"/>
            <w:vMerge w:val="restart"/>
          </w:tcPr>
          <w:p>
            <w:pPr>
              <w:ind w:left="8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54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Engaged Capital I Offshore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610 NEWPORT CENTER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SUITE 250</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NEWPORT</w:t>
            </w:r>
          </w:p>
        </w:tc>
        <w:tc>
          <w:tcPr>
            <w:tcW w:w="15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CA</w:t>
            </w:r>
          </w:p>
        </w:tc>
        <w:tc>
          <w:tcPr>
            <w:tcW w:w="1500" w:type="dxa"/>
            <w:vAlign w:val="bottom"/>
            <w:vMerge w:val="restart"/>
          </w:tcPr>
          <w:p>
            <w:pPr>
              <w:ind w:left="80"/>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54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Engaged Capital Master Feeder II,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CRICKET SQUARE, HUTCHINS DRIVE</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P.O. BOX 2681</w:t>
            </w: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GRAND</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E9</w:t>
            </w:r>
          </w:p>
        </w:tc>
        <w:tc>
          <w:tcPr>
            <w:tcW w:w="17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KY1-1111</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8"/>
                <w:szCs w:val="18"/>
                <w:color w:val="0000FF"/>
              </w:rPr>
              <w:t>CAYMAN</w:t>
            </w:r>
          </w:p>
        </w:tc>
        <w:tc>
          <w:tcPr>
            <w:tcW w:w="1440" w:type="dxa"/>
            <w:vAlign w:val="bottom"/>
            <w:gridSpan w:val="2"/>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ENGAGED CAPITAL 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0199"/>
          </w:cols>
          <w:pgMar w:left="260" w:top="118" w:right="1440" w:bottom="0" w:gutter="0" w:footer="0" w:header="0"/>
        </w:sectPr>
      </w:pPr>
    </w:p>
    <w:p>
      <w:pPr>
        <w:ind w:left="100"/>
        <w:spacing w:after="0"/>
        <w:rPr>
          <w:sz w:val="20"/>
          <w:szCs w:val="20"/>
          <w:color w:val="auto"/>
        </w:rPr>
      </w:pPr>
      <w:r>
        <w:rPr>
          <w:rFonts w:ascii="Arial" w:cs="Arial" w:eastAsia="Arial" w:hAnsi="Arial"/>
          <w:sz w:val="16"/>
          <w:szCs w:val="16"/>
          <w:color w:val="0000FF"/>
        </w:rPr>
        <w:t>610 NEWPORT CENTER DRIVE</w:t>
      </w:r>
    </w:p>
    <w:p>
      <w:pPr>
        <w:sectPr>
          <w:pgSz w:w="11900" w:h="16838" w:orient="portrait"/>
          <w:cols w:equalWidth="0" w:num="1">
            <w:col w:w="10199"/>
          </w:cols>
          <w:pgMar w:left="260" w:top="118"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SUITE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3048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924175" cy="304863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760" w:type="dxa"/>
            <w:vAlign w:val="bottom"/>
            <w:vMerge w:val="restart"/>
          </w:tcPr>
          <w:p>
            <w:pPr>
              <w:ind w:left="30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7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tcPr>
          <w:p>
            <w:pPr>
              <w:ind w:left="3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90"/>
              </w:rPr>
            </w:pPr>
            <w:hyperlink r:id="rId22">
              <w:r>
                <w:rPr>
                  <w:rFonts w:ascii="Arial" w:cs="Arial" w:eastAsia="Arial" w:hAnsi="Arial"/>
                  <w:sz w:val="22"/>
                  <w:szCs w:val="22"/>
                  <w:color w:val="0000EE"/>
                  <w:w w:val="90"/>
                </w:rPr>
                <w:t>Engaged Capital II Offshore, Ltd.</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tcPr>
          <w:p>
            <w:pPr>
              <w:ind w:left="3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610 NEWPORT CENTER DRIVE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250</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NEWPORT</w:t>
            </w:r>
          </w:p>
        </w:tc>
        <w:tc>
          <w:tcPr>
            <w:tcW w:w="1760" w:type="dxa"/>
            <w:vAlign w:val="bottom"/>
            <w:vMerge w:val="restart"/>
          </w:tcPr>
          <w:p>
            <w:pPr>
              <w:ind w:left="30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spacing w:after="0"/>
              <w:rPr>
                <w:sz w:val="20"/>
                <w:szCs w:val="20"/>
                <w:color w:val="auto"/>
              </w:rPr>
            </w:pPr>
            <w:r>
              <w:rPr>
                <w:rFonts w:ascii="Arial" w:cs="Arial" w:eastAsia="Arial" w:hAnsi="Arial"/>
                <w:sz w:val="18"/>
                <w:szCs w:val="18"/>
                <w:color w:val="0000FF"/>
              </w:rPr>
              <w:t>92660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17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tcPr>
          <w:p>
            <w:pPr>
              <w:ind w:left="3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3 is filed jointly by Engaged Capital Master Feeder I, LP ("Engaged Capital Master I"), Engaged Capital Master Feeder II, LP ("Engaged Capital Master II"), Engaged Capital I, LP ("Engaged Capital I"), Engaged Capital I Offshore, Ltd. ("Engaged Capital Offshore"), Engaged Capital II, LP ("Engaged Capital II"), Engaged Capital II Offshore Ltd. ("Engaged Capital Offshore II"), Engaged Capital, LLC ("Engaged Capital"), Engaged Capital Holdings, LLC ("Engaged Holdings") and Glenn W. Welling (collectively, the "Reporting Persons"). Each of the Reporting Persons may be deemed to be a member of a Section 13(d) group that collectively beneficially owns more than 10% of the Issuer's outstanding shares of Common Stock. Each of the Reporting Persons disclaims beneficial ownership of the securities reported herein except to the extent of his or its pecuniary interest therein.</w:t>
      </w:r>
    </w:p>
    <w:p>
      <w:pPr>
        <w:spacing w:after="0" w:line="32" w:lineRule="exact"/>
        <w:rPr>
          <w:rFonts w:ascii="Arial" w:cs="Arial" w:eastAsia="Arial" w:hAnsi="Arial"/>
          <w:sz w:val="14"/>
          <w:szCs w:val="14"/>
          <w:color w:val="008000"/>
        </w:rPr>
      </w:pPr>
    </w:p>
    <w:p>
      <w:pPr>
        <w:ind w:left="20" w:right="2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owned directly by Engaged Capital Master I. As feeder funds of Engaged Capital Master I, each of Engaged Capital I and Engaged Capital Offshore may be deemed to beneficially own the shares owned directly by Engaged Capital Master I. As the general partner and investment adviser of Engaged Capital Master I, Engaged Capital may be deemed to beneficially own the shares owned directly by Engaged Capital Master I. Engaged Holdings, as the managing member of Engaged Capital, may be deemed to beneficially own the shares owned directly by Engaged Capital Master I. Mr. Welling, as the Founder and Chief Investment Officer of Engaged Capital and sole member of Engaged Holdings, may be deemed to beneficially own the shares owned directly by Engaged Capital Master I.</w:t>
      </w:r>
    </w:p>
    <w:p>
      <w:pPr>
        <w:spacing w:after="0" w:line="8" w:lineRule="exact"/>
        <w:rPr>
          <w:rFonts w:ascii="Arial" w:cs="Arial" w:eastAsia="Arial" w:hAnsi="Arial"/>
          <w:sz w:val="12"/>
          <w:szCs w:val="12"/>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owned directly by Engaged Capital Master II. As feeder funds of Engaged Capital Master II, each of Engaged Capital II and Engaged Capital Offshore II may be deemed to beneficially own the shares owned directly by Engaged Capital Master II. As the general partner and investment adviser of Engaged Capital Master II, Engaged Capital may be deemed to beneficially own the shares owned directly by Engaged Capital Master II. Engaged Holdings, as the managing member of Engaged Capital, may be deemed to beneficially own the shares owned directly by Engaged Capital Master II. Mr. Welling, as the Founder and Chief Investment Officer of Engaged Capital and sole member of Engaged Holdings, may be deemed to beneficially own the shares owned directly by Engaged Capital Master II.</w:t>
      </w:r>
    </w:p>
    <w:p>
      <w:pPr>
        <w:spacing w:after="0" w:line="8" w:lineRule="exact"/>
        <w:rPr>
          <w:rFonts w:ascii="Arial" w:cs="Arial" w:eastAsia="Arial" w:hAnsi="Arial"/>
          <w:sz w:val="12"/>
          <w:szCs w:val="12"/>
          <w:color w:val="008000"/>
        </w:rPr>
      </w:pPr>
    </w:p>
    <w:p>
      <w:pPr>
        <w:ind w:left="20" w:right="1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an account separately managed by Engaged Capital (the "Engaged Capital Account"). Engaged Capital, as the investment adviser of the Engaged Capital Account, may be deemed to beneficially own the shares held in the Engaged Capital Account. Engaged Holdings, as the managing member of Engaged Capital, may be deemed to beneficially own the shares held in the Engaged Capital Account. Mr. Welling, as the Founder and Chief Investment Officer of Engaged Capital and sole member of Engaged Holdings, may be deemed to beneficially own the shares held in the Engaged Capital Account.</w:t>
      </w:r>
    </w:p>
    <w:p>
      <w:pPr>
        <w:sectPr>
          <w:pgSz w:w="11900" w:h="16838" w:orient="portrait"/>
          <w:cols w:equalWidth="0" w:num="1">
            <w:col w:w="11320"/>
          </w:cols>
          <w:pgMar w:left="260" w:top="131" w:right="319" w:bottom="455" w:gutter="0" w:footer="0" w:header="0"/>
        </w:sectPr>
      </w:pPr>
    </w:p>
    <w:p>
      <w:pPr>
        <w:spacing w:after="0" w:line="6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9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33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34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Engaged Capital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04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4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Engaged Capital Master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408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 LP; By: Engaged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82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4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Engaged Capital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0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10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95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2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33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Engaged Capital I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54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547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Ltd.;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2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9255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Engaged Capital Master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408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LP; By: Engaged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Glenn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14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147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Welling,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Engaged Capital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Engaged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9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Glenn W. Welling,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2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33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Engaged Capital II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4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Ltd.; By: /s/ 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2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9255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60" w:space="80"/>
            <w:col w:w="2180"/>
          </w:cols>
          <w:pgMar w:left="260" w:top="131" w:right="319" w:bottom="455"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4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11" Type="http://schemas.openxmlformats.org/officeDocument/2006/relationships/hyperlink" Target="http://www.sec.gov/cgi-bin/browse-edgar?action=getcompany&amp;CIK=0001559771" TargetMode="External"/><Relationship Id="rId12" Type="http://schemas.openxmlformats.org/officeDocument/2006/relationships/hyperlink" Target="http://www.sec.gov/cgi-bin/browse-edgar?action=getcompany&amp;CIK=0001325702" TargetMode="External"/><Relationship Id="rId13" Type="http://schemas.openxmlformats.org/officeDocument/2006/relationships/hyperlink" Target="http://www.sec.gov/cgi-bin/browse-edgar?action=getcompany&amp;CIK=0001580771" TargetMode="External"/><Relationship Id="rId14" Type="http://schemas.openxmlformats.org/officeDocument/2006/relationships/hyperlink" Target="http://www.sec.gov/cgi-bin/browse-edgar?action=getcompany&amp;CIK=0001580769" TargetMode="External"/><Relationship Id="rId16" Type="http://schemas.openxmlformats.org/officeDocument/2006/relationships/hyperlink" Target="http://www.sec.gov/cgi-bin/browse-edgar?action=getcompany&amp;CIK=0001580760" TargetMode="External"/><Relationship Id="rId17" Type="http://schemas.openxmlformats.org/officeDocument/2006/relationships/hyperlink" Target="http://www.sec.gov/cgi-bin/browse-edgar?action=getcompany&amp;CIK=0001559851" TargetMode="External"/><Relationship Id="rId18" Type="http://schemas.openxmlformats.org/officeDocument/2006/relationships/hyperlink" Target="http://www.sec.gov/cgi-bin/browse-edgar?action=getcompany&amp;CIK=0001559940" TargetMode="External"/><Relationship Id="rId19" Type="http://schemas.openxmlformats.org/officeDocument/2006/relationships/hyperlink" Target="http://www.sec.gov/cgi-bin/browse-edgar?action=getcompany&amp;CIK=0001580761" TargetMode="External"/><Relationship Id="rId20" Type="http://schemas.openxmlformats.org/officeDocument/2006/relationships/hyperlink" Target="http://www.sec.gov/cgi-bin/browse-edgar?action=getcompany&amp;CIK=0001559850" TargetMode="External"/><Relationship Id="rId22" Type="http://schemas.openxmlformats.org/officeDocument/2006/relationships/hyperlink" Target="http://www.sec.gov/cgi-bin/browse-edgar?action=getcompany&amp;CIK=0001619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2019-12-08T06:18:26Z</dcterms:created>
  <dcterms:modified xsi:type="dcterms:W3CDTF">2019-12-08T06:18:26Z</dcterms:modified>
</cp:coreProperties>
</file>