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8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5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2" w:lineRule="exact"/>
        <w:rPr>
          <w:sz w:val="24"/>
          <w:szCs w:val="24"/>
          <w:color w:val="auto"/>
        </w:rPr>
      </w:pPr>
    </w:p>
    <w:tbl>
      <w:tblPr>
        <w:tblLayout w:type="fixed"/>
        <w:tblInd w:w="3760" w:type="dxa"/>
        <w:tblCellMar>
          <w:top w:w="0" w:type="dxa"/>
          <w:left w:w="0" w:type="dxa"/>
          <w:bottom w:w="0" w:type="dxa"/>
          <w:right w:w="0" w:type="dxa"/>
        </w:tblCellMar>
      </w:tblPr>
      <w:tr>
        <w:trPr>
          <w:trHeight w:val="172"/>
        </w:trPr>
        <w:tc>
          <w:tcPr>
            <w:tcW w:w="23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 xml:space="preserve">For the transition period from        </w:t>
            </w:r>
          </w:p>
        </w:tc>
        <w:tc>
          <w:tcPr>
            <w:tcW w:w="138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 xml:space="preserve">      to              </w:t>
            </w:r>
          </w:p>
        </w:tc>
      </w:tr>
      <w:tr>
        <w:trPr>
          <w:trHeight w:val="20"/>
        </w:trPr>
        <w:tc>
          <w:tcPr>
            <w:tcW w:w="20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r>
      <w:tr>
        <w:trPr>
          <w:trHeight w:val="215"/>
        </w:trPr>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Commission File Number</w:t>
            </w:r>
          </w:p>
        </w:tc>
        <w:tc>
          <w:tcPr>
            <w:tcW w:w="1380" w:type="dxa"/>
            <w:vAlign w:val="bottom"/>
            <w:gridSpan w:val="4"/>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rPr>
              <w:t>001-34791</w:t>
            </w:r>
          </w:p>
        </w:tc>
      </w:tr>
      <w:tr>
        <w:trPr>
          <w:trHeight w:val="103"/>
        </w:trPr>
        <w:tc>
          <w:tcPr>
            <w:tcW w:w="7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34290</wp:posOffset>
            </wp:positionV>
            <wp:extent cx="222885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8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159385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00" w:type="dxa"/>
            <w:vAlign w:val="bottom"/>
            <w:gridSpan w:val="2"/>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83-0406195</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5960" w:type="dxa"/>
            <w:vAlign w:val="bottom"/>
            <w:gridSpan w:val="7"/>
          </w:tcPr>
          <w:p>
            <w:pPr>
              <w:jc w:val="center"/>
              <w:ind w:right="306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300" w:type="dxa"/>
            <w:vAlign w:val="bottom"/>
            <w:gridSpan w:val="2"/>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5960" w:type="dxa"/>
            <w:vAlign w:val="bottom"/>
            <w:gridSpan w:val="7"/>
          </w:tcPr>
          <w:p>
            <w:pPr>
              <w:jc w:val="center"/>
              <w:ind w:right="30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300" w:type="dxa"/>
            <w:vAlign w:val="bottom"/>
            <w:gridSpan w:val="2"/>
          </w:tcPr>
          <w:p>
            <w:pPr>
              <w:jc w:val="center"/>
              <w:ind w:right="1099"/>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314"/>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60" w:type="dxa"/>
            <w:vAlign w:val="bottom"/>
            <w:gridSpan w:val="5"/>
          </w:tcPr>
          <w:p>
            <w:pPr>
              <w:jc w:val="center"/>
              <w:ind w:left="341"/>
              <w:spacing w:after="0"/>
              <w:rPr>
                <w:sz w:val="20"/>
                <w:szCs w:val="20"/>
                <w:color w:val="auto"/>
              </w:rPr>
            </w:pPr>
            <w:r>
              <w:rPr>
                <w:rFonts w:ascii="Times New Roman" w:cs="Times New Roman" w:eastAsia="Times New Roman" w:hAnsi="Times New Roman"/>
                <w:sz w:val="16"/>
                <w:szCs w:val="16"/>
                <w:b w:val="1"/>
                <w:bCs w:val="1"/>
                <w:color w:val="auto"/>
              </w:rPr>
              <w:t>c/o Magnachip Semiconductor, Ltd.</w:t>
            </w:r>
          </w:p>
        </w:tc>
        <w:tc>
          <w:tcPr>
            <w:tcW w:w="6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960" w:type="dxa"/>
            <w:vAlign w:val="bottom"/>
            <w:gridSpan w:val="5"/>
          </w:tcPr>
          <w:p>
            <w:pPr>
              <w:jc w:val="center"/>
              <w:ind w:left="321"/>
              <w:spacing w:after="0"/>
              <w:rPr>
                <w:sz w:val="20"/>
                <w:szCs w:val="20"/>
                <w:color w:val="auto"/>
              </w:rPr>
            </w:pPr>
            <w:r>
              <w:rPr>
                <w:rFonts w:ascii="Times New Roman" w:cs="Times New Roman" w:eastAsia="Times New Roman" w:hAnsi="Times New Roman"/>
                <w:sz w:val="16"/>
                <w:szCs w:val="16"/>
                <w:b w:val="1"/>
                <w:bCs w:val="1"/>
                <w:color w:val="auto"/>
              </w:rPr>
              <w:t>15F, 76 Jikji-daero 436beon-gil, Heungdeok-gu</w:t>
            </w:r>
          </w:p>
        </w:tc>
        <w:tc>
          <w:tcPr>
            <w:tcW w:w="6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60" w:type="dxa"/>
            <w:vAlign w:val="bottom"/>
            <w:gridSpan w:val="7"/>
          </w:tcPr>
          <w:p>
            <w:pPr>
              <w:jc w:val="center"/>
              <w:ind w:right="2819"/>
              <w:spacing w:after="0"/>
              <w:rPr>
                <w:sz w:val="20"/>
                <w:szCs w:val="20"/>
                <w:color w:val="auto"/>
              </w:rPr>
            </w:pPr>
            <w:r>
              <w:rPr>
                <w:rFonts w:ascii="Times New Roman" w:cs="Times New Roman" w:eastAsia="Times New Roman" w:hAnsi="Times New Roman"/>
                <w:sz w:val="16"/>
                <w:szCs w:val="16"/>
                <w:b w:val="1"/>
                <w:bCs w:val="1"/>
                <w:color w:val="auto"/>
              </w:rPr>
              <w:t>Cheongju-si, Chungcheongbuk-do, Republic of Korea 28581</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960" w:type="dxa"/>
            <w:vAlign w:val="bottom"/>
            <w:gridSpan w:val="5"/>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6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160" w:type="dxa"/>
            <w:vAlign w:val="bottom"/>
            <w:gridSpan w:val="8"/>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+82 (2) 6903-3000</w:t>
            </w: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60" w:type="dxa"/>
            <w:vAlign w:val="bottom"/>
            <w:gridSpan w:val="7"/>
          </w:tcPr>
          <w:p>
            <w:pPr>
              <w:jc w:val="center"/>
              <w:ind w:right="28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98"/>
        </w:trPr>
        <w:tc>
          <w:tcPr>
            <w:tcW w:w="13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160" w:type="dxa"/>
            <w:vAlign w:val="bottom"/>
            <w:gridSpan w:val="2"/>
          </w:tcPr>
          <w:p>
            <w:pPr>
              <w:spacing w:after="0"/>
              <w:rPr>
                <w:sz w:val="24"/>
                <w:szCs w:val="24"/>
                <w:color w:val="auto"/>
              </w:rPr>
            </w:pPr>
          </w:p>
        </w:tc>
        <w:tc>
          <w:tcPr>
            <w:tcW w:w="3300" w:type="dxa"/>
            <w:vAlign w:val="bottom"/>
            <w:gridSpan w:val="2"/>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20" w:type="dxa"/>
            <w:vAlign w:val="bottom"/>
            <w:gridSpan w:val="3"/>
          </w:tcPr>
          <w:p>
            <w:pPr>
              <w:jc w:val="center"/>
              <w:ind w:left="341"/>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60" w:type="dxa"/>
            <w:vAlign w:val="bottom"/>
            <w:gridSpan w:val="3"/>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MX</w:t>
            </w:r>
          </w:p>
        </w:tc>
        <w:tc>
          <w:tcPr>
            <w:tcW w:w="6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0" w:type="dxa"/>
            <w:vAlign w:val="bottom"/>
          </w:tcPr>
          <w:p>
            <w:pPr>
              <w:spacing w:after="0"/>
              <w:rPr>
                <w:sz w:val="1"/>
                <w:szCs w:val="1"/>
                <w:color w:val="auto"/>
              </w:rPr>
            </w:pPr>
          </w:p>
        </w:tc>
      </w:tr>
      <w:tr>
        <w:trPr>
          <w:trHeight w:val="212"/>
        </w:trPr>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60" w:type="dxa"/>
            <w:vAlign w:val="bottom"/>
            <w:gridSpan w:val="7"/>
          </w:tcPr>
          <w:p>
            <w:pPr>
              <w:jc w:val="center"/>
              <w:ind w:right="28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141"/>
        </w:trPr>
        <w:tc>
          <w:tcPr>
            <w:tcW w:w="1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20" w:type="dxa"/>
            <w:vAlign w:val="bottom"/>
            <w:gridSpan w:val="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3300" w:type="dxa"/>
            <w:vAlign w:val="bottom"/>
            <w:gridSpan w:val="2"/>
            <w:vMerge w:val="restart"/>
          </w:tcPr>
          <w:p>
            <w:pPr>
              <w:ind w:left="4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tc>
        <w:tc>
          <w:tcPr>
            <w:tcW w:w="0" w:type="dxa"/>
            <w:vAlign w:val="bottom"/>
          </w:tcPr>
          <w:p>
            <w:pPr>
              <w:spacing w:after="0"/>
              <w:rPr>
                <w:sz w:val="1"/>
                <w:szCs w:val="1"/>
                <w:color w:val="auto"/>
              </w:rPr>
            </w:pPr>
          </w:p>
        </w:tc>
      </w:tr>
      <w:tr>
        <w:trPr>
          <w:trHeight w:val="239"/>
        </w:trPr>
        <w:tc>
          <w:tcPr>
            <w:tcW w:w="728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Act. </w:t>
            </w:r>
          </w:p>
        </w:tc>
        <w:tc>
          <w:tcPr>
            <w:tcW w:w="3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6" w:lineRule="exact"/>
        <w:rPr>
          <w:sz w:val="24"/>
          <w:szCs w:val="24"/>
          <w:color w:val="auto"/>
        </w:rPr>
      </w:pPr>
    </w:p>
    <w:p>
      <w:pPr>
        <w:ind w:left="120" w:right="20"/>
        <w:spacing w:after="0" w:line="18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ind w:left="120"/>
        <w:spacing w:after="0" w:line="22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ind w:left="120"/>
        <w:spacing w:after="0" w:line="236" w:lineRule="auto"/>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120"/>
          </w:cols>
          <w:pgMar w:left="320" w:top="225" w:right="459" w:bottom="1440" w:gutter="0" w:footer="0" w:header="0"/>
        </w:sectPr>
      </w:pPr>
    </w:p>
    <w:p>
      <w:pPr>
        <w:spacing w:after="0" w:line="1" w:lineRule="exact"/>
        <w:rPr>
          <w:sz w:val="24"/>
          <w:szCs w:val="24"/>
          <w:color w:val="auto"/>
        </w:rPr>
      </w:pPr>
    </w:p>
    <w:p>
      <w:pPr>
        <w:ind w:left="120"/>
        <w:spacing w:after="0" w:line="173" w:lineRule="exact"/>
        <w:tabs>
          <w:tab w:leader="none" w:pos="2100" w:val="left"/>
          <w:tab w:leader="none" w:pos="858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p>
    <w:p>
      <w:pPr>
        <w:spacing w:after="0" w:line="17" w:lineRule="exact"/>
        <w:rPr>
          <w:sz w:val="24"/>
          <w:szCs w:val="24"/>
          <w:color w:val="auto"/>
        </w:rPr>
      </w:pPr>
    </w:p>
    <w:p>
      <w:pPr>
        <w:ind w:left="120"/>
        <w:spacing w:after="0" w:line="173" w:lineRule="exact"/>
        <w:tabs>
          <w:tab w:leader="none" w:pos="2100" w:val="left"/>
          <w:tab w:leader="none" w:pos="858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p>
    <w:p>
      <w:pPr>
        <w:spacing w:after="0" w:line="36"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3" w:lineRule="exact"/>
        <w:rPr>
          <w:sz w:val="24"/>
          <w:szCs w:val="24"/>
          <w:color w:val="auto"/>
        </w:rPr>
      </w:pPr>
    </w:p>
    <w:p>
      <w:pPr>
        <w:ind w:left="120"/>
        <w:spacing w:after="0" w:line="18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9" w:lineRule="exact"/>
        <w:rPr>
          <w:sz w:val="24"/>
          <w:szCs w:val="24"/>
          <w:color w:val="auto"/>
        </w:rPr>
      </w:pPr>
    </w:p>
    <w:p>
      <w:pPr>
        <w:sectPr>
          <w:pgSz w:w="11900" w:h="16838" w:orient="portrait"/>
          <w:cols w:equalWidth="0" w:num="2">
            <w:col w:w="10740" w:space="180"/>
            <w:col w:w="200"/>
          </w:cols>
          <w:pgMar w:left="320" w:top="225" w:right="459" w:bottom="1440" w:gutter="0" w:footer="0" w:header="0"/>
          <w:type w:val="continuous"/>
        </w:sectPr>
      </w:pPr>
    </w:p>
    <w:p>
      <w:pPr>
        <w:ind w:left="120"/>
        <w:spacing w:after="0" w:line="18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40"/>
        <w:spacing w:after="0" w:line="182"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left="120" w:right="700"/>
        <w:spacing w:after="0" w:line="18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ind w:left="1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36" w:lineRule="exact"/>
        <w:rPr>
          <w:sz w:val="24"/>
          <w:szCs w:val="24"/>
          <w:color w:val="auto"/>
        </w:rPr>
      </w:pPr>
    </w:p>
    <w:p>
      <w:pPr>
        <w:ind w:left="120" w:right="80"/>
        <w:spacing w:after="0" w:line="234" w:lineRule="auto"/>
        <w:rPr>
          <w:sz w:val="20"/>
          <w:szCs w:val="20"/>
          <w:color w:val="auto"/>
        </w:rPr>
      </w:pPr>
      <w:r>
        <w:rPr>
          <w:rFonts w:ascii="Times New Roman" w:cs="Times New Roman" w:eastAsia="Times New Roman" w:hAnsi="Times New Roman"/>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$178,954,261.</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auto"/>
        </w:rPr>
        <w:t>As of February 28, 2025, the registrant had 36,883,279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71120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1" w:lineRule="exact"/>
        <w:rPr>
          <w:sz w:val="24"/>
          <w:szCs w:val="24"/>
          <w:color w:val="auto"/>
        </w:rPr>
      </w:pPr>
    </w:p>
    <w:p>
      <w:pPr>
        <w:ind w:left="120" w:right="220"/>
        <w:spacing w:after="0" w:line="261"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its 2025 annual meeting of stockholders will be incorporated by reference into Part III of this Annual Report on Form 10-K or included by amendment to this report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wp:posOffset>
            </wp:positionH>
            <wp:positionV relativeFrom="paragraph">
              <wp:posOffset>60325</wp:posOffset>
            </wp:positionV>
            <wp:extent cx="702056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0560" cy="145415"/>
                    </a:xfrm>
                    <a:prstGeom prst="rect">
                      <a:avLst/>
                    </a:prstGeom>
                    <a:noFill/>
                  </pic:spPr>
                </pic:pic>
              </a:graphicData>
            </a:graphic>
          </wp:anchor>
        </w:drawing>
      </w:r>
    </w:p>
    <w:p>
      <w:pPr>
        <w:spacing w:after="0" w:line="8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FFFFFF"/>
        </w:rPr>
        <w:t>Form 10-K</w:t>
      </w:r>
    </w:p>
    <w:p>
      <w:pPr>
        <w:sectPr>
          <w:pgSz w:w="11900" w:h="16838" w:orient="portrait"/>
          <w:cols w:equalWidth="0" w:num="1">
            <w:col w:w="11120"/>
          </w:cols>
          <w:pgMar w:left="320" w:top="225" w:right="459" w:bottom="144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left="500" w:right="2460"/>
        <w:spacing w:after="0" w:line="268" w:lineRule="auto"/>
        <w:rPr>
          <w:sz w:val="20"/>
          <w:szCs w:val="20"/>
          <w:color w:val="auto"/>
        </w:rPr>
      </w:pPr>
      <w:r>
        <w:rPr>
          <w:rFonts w:ascii="Times New Roman" w:cs="Times New Roman" w:eastAsia="Times New Roman" w:hAnsi="Times New Roman"/>
          <w:sz w:val="18"/>
          <w:szCs w:val="18"/>
          <w:b w:val="1"/>
          <w:bCs w:val="1"/>
          <w:color w:val="auto"/>
        </w:rPr>
        <w:t>MAGNACHIP SEMICONDUCTOR CORPORATION AND SUBSIDIARIES FORM 10-K FOR THE YEAR ENDED DECEMBER 31, 2024 TABLE OF CONTENTS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8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40" w:type="dxa"/>
            <w:vAlign w:val="bottom"/>
            <w:gridSpan w:val="2"/>
          </w:tcPr>
          <w:p>
            <w:pPr>
              <w:ind w:left="106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6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768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65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758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786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40" w:type="dxa"/>
            <w:vAlign w:val="bottom"/>
            <w:gridSpan w:val="2"/>
          </w:tcPr>
          <w:p>
            <w:pPr>
              <w:ind w:left="106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6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tcBorders>
              <w:top w:val="single" w:sz="8" w:color="0000EE"/>
            </w:tcBorders>
            <w:gridSpan w:val="17"/>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5660" w:type="dxa"/>
            <w:vAlign w:val="bottom"/>
            <w:tcBorders>
              <w:top w:val="single" w:sz="8" w:color="0000EE"/>
            </w:tcBorders>
            <w:gridSpan w:val="14"/>
          </w:tcPr>
          <w:p>
            <w:pPr>
              <w:spacing w:after="0"/>
              <w:rPr>
                <w:sz w:val="17"/>
                <w:szCs w:val="17"/>
                <w:color w:val="auto"/>
              </w:rPr>
            </w:pPr>
          </w:p>
        </w:tc>
        <w:tc>
          <w:tcPr>
            <w:tcW w:w="21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52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00" w:type="dxa"/>
            <w:vAlign w:val="bottom"/>
            <w:tcBorders>
              <w:top w:val="single" w:sz="8" w:color="0000EE"/>
            </w:tcBorders>
            <w:gridSpan w:val="10"/>
          </w:tcPr>
          <w:p>
            <w:pPr>
              <w:spacing w:after="0"/>
              <w:rPr>
                <w:sz w:val="17"/>
                <w:szCs w:val="17"/>
                <w:color w:val="auto"/>
              </w:rPr>
            </w:pPr>
          </w:p>
        </w:tc>
        <w:tc>
          <w:tcPr>
            <w:tcW w:w="21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40" w:type="dxa"/>
            <w:vAlign w:val="bottom"/>
            <w:gridSpan w:val="2"/>
          </w:tcPr>
          <w:p>
            <w:pPr>
              <w:ind w:left="106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6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2280" w:type="dxa"/>
            <w:vAlign w:val="bottom"/>
            <w:tcBorders>
              <w:top w:val="single" w:sz="8" w:color="0000EE"/>
            </w:tcBorders>
            <w:gridSpan w:val="5"/>
          </w:tcPr>
          <w:p>
            <w:pPr>
              <w:spacing w:after="0"/>
              <w:rPr>
                <w:sz w:val="17"/>
                <w:szCs w:val="17"/>
                <w:color w:val="auto"/>
              </w:rPr>
            </w:pPr>
          </w:p>
        </w:tc>
        <w:tc>
          <w:tcPr>
            <w:tcW w:w="45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3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1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40" w:type="dxa"/>
            <w:vAlign w:val="bottom"/>
            <w:gridSpan w:val="2"/>
          </w:tcPr>
          <w:p>
            <w:pPr>
              <w:ind w:left="106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6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3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2040" w:type="dxa"/>
            <w:vAlign w:val="bottom"/>
            <w:gridSpan w:val="2"/>
          </w:tcPr>
          <w:p>
            <w:pPr>
              <w:ind w:left="106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10-K Summary</w:t>
            </w:r>
          </w:p>
        </w:tc>
        <w:tc>
          <w:tcPr>
            <w:tcW w:w="54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2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720" w:type="dxa"/>
            <w:vAlign w:val="bottom"/>
            <w:gridSpan w:val="10"/>
            <w:vMerge w:val="restart"/>
          </w:tcPr>
          <w:p>
            <w:pPr>
              <w:ind w:left="180"/>
              <w:spacing w:after="0"/>
              <w:rPr>
                <w:sz w:val="20"/>
                <w:szCs w:val="20"/>
                <w:color w:val="auto"/>
              </w:rPr>
            </w:pPr>
            <w:r>
              <w:rPr>
                <w:rFonts w:ascii="Arial" w:cs="Arial" w:eastAsia="Arial" w:hAnsi="Arial"/>
                <w:sz w:val="16"/>
                <w:szCs w:val="16"/>
                <w:b w:val="1"/>
                <w:bCs w:val="1"/>
                <w:color w:val="FFFFFF"/>
              </w:rPr>
              <w:t>Form 10-K</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1160" w:type="dxa"/>
            <w:vAlign w:val="bottom"/>
            <w:tcBorders>
              <w:top w:val="single" w:sz="8" w:color="0000EE"/>
            </w:tcBorders>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720" w:type="dxa"/>
            <w:vAlign w:val="bottom"/>
            <w:gridSpan w:val="10"/>
            <w:vMerge w:val="continue"/>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-144145</wp:posOffset>
            </wp:positionV>
            <wp:extent cx="702056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0560" cy="145415"/>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have made statements in this Annual Report on Form 10-K for the year ended December 31, 2024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include the use of the terms “us,” “we,” “our,” the “Company” and “Magnachip” to refer to Magnachip Semiconductor Corporation and its consolidated subsidiaries. The term “Korea” refers to the Republic of Korea or South Korea. On September 1, 2020, we completed the sale of our Foundry Services Group business and our fabrication facility located in Cheongju, Korea to SK keyfoundry Inc. Unless otherwise noted herein, historical operational metrics presented herein do not include those of the Foundry Services Group.</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w:t>
      </w:r>
    </w:p>
    <w:p>
      <w:pPr>
        <w:spacing w:after="0" w:line="188"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“Magnachip” is a registered trademark of us and our subsidiaries and “Magnachip Everywhere” is our registered trademark and service mark. All other product, service and company names mentioned in this Report are the service marks or trademarks of their respective owners.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semiconductor platform solutions for communication, Internet of Things (“IoT”), consumer, computing, industrial and automotive applications. We have a proven record with approximately 45 years of operating history, a portfolio of approximately 1,000 registered patents and pending applications and extensive engineering and manufacturing process expertise. Our standard products business includes Display integrated circuit (“IC”) products, Power IC products, and Power discrete products. Our Display IC products provide panel display solutions to major suppliers of large and small rigid and flexible panel displays, and a wide range of applications including smartphones, TVs, automotive and IT applications such as monitors, notebook PCs, tablet PCs, as well as AR/VRs. Our Power IC products provide power management solutions to major television makers and large panel suppliers. Our Power discrete products provide power management solutions to communication, consumer, computing, servers, automotive, and industrial applications.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wide variety of our analog and mixed-signal semiconductor products allows us to address multiple high-growth end markets and rapidly develop and introduce new products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 Certain of our organic light emitting diodes (“OLEDs”) products are produced using external foundries. Through a strategic cooperation with external foundries, we strive to outsource wafers at competitive prices and produce quality products.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 long history of supplying and collaborating on product and technology development with leading innovators in the consumer electronics market. As a result, we have been able to strengthen our technology and develop products that are in high demand by our customers and end consumers. We sold approximately 370 distinct products in the year ended December 31, 2024 with a substantial portion of our revenues derived from a concentrated number of customers.</w:t>
      </w:r>
    </w:p>
    <w:p>
      <w:pPr>
        <w:spacing w:after="0" w:line="18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Our business is largely driven by innovation in the consumer electronics markets and the growing adoption by consumers of worldwide of electronic devices for use in their daily lives. The consumer electronics market is large and growing rapidly, largely due to consumers increasingly accessing a wide variety of rich media content, such as high definition audio and video, mobile devices, televisions and games on advanced consumer electronic devices.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semiconductors that increase power efficiency, thereby improving heat dissipation and extending battery life.</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we generated total revenues of $231.7 million, net loss of $54.4 million, operating loss of $53.0 million, Adjusted EBITDA of negative $23.6 million, Adjusted Operating Loss of $40.2 million and Adjusted Net Loss of $29.3 million. See “Item 7. Management’s Discussion and Analysis of Financial Condition and Results of Operations” elsewhere in this Report for an explanation of our use of the Non-GAAP measures Adjusted EBITDA, Adjusted Operating Income (Loss) and Adjusted Net Income (Loss) and a reconciliation to net loss and operating loss prepared in accordance with United States Generally Accepted Accounting Principles (“U.S. GAAP”).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On March 12, 2025, we announced that our Board of Directors and management team have made the decision to become a pure-play Power company to drive revenue growth, improve profitability, and maximize shareholder value. As a result, we are exploring all strategic options for its Display business (Display IC</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products), which is to be classified as discontinued operations when our results of operations for the first fiscal quarter of 2025 are reported. Our strategic options include a sale, merger, joint venture, licensing, and wind-down. We currently intend to complete this strategic process and exit the Display business by the end of the second quarter of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business was named “MagnaChip Semiconductor” when it was acquired from SK hynix Inc., formerly known as Hynix Semiconductor,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(“SK hynix”), in October 2004.</w:t>
      </w:r>
    </w:p>
    <w:p>
      <w:pPr>
        <w:spacing w:after="0" w:line="20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March 10, 2011, we completed our initial public offering. In connection with our initial public offering, we converted from a Delaware limited liability company to a Delaware corporation.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30, 2020, we changed our name from “MagnaChip Semiconductor Corporation” to “Magnachip Semiconductor Corporation.”</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May 30, 2023, we announced a plan to separate our standard products business, consisting of Display Solutions and Power Solutions business lines, into two different entities to better align our product strategies by enabling each entity to allocate its resources more effectively to the specific needs of its customers, as well as to enhance transparency, accountability and flexibility in business (the “Internal Separation”). To effectuate the Internal Separation, we reorganized our standard products business into two distinct businesses: (i) our Display IC and Power IC businesses, which are fabless businesses, were grouped together to form the Mixed-Signal Solutions (“MSS”) business, and (ii) our Power discrete business, which is an integrated device manufacturing (“IDM”) business, became the Power Analog Solutions (“PAS”) business.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January 10, 2024, we completed the Internal Separation by forming a new Korean limited liability company named “Magnachip Mixed-Signal, Ltd.” (“MMS”) and transferring the MSS business into such subsidiary. Following the Internal Separation, our MSS business is primarily operated by Magnachip Mixed-Signal, Ltd., and our PAS business is primarily operated by Magnachip Semiconductor, Ltd. (“MSK”), our already-existing Korean operating company. Both companies are indirect wholly-owned subsidiaries of the Company.</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December 31, 2024, an intercompany business transfer agreement was executed between MMS and MSK. Considering the Company’s overall performance and strategic direction—as well as insights from benchmarking global competitors and feedback from our stockholders, both MSK and MMS agreed that consolidating the Power IC and Power discrete businesses under a single company would create a more effective framework for expanding and strengthening the Company’s business for Power products. Accordingly, the Company’s Power IC business was transferred from MMS to MSK, with the transfer being completed on January 1, 2025.</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the purpose of this Annual Report on Form 10-K for the year ended December 31, 2024, our historical results and descriptions of our business and operations reflect the Power IC business as part of the MSS business since it was part of that business group for all of the fiscal year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Legacy Foundry Services Group Business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September 1, 2020, we completed the sale of our Foundry Services Group business and our fabrication facility located in Cheongju, Korea (known as “Fab 4”) to SK keyfoundry Inc. This sale was part of a strategic shift in our operational focus to our standard products business. The Foundry Services Group business provided specialty analog and mixed-signal foundry services mainly for fabless and Integrated Device Manufacturer semiconductor companies.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Display IC products provide flat panel display solutions to major suppliers of large and small flat panel displays. These products include source and gate drivers and timing controllers that cover a wide range of flat panel displays used in mobile communications, automobiles, entertainment devices, notebook PCs, monitors and liquid crystal display (“LCD”), OLEDs and micro light emitting diode (“Micro LED”) televisions. Our Display IC products support the industry’s most advanced display technologies, such as OLEDs, and low temperature polysilicon thin film transistor (“LTPS TFT”), as well as high-volume display technologies such as amorphous silicon thin film transistors (a-Si TFTs). Since 2007, we have designed and manufactured OLED display driver IC products. Our current portfolio of OLED solutions address a wide range of resolutions ranging from HD (High Definition) to WQHD (Wide Quadruple High Definition) for wide range of applications including smartphones, TVs, automotive applications and IT applications such as monitors, notebook PCs, tablet PCs as well as AR/VRs. Our Power IC products provide power management solutions to major television suppliers and large panel display suppliers. These products include AC-DC/DC-DC converters, LED drivers, regulators, power management integrated circuits (“PMICs”) and level shifters for a range of devices, including televisions, wearable devices, notebooks, tablet PCs and other consumer electronics, as well as automotive applications. Our Display IC and Power IC business represented 23.4% and 19.3% of our total revenues for the fiscal years ended December 31, 2024 and 2023, respectively.</w:t>
      </w:r>
    </w:p>
    <w:p>
      <w:pPr>
        <w:spacing w:after="0" w:line="19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expanded our business and market opportunity by establishing our Power discrete product line in late 2007. We have introduced a number of power management semiconductor products, including discrete and integrated circuit solutions for power management in high-volume consumer applications. Discrete products include metal oxide semiconductor field effect transistors (“MOSFETs”), and insulated-gate bipolar transistors (“IGBTs”) for a range of devices, including televisions, smartphones, mobile phones, wearable devices, desktop PCs, notebooks, tablet PCs, other consumer electronics, automotive, and industrial applications such as power suppliers, e-bikes, photovoltaic inverters, LED lighting and motor drives. Our Power discrete business represented 72.0% and 65.8% of our total revenues for the fiscal years ended December 31, 2024 and 2023,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semiconductor market is large and is expanding its applications. Recently, industrial applications such as power suppliers, e-bikes, photovoltaic inverters, LED lighting, motor drives, and automotive applications such as on board chargers, electric motor drives, electric pumps, DC-DC converters and powertrain inverters in hybrid &amp; battery electric vehicle (HEV &amp; BEV) are further driving growth in the semiconductor market.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including power semiconductors that increase power efficiency, thereby improving heat dissipation and extending battery life. These advanced generations of consumer devices are growing faster than the overall electronics device market.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of Leading Electronic Devices Manufacturers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believe our target customers view the following characteristics and capabilities as key differentiating factors among available analog and mixed-signal semiconductor suppliers:</w:t>
      </w:r>
    </w:p>
    <w:p>
      <w:pPr>
        <w:spacing w:after="0" w:line="63" w:lineRule="exact"/>
        <w:rPr>
          <w:sz w:val="20"/>
          <w:szCs w:val="20"/>
          <w:color w:val="auto"/>
        </w:rPr>
      </w:pPr>
    </w:p>
    <w:p>
      <w:pPr>
        <w:ind w:left="540" w:right="20" w:hanging="424"/>
        <w:spacing w:after="0" w:line="268"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Offering of Differentiated Products with Advanced System-Level Features and Functions. </w:t>
      </w:r>
      <w:r>
        <w:rPr>
          <w:rFonts w:ascii="Times New Roman" w:cs="Times New Roman" w:eastAsia="Times New Roman" w:hAnsi="Times New Roman"/>
          <w:sz w:val="18"/>
          <w:szCs w:val="18"/>
          <w:color w:val="auto"/>
        </w:rPr>
        <w:t>Leading electronic devices manufacturers seek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differentiate their products by incorporating innovative semiconductor products that enable unique system-level functionality and enhance performance. These consumer electronics manufacturers seek to closely collaborate with semiconductor solutions providers that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440"/>
        <w:spacing w:after="0" w:line="282" w:lineRule="auto"/>
        <w:rPr>
          <w:sz w:val="20"/>
          <w:szCs w:val="20"/>
          <w:color w:val="auto"/>
        </w:rPr>
      </w:pPr>
      <w:r>
        <w:rPr>
          <w:rFonts w:ascii="Times New Roman" w:cs="Times New Roman" w:eastAsia="Times New Roman" w:hAnsi="Times New Roman"/>
          <w:sz w:val="18"/>
          <w:szCs w:val="18"/>
          <w:color w:val="auto"/>
        </w:rPr>
        <w:t>continuously develop new and advanced products, and technologies that enable state of the art features and functions, such as bright and thin displays, small form factor and energy efficiency.</w:t>
      </w:r>
    </w:p>
    <w:p>
      <w:pPr>
        <w:spacing w:after="0" w:line="63" w:lineRule="exact"/>
        <w:rPr>
          <w:sz w:val="20"/>
          <w:szCs w:val="20"/>
          <w:color w:val="auto"/>
        </w:rPr>
      </w:pPr>
    </w:p>
    <w:p>
      <w:pPr>
        <w:ind w:left="540" w:right="440" w:hanging="424"/>
        <w:spacing w:after="0" w:line="268"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Fast Time-to-Market with New Products. </w:t>
      </w:r>
      <w:r>
        <w:rPr>
          <w:rFonts w:ascii="Times New Roman" w:cs="Times New Roman" w:eastAsia="Times New Roman" w:hAnsi="Times New Roman"/>
          <w:sz w:val="18"/>
          <w:szCs w:val="18"/>
          <w:color w:val="auto"/>
        </w:rPr>
        <w:t>As a result of rapid technological advancements and short product lifecycles, our target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typically prefer suppliers who have a compelling pipeline of new products and capacity to leverage a substantial intellectual property and technology base to accelerate product design and manufacturing when needed.</w:t>
      </w:r>
    </w:p>
    <w:p>
      <w:pPr>
        <w:spacing w:after="0" w:line="197" w:lineRule="exact"/>
        <w:rPr>
          <w:rFonts w:ascii="Times New Roman" w:cs="Times New Roman" w:eastAsia="Times New Roman" w:hAnsi="Times New Roman"/>
          <w:sz w:val="18"/>
          <w:szCs w:val="18"/>
          <w:color w:val="auto"/>
        </w:rPr>
      </w:pPr>
    </w:p>
    <w:p>
      <w:pPr>
        <w:ind w:left="540" w:right="300" w:hanging="424"/>
        <w:spacing w:after="0" w:line="26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Deliver Cost Competitive Solutions. </w:t>
      </w:r>
      <w:r>
        <w:rPr>
          <w:rFonts w:ascii="Times New Roman" w:cs="Times New Roman" w:eastAsia="Times New Roman" w:hAnsi="Times New Roman"/>
          <w:sz w:val="18"/>
          <w:szCs w:val="18"/>
          <w:color w:val="auto"/>
        </w:rPr>
        <w:t>Electronics manufacturers are under constant pressure to deliver cost-competitive solutions.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w:t>
      </w:r>
    </w:p>
    <w:p>
      <w:pPr>
        <w:spacing w:after="0" w:line="81" w:lineRule="exact"/>
        <w:rPr>
          <w:rFonts w:ascii="Times New Roman" w:cs="Times New Roman" w:eastAsia="Times New Roman" w:hAnsi="Times New Roman"/>
          <w:sz w:val="18"/>
          <w:szCs w:val="18"/>
          <w:color w:val="auto"/>
        </w:rPr>
      </w:pPr>
    </w:p>
    <w:p>
      <w:pPr>
        <w:ind w:left="540" w:hanging="424"/>
        <w:spacing w:after="0" w:line="259"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Focus on Delivering Highly Energy-Efficient Products. </w:t>
      </w:r>
      <w:r>
        <w:rPr>
          <w:rFonts w:ascii="Times New Roman" w:cs="Times New Roman" w:eastAsia="Times New Roman" w:hAnsi="Times New Roman"/>
          <w:sz w:val="18"/>
          <w:szCs w:val="18"/>
          <w:color w:val="auto"/>
        </w:rPr>
        <w:t>Consumers increasingly seek longer run-time, environmentally friendly and energy-efficient consumer electronic products. In addition, there is an increasing regulatory focus on reducing energy consumption of consumer electronic products. As a result of a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81" w:lineRule="exact"/>
        <w:rPr>
          <w:sz w:val="20"/>
          <w:szCs w:val="20"/>
          <w:color w:val="auto"/>
        </w:rPr>
      </w:pPr>
    </w:p>
    <w:p>
      <w:pPr>
        <w:ind w:left="540" w:right="20" w:hanging="424"/>
        <w:spacing w:after="0" w:line="259"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Analog and Mixed-Signal Semiconductor Technology. </w:t>
      </w:r>
      <w:r>
        <w:rPr>
          <w:rFonts w:ascii="Times New Roman" w:cs="Times New Roman" w:eastAsia="Times New Roman" w:hAnsi="Times New Roman"/>
          <w:sz w:val="18"/>
          <w:szCs w:val="18"/>
          <w:color w:val="auto"/>
        </w:rPr>
        <w:t>Our long operating history, large patent portfolio, extensive engineering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process expertise and analog and mixed-signal intellectual property allow us to leverage our technology and develop new products across multiple end markets. Our product development efforts are supported by a team of approximately 220 engineers as of the date of this Annual Report. Our platform allows us to develop and introduce new products quickly and integrate numerous functions into a single product. For example, we were one of the first companies to introduce a commercial OLED display driver for mobile phones.</w:t>
      </w:r>
    </w:p>
    <w:p>
      <w:pPr>
        <w:spacing w:after="0" w:line="84" w:lineRule="exact"/>
        <w:rPr>
          <w:rFonts w:ascii="Times New Roman" w:cs="Times New Roman" w:eastAsia="Times New Roman" w:hAnsi="Times New Roman"/>
          <w:sz w:val="18"/>
          <w:szCs w:val="18"/>
          <w:color w:val="auto"/>
        </w:rPr>
      </w:pPr>
    </w:p>
    <w:p>
      <w:pPr>
        <w:ind w:left="540" w:right="360" w:hanging="424"/>
        <w:spacing w:after="0" w:line="259"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Established Relationships and Close Collaboration with Leading Global Electronics Companies. </w:t>
      </w:r>
      <w:r>
        <w:rPr>
          <w:rFonts w:ascii="Times New Roman" w:cs="Times New Roman" w:eastAsia="Times New Roman" w:hAnsi="Times New Roman"/>
          <w:sz w:val="18"/>
          <w:szCs w:val="18"/>
          <w:color w:val="auto"/>
        </w:rPr>
        <w:t>We have a long history of supplying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collaborating on product and technology development with leading innovators in the consumer electronics market. Our close customer relationships have been built based on many years of close collaborative product development, which provides us with deep system-level knowledge and key insights into our customers’ needs. As a result, we are able to continuously strengthen our technology in areas of strategic interest for our customers and focus on those products that our customers and end consumers demand the most.</w:t>
      </w:r>
    </w:p>
    <w:p>
      <w:pPr>
        <w:spacing w:after="0" w:line="84" w:lineRule="exact"/>
        <w:rPr>
          <w:rFonts w:ascii="Times New Roman" w:cs="Times New Roman" w:eastAsia="Times New Roman" w:hAnsi="Times New Roman"/>
          <w:sz w:val="18"/>
          <w:szCs w:val="18"/>
          <w:color w:val="auto"/>
        </w:rPr>
      </w:pPr>
    </w:p>
    <w:p>
      <w:pPr>
        <w:ind w:left="540" w:hanging="424"/>
        <w:spacing w:after="0" w:line="25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Longstanding Presence in Asia and Proximity to Global Electronics Devices Supply Chain. </w:t>
      </w:r>
      <w:r>
        <w:rPr>
          <w:rFonts w:ascii="Times New Roman" w:cs="Times New Roman" w:eastAsia="Times New Roman" w:hAnsi="Times New Roman"/>
          <w:sz w:val="18"/>
          <w:szCs w:val="18"/>
          <w:color w:val="auto"/>
        </w:rPr>
        <w:t>Our presence in Asia facilitates close contact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 deliver products faster than their competitors and to solve problems more efficiently than would be possible with other suppliers.</w:t>
      </w:r>
    </w:p>
    <w:p>
      <w:pPr>
        <w:spacing w:after="0" w:line="127" w:lineRule="exact"/>
        <w:rPr>
          <w:sz w:val="20"/>
          <w:szCs w:val="20"/>
          <w:color w:val="auto"/>
        </w:rPr>
      </w:pPr>
    </w:p>
    <w:p>
      <w:pPr>
        <w:ind w:left="540" w:right="160" w:hanging="424"/>
        <w:spacing w:after="0" w:line="25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Portfolio of Product Offerings Targeting Large, High-Growth Markets. </w:t>
      </w:r>
      <w:r>
        <w:rPr>
          <w:rFonts w:ascii="Times New Roman" w:cs="Times New Roman" w:eastAsia="Times New Roman" w:hAnsi="Times New Roman"/>
          <w:sz w:val="18"/>
          <w:szCs w:val="18"/>
          <w:color w:val="auto"/>
        </w:rPr>
        <w:t>We continue to develop a wide variety of analog and mixed-signal semiconductor solutions for multiple high-growth electronics device end markets. We believe our expanding product offerings allow us to provide additional products to new and existing customers and to cross-sell our products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w:t>
      </w:r>
    </w:p>
    <w:p>
      <w:pPr>
        <w:spacing w:after="0" w:line="88" w:lineRule="exact"/>
        <w:rPr>
          <w:rFonts w:ascii="Times New Roman" w:cs="Times New Roman" w:eastAsia="Times New Roman" w:hAnsi="Times New Roman"/>
          <w:sz w:val="18"/>
          <w:szCs w:val="18"/>
          <w:color w:val="auto"/>
        </w:rPr>
      </w:pPr>
    </w:p>
    <w:p>
      <w:pPr>
        <w:ind w:left="540" w:right="100" w:hanging="424"/>
        <w:spacing w:after="0" w:line="26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Efficient Manufacturing Capabilities. </w:t>
      </w:r>
      <w:r>
        <w:rPr>
          <w:rFonts w:ascii="Times New Roman" w:cs="Times New Roman" w:eastAsia="Times New Roman" w:hAnsi="Times New Roman"/>
          <w:sz w:val="18"/>
          <w:szCs w:val="18"/>
          <w:color w:val="auto"/>
        </w:rPr>
        <w:t>Our manufacturing strategy is focused on optimizing our asset utilization across our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products, which enables us to maintain the price competitiveness of our products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objective is to grow our business, cash flow and profitability and to continue strengthening our position in the semiconductor industry as a leading provider of analog and mixed-signal semiconductor products for high-volume markets. Our business strategy emphasizes the following key elements:</w:t>
      </w:r>
    </w:p>
    <w:p>
      <w:pPr>
        <w:spacing w:after="0" w:line="77" w:lineRule="exact"/>
        <w:rPr>
          <w:sz w:val="20"/>
          <w:szCs w:val="20"/>
          <w:color w:val="auto"/>
        </w:rPr>
      </w:pPr>
    </w:p>
    <w:p>
      <w:pPr>
        <w:ind w:left="540" w:right="160" w:hanging="424"/>
        <w:spacing w:after="0" w:line="259"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Business with Existing Customers. </w:t>
      </w:r>
      <w:r>
        <w:rPr>
          <w:rFonts w:ascii="Times New Roman" w:cs="Times New Roman" w:eastAsia="Times New Roman" w:hAnsi="Times New Roman"/>
          <w:sz w:val="18"/>
          <w:szCs w:val="18"/>
          <w:color w:val="auto"/>
        </w:rPr>
        <w:t>We have a global customer base consisting of leading consumer electronics original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manufacturers (“OEMs”) that sell to multiple end markets. We intend to continue to strengthen our 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w:t>
      </w:r>
    </w:p>
    <w:p>
      <w:pPr>
        <w:spacing w:after="0" w:line="84" w:lineRule="exact"/>
        <w:rPr>
          <w:rFonts w:ascii="Times New Roman" w:cs="Times New Roman" w:eastAsia="Times New Roman" w:hAnsi="Times New Roman"/>
          <w:sz w:val="18"/>
          <w:szCs w:val="18"/>
          <w:color w:val="auto"/>
        </w:rPr>
      </w:pPr>
    </w:p>
    <w:p>
      <w:pPr>
        <w:ind w:left="540" w:right="100" w:hanging="424"/>
        <w:spacing w:after="0" w:line="26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Broaden Our Customer Base. </w:t>
      </w:r>
      <w:r>
        <w:rPr>
          <w:rFonts w:ascii="Times New Roman" w:cs="Times New Roman" w:eastAsia="Times New Roman" w:hAnsi="Times New Roman"/>
          <w:sz w:val="18"/>
          <w:szCs w:val="18"/>
          <w:color w:val="auto"/>
        </w:rPr>
        <w:t>We expect to continue to expand our global customer base, particularly in China, Hong Kong, and Taiwan,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with a particular focus on the growth of our power management business.</w:t>
      </w:r>
    </w:p>
    <w:p>
      <w:pPr>
        <w:spacing w:after="0" w:line="81" w:lineRule="exact"/>
        <w:rPr>
          <w:rFonts w:ascii="Times New Roman" w:cs="Times New Roman" w:eastAsia="Times New Roman" w:hAnsi="Times New Roman"/>
          <w:sz w:val="18"/>
          <w:szCs w:val="18"/>
          <w:color w:val="auto"/>
        </w:rPr>
      </w:pPr>
    </w:p>
    <w:p>
      <w:pPr>
        <w:ind w:left="540" w:right="300" w:hanging="424"/>
        <w:spacing w:after="0" w:line="26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Execution Excellence. </w:t>
      </w:r>
      <w:r>
        <w:rPr>
          <w:rFonts w:ascii="Times New Roman" w:cs="Times New Roman" w:eastAsia="Times New Roman" w:hAnsi="Times New Roman"/>
          <w:sz w:val="18"/>
          <w:szCs w:val="18"/>
          <w:color w:val="auto"/>
        </w:rPr>
        <w:t>We intend to improve our execution through a number of management initiatives, new processes for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customer service and personnel development. We 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w:t>
      </w:r>
    </w:p>
    <w:p>
      <w:pPr>
        <w:spacing w:after="0" w:line="81" w:lineRule="exact"/>
        <w:rPr>
          <w:rFonts w:ascii="Times New Roman" w:cs="Times New Roman" w:eastAsia="Times New Roman" w:hAnsi="Times New Roman"/>
          <w:sz w:val="18"/>
          <w:szCs w:val="18"/>
          <w:color w:val="auto"/>
        </w:rPr>
      </w:pPr>
    </w:p>
    <w:p>
      <w:pPr>
        <w:ind w:left="540" w:hanging="424"/>
        <w:spacing w:after="0" w:line="275" w:lineRule="auto"/>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Return on Capital Investments and Cash Flow Generation. </w:t>
      </w:r>
      <w:r>
        <w:rPr>
          <w:rFonts w:ascii="Times New Roman" w:cs="Times New Roman" w:eastAsia="Times New Roman" w:hAnsi="Times New Roman"/>
          <w:sz w:val="17"/>
          <w:szCs w:val="17"/>
          <w:color w:val="auto"/>
        </w:rPr>
        <w:t>We manufacture our Power discrete products by utilizing our in-house manufacturing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facility and external foundry to address a broad portfolio of power products while we seek to maximize return on capital investments and our cash flow generation. We intend to keep our capital expenditures relatively low by maintaining our focus on specialty process technologies that do not require substantial investment in frequent upgrades to the latest manufacturing equipment. However, from time to time, we make special investments to enhance our manufacturing capabilities by investing in new equipment and expanding our facility, which we expect will have a positive impact on our future new product development and revenue, particularly during the period of global shortage of capacity.</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display technology portfolio includes building blocks for display drivers and timing controllers, processor and interface technologies, as well as sophisticated production techniques, such as chip-on-glass (COG), chip-on-film (COF) and chip-on-plastic (COP) for rigid and flexible OLED displays. Our advanced display drivers incorporate Oxide, Low-Temperature Poly Silicon (LTPS), Low-Temperature Polycrystalline Oxide (LTPO) OLED panel technologies that enable the highest resolution displays.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Expertise in ultra-high voltage (UHV), high voltage and deep trench BCDMOS process technologies, low power analog and mixed-signal design capabilities and packaging know-how are key requirements in the power management market. We are currently leveraging our capabilities in these areas with products such as AC-DC/DC-DC converters, LED drivers, regulators, PMICs, power MOSFETs and IGBTs. We believe our system-level understanding of applications such as LCD televisions, smartphones, computing, and servers, automotive, and industrial applications will allow us to more quickly develop and customize power management solutions for our customers in these markets.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Products by Business Line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broad portfolio of products addresses multiple high-growth, consumer-focused end markets. A key component of our product strategy is to supply multiple related product offerings to each of the end markets that we serve.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Mixed-Signal Solutions Business Line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Display IC products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Display Driver Characteristics. </w:t>
      </w:r>
      <w:r>
        <w:rPr>
          <w:rFonts w:ascii="Times New Roman" w:cs="Times New Roman" w:eastAsia="Times New Roman" w:hAnsi="Times New Roman"/>
          <w:sz w:val="18"/>
          <w:szCs w:val="18"/>
          <w:color w:val="auto"/>
        </w:rPr>
        <w:t>Display drivers deliver defined analog voltages and currents that activate pixels to exhibit images on displays.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key characteristics determine display driver performance and end-market application:</w:t>
      </w:r>
    </w:p>
    <w:p>
      <w:pPr>
        <w:spacing w:after="0" w:line="108" w:lineRule="exact"/>
        <w:rPr>
          <w:sz w:val="20"/>
          <w:szCs w:val="20"/>
          <w:color w:val="auto"/>
        </w:rPr>
      </w:pPr>
    </w:p>
    <w:p>
      <w:pPr>
        <w:ind w:left="540" w:right="80" w:hanging="424"/>
        <w:spacing w:after="0" w:line="259"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Resolution and Number of Channels. </w:t>
      </w:r>
      <w:r>
        <w:rPr>
          <w:rFonts w:ascii="Times New Roman" w:cs="Times New Roman" w:eastAsia="Times New Roman" w:hAnsi="Times New Roman"/>
          <w:sz w:val="18"/>
          <w:szCs w:val="18"/>
          <w:color w:val="auto"/>
        </w:rPr>
        <w:t>Resolution determines the level of detail displayed within an image and is defined by the number of pixels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w:t>
      </w:r>
    </w:p>
    <w:p>
      <w:pPr>
        <w:spacing w:after="0" w:line="84" w:lineRule="exact"/>
        <w:rPr>
          <w:rFonts w:ascii="Times New Roman" w:cs="Times New Roman" w:eastAsia="Times New Roman" w:hAnsi="Times New Roman"/>
          <w:sz w:val="18"/>
          <w:szCs w:val="18"/>
          <w:color w:val="auto"/>
        </w:rPr>
      </w:pPr>
    </w:p>
    <w:p>
      <w:pPr>
        <w:ind w:left="540" w:right="320" w:hanging="424"/>
        <w:spacing w:after="0" w:line="26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Color Depth. </w:t>
      </w:r>
      <w:r>
        <w:rPr>
          <w:rFonts w:ascii="Times New Roman" w:cs="Times New Roman" w:eastAsia="Times New Roman" w:hAnsi="Times New Roman"/>
          <w:sz w:val="18"/>
          <w:szCs w:val="18"/>
          <w:color w:val="auto"/>
        </w:rPr>
        <w:t>Color depth is the number of colors that can be displayed on a panel. For example, for TFT-LCD panels, 262 thousand colors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supported by 6-bit source drivers; 16 million colors are supported by 8-bit source drivers; and 1 billion colors are supported by 10-bit source drivers.</w:t>
      </w:r>
    </w:p>
    <w:p>
      <w:pPr>
        <w:spacing w:after="0" w:line="76" w:lineRule="exact"/>
        <w:rPr>
          <w:rFonts w:ascii="Times New Roman" w:cs="Times New Roman" w:eastAsia="Times New Roman" w:hAnsi="Times New Roman"/>
          <w:sz w:val="18"/>
          <w:szCs w:val="18"/>
          <w:color w:val="auto"/>
        </w:rPr>
      </w:pPr>
    </w:p>
    <w:p>
      <w:pPr>
        <w:ind w:left="540" w:right="120" w:hanging="424"/>
        <w:spacing w:after="0" w:line="26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 Voltage. </w:t>
      </w:r>
      <w:r>
        <w:rPr>
          <w:rFonts w:ascii="Times New Roman" w:cs="Times New Roman" w:eastAsia="Times New Roman" w:hAnsi="Times New Roman"/>
          <w:sz w:val="18"/>
          <w:szCs w:val="18"/>
          <w:color w:val="auto"/>
        </w:rPr>
        <w:t>Display drivers are characterized by input and output voltages. Source drivers typically operate at input voltages from 1.62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3.6 volts and output voltages between 9 and 18 volts. Gate drivers typically operate at input voltages from 1.62 to 3.6 volts and output voltages from 30 to 45 volts. Lower input voltage results in lower power consumption and electromagnetic interference (EMI).</w:t>
      </w:r>
    </w:p>
    <w:p>
      <w:pPr>
        <w:spacing w:after="0" w:line="76" w:lineRule="exact"/>
        <w:rPr>
          <w:rFonts w:ascii="Times New Roman" w:cs="Times New Roman" w:eastAsia="Times New Roman" w:hAnsi="Times New Roman"/>
          <w:sz w:val="18"/>
          <w:szCs w:val="18"/>
          <w:color w:val="auto"/>
        </w:rPr>
      </w:pPr>
    </w:p>
    <w:p>
      <w:pPr>
        <w:jc w:val="both"/>
        <w:ind w:left="540" w:right="20" w:hanging="424"/>
        <w:spacing w:after="0" w:line="268"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Gamma Curve. </w:t>
      </w:r>
      <w:r>
        <w:rPr>
          <w:rFonts w:ascii="Times New Roman" w:cs="Times New Roman" w:eastAsia="Times New Roman" w:hAnsi="Times New Roman"/>
          <w:sz w:val="18"/>
          <w:szCs w:val="18"/>
          <w:color w:val="auto"/>
        </w:rPr>
        <w:t>The relationship between the light passing through a pixel and the voltage applied to the pixel by the source driver is referred 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right="20" w:hanging="424"/>
        <w:spacing w:after="0" w:line="26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Driver Interface. </w:t>
      </w:r>
      <w:r>
        <w:rPr>
          <w:rFonts w:ascii="Times New Roman" w:cs="Times New Roman" w:eastAsia="Times New Roman" w:hAnsi="Times New Roman"/>
          <w:sz w:val="18"/>
          <w:szCs w:val="18"/>
          <w:color w:val="auto"/>
        </w:rPr>
        <w:t>Driver interface refers to the connection between the timing controller and the display drivers. Display drivers increasingly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 higher bandwidth interface technology to address the larger data transfer rate necessary for higher definition images. The principal types of interface technologies are embedded clock point to point interface (EPI), mini-low voltage differential signaling (m-LVDS), unified standard interface (USI) and mobile industry processor interface (“MIPI”).</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Package Type. </w:t>
      </w:r>
      <w:r>
        <w:rPr>
          <w:rFonts w:ascii="Times New Roman" w:cs="Times New Roman" w:eastAsia="Times New Roman" w:hAnsi="Times New Roman"/>
          <w:sz w:val="18"/>
          <w:szCs w:val="18"/>
          <w:color w:val="auto"/>
        </w:rPr>
        <w:t>The assembly of display drivers typically uses COF, COG and COP package types.</w:t>
      </w:r>
    </w:p>
    <w:p>
      <w:pPr>
        <w:spacing w:after="0" w:line="130" w:lineRule="exact"/>
        <w:rPr>
          <w:rFonts w:ascii="Times New Roman" w:cs="Times New Roman" w:eastAsia="Times New Roman" w:hAnsi="Times New Roman"/>
          <w:sz w:val="18"/>
          <w:szCs w:val="18"/>
          <w:color w:val="auto"/>
        </w:rPr>
      </w:pPr>
    </w:p>
    <w:p>
      <w:pPr>
        <w:ind w:left="540" w:right="360" w:hanging="424"/>
        <w:spacing w:after="0" w:line="286"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 Display Solutions. </w:t>
      </w:r>
      <w:r>
        <w:rPr>
          <w:rFonts w:ascii="Times New Roman" w:cs="Times New Roman" w:eastAsia="Times New Roman" w:hAnsi="Times New Roman"/>
          <w:sz w:val="18"/>
          <w:szCs w:val="18"/>
          <w:color w:val="auto"/>
        </w:rPr>
        <w:t>We provide display solutions for a wide range of flat panel display sizes used in LCD TVs, OLED TVs, Micro 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TVs as well as IT applications such as monitors, notebook PCs, tablet PCs, automobiles and public information displays.</w:t>
      </w:r>
    </w:p>
    <w:p>
      <w:pPr>
        <w:spacing w:after="0" w:line="15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1,542 channels. Our large display solutions are designed to allow customers to cost-effectively meet the increasing demand for high resolution displays. We have focused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the features of our products, both in mass production and in customer qualification, which is the final stage of product development, for large-sized displays: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Product</w:t>
            </w:r>
          </w:p>
        </w:tc>
        <w:tc>
          <w:tcPr>
            <w:tcW w:w="3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260" w:type="dxa"/>
            <w:vAlign w:val="bottom"/>
          </w:tcPr>
          <w:p>
            <w:pPr>
              <w:spacing w:after="0"/>
              <w:rPr>
                <w:sz w:val="16"/>
                <w:szCs w:val="16"/>
                <w:color w:val="auto"/>
              </w:rPr>
            </w:pPr>
          </w:p>
        </w:tc>
        <w:tc>
          <w:tcPr>
            <w:tcW w:w="304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Applications</w:t>
            </w:r>
          </w:p>
        </w:tc>
      </w:tr>
      <w:tr>
        <w:trPr>
          <w:trHeight w:val="185"/>
        </w:trPr>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TFT-LCD Source Drivers</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260" w:type="dxa"/>
            <w:vAlign w:val="bottom"/>
            <w:tcBorders>
              <w:top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auto"/>
              </w:rPr>
              <w:t> 480 to 1,542 output channels</w:t>
            </w:r>
          </w:p>
        </w:tc>
        <w:tc>
          <w:tcPr>
            <w:tcW w:w="140" w:type="dxa"/>
            <w:vAlign w:val="bottom"/>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Borders>
              <w:top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auto"/>
              </w:rPr>
              <w:t> LCD/LED TVs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 6-bit (262 thousand colors), 8-bit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 Notebooks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(16 million colors), 10-bit (1 billion colors)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 LCD/LED monitors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 Output voltage ranging from 9V to 18V</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 Automotive</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 Low power consumption and low EMI</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 COF package types</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 EPI, m-LVDS, USI interface technologies</w:t>
            </w: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1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TFT-LCD Gate Drivers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 272 to 960 output channels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 Tablet PCs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 Output voltage ranging from 30V to 45V</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 LCD/LED TVs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 COF and COG package types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 Notebooks</w:t>
            </w:r>
          </w:p>
        </w:tc>
      </w:tr>
      <w:tr>
        <w:trPr>
          <w:trHeight w:val="234"/>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 Automotive</w:t>
            </w:r>
          </w:p>
        </w:tc>
      </w:tr>
      <w:tr>
        <w:trPr>
          <w:trHeight w:val="31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Timing Controllers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 Wide range of resolutions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 Tablet PCs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 EPI, m-LVDS, MIPI, USI-T interface</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 Public information display</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technologies</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 Input voltage ranging from 1.6V to 3.6V</w:t>
            </w: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1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OLED Source Drivers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 960 output channels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 OLED TVs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 10 bit (1 billion colors)</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 Output voltage: 18V</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 COF package type</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 EPI interface technology</w:t>
            </w: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1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Micro LED Drivers</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 480 to 552 output channels (3 Mux)</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 Micro LED TVs</w:t>
            </w: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 10 bit (1 billion colors)</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 Output voltage: max 18V</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 COF package type</w:t>
            </w:r>
          </w:p>
        </w:tc>
        <w:tc>
          <w:tcPr>
            <w:tcW w:w="26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3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 USI interface technology</w:t>
            </w:r>
          </w:p>
        </w:tc>
        <w:tc>
          <w:tcPr>
            <w:tcW w:w="26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78"/>
        </w:trPr>
        <w:tc>
          <w:tcPr>
            <w:tcW w:w="5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Mobile Display Solutions. </w:t>
      </w:r>
      <w:r>
        <w:rPr>
          <w:rFonts w:ascii="Times New Roman" w:cs="Times New Roman" w:eastAsia="Times New Roman" w:hAnsi="Times New Roman"/>
          <w:sz w:val="18"/>
          <w:szCs w:val="18"/>
          <w:color w:val="auto"/>
        </w:rPr>
        <w:t>Our mobile display solutions incorporate the industry’s most advanced display technologies, such as OLED and LTPS,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well as high-volume technologies such as a-Si TFT. Our mobile display products offer specialized capabilities, including high speed serial interfaces, such as mobile display digital interface (“MDDI”), MIPI, reduced swing differential signaling interface (RSDS) and logic-based OTP memory. Our OLED driver ICs can support various configurations such as high resolution from FHD+(2,880x1,284) to QHD+(3,360x1,440), wide aspect ratio from 16:9 to 21:9 and rigid and flexible OLED displays. In the transition to, and adoption of, 5G, fast responses and high frame rates such as 90Hz, 120Hz and 144Hz are becoming essential product offerings. To meet this new and evolving demand, we have developed and mass produced our OLED display driver IC, which supports 90Hz/120Hz/144Hz high frame rates.</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features of our products, including those in mass production and those undergoing customer qualification, which is the final stage of product development, for mobile displays: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74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320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Applications</w:t>
            </w: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OLED</w:t>
            </w:r>
          </w:p>
        </w:tc>
        <w:tc>
          <w:tcPr>
            <w:tcW w:w="7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520" w:type="dxa"/>
            <w:vAlign w:val="bottom"/>
            <w:tcBorders>
              <w:top w:val="single" w:sz="8" w:color="auto"/>
            </w:tcBorders>
          </w:tcPr>
          <w:p>
            <w:pPr>
              <w:ind w:left="100"/>
              <w:spacing w:after="0" w:line="185" w:lineRule="exact"/>
              <w:rPr>
                <w:sz w:val="20"/>
                <w:szCs w:val="20"/>
                <w:color w:val="auto"/>
              </w:rPr>
            </w:pPr>
            <w:r>
              <w:rPr>
                <w:rFonts w:ascii="Times New Roman" w:cs="Times New Roman" w:eastAsia="Times New Roman" w:hAnsi="Times New Roman"/>
                <w:sz w:val="18"/>
                <w:szCs w:val="18"/>
                <w:color w:val="auto"/>
              </w:rPr>
              <w:t>•   Resolutions of HD720, WXGA, FHD,</w:t>
            </w:r>
          </w:p>
        </w:tc>
        <w:tc>
          <w:tcPr>
            <w:tcW w:w="220" w:type="dxa"/>
            <w:vAlign w:val="bottom"/>
          </w:tcPr>
          <w:p>
            <w:pPr>
              <w:spacing w:after="0"/>
              <w:rPr>
                <w:sz w:val="16"/>
                <w:szCs w:val="16"/>
                <w:color w:val="auto"/>
              </w:rPr>
            </w:pPr>
          </w:p>
        </w:tc>
        <w:tc>
          <w:tcPr>
            <w:tcW w:w="3200" w:type="dxa"/>
            <w:vAlign w:val="bottom"/>
            <w:tcBorders>
              <w:top w:val="single" w:sz="8" w:color="auto"/>
            </w:tcBorders>
          </w:tcPr>
          <w:p>
            <w:pPr>
              <w:ind w:left="100"/>
              <w:spacing w:after="0" w:line="185" w:lineRule="exact"/>
              <w:rPr>
                <w:sz w:val="20"/>
                <w:szCs w:val="20"/>
                <w:color w:val="auto"/>
              </w:rPr>
            </w:pPr>
            <w:r>
              <w:rPr>
                <w:rFonts w:ascii="Times New Roman" w:cs="Times New Roman" w:eastAsia="Times New Roman" w:hAnsi="Times New Roman"/>
                <w:sz w:val="18"/>
                <w:szCs w:val="18"/>
                <w:color w:val="auto"/>
              </w:rPr>
              <w:t>•   Smartphones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FHD+, QHD and QHD+</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 Game consoles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 Aspect ratio from 16:9 to 21:9</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 Color depth of 1 billion</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 Tablet PCs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 MIPI, eRVDS interface</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 Virtual reality headsets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 Logic-based OTP</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 Automotive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 Image enhancement IP</w:t>
            </w:r>
          </w:p>
        </w:tc>
        <w:tc>
          <w:tcPr>
            <w:tcW w:w="3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 Display data compression IP</w:t>
            </w:r>
          </w:p>
        </w:tc>
        <w:tc>
          <w:tcPr>
            <w:tcW w:w="3200" w:type="dxa"/>
            <w:vAlign w:val="bottom"/>
          </w:tcPr>
          <w:p>
            <w:pPr>
              <w:spacing w:after="0"/>
              <w:rPr>
                <w:sz w:val="20"/>
                <w:szCs w:val="20"/>
                <w:color w:val="auto"/>
              </w:rPr>
            </w:pPr>
          </w:p>
        </w:tc>
      </w:tr>
      <w:tr>
        <w:trPr>
          <w:trHeight w:val="319"/>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LTPS</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 Resolutions of VGA, WSVGA, WVGA and</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 Smartphones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DVGA</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 Color depth of 16 million</w:t>
            </w:r>
          </w:p>
        </w:tc>
        <w:tc>
          <w:tcPr>
            <w:tcW w:w="3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 MDDI, MIPI interface</w:t>
            </w:r>
          </w:p>
        </w:tc>
        <w:tc>
          <w:tcPr>
            <w:tcW w:w="32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 Logic-based OTP</w:t>
            </w:r>
          </w:p>
        </w:tc>
        <w:tc>
          <w:tcPr>
            <w:tcW w:w="3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 Separated gamma control</w:t>
            </w:r>
          </w:p>
        </w:tc>
        <w:tc>
          <w:tcPr>
            <w:tcW w:w="3200" w:type="dxa"/>
            <w:vAlign w:val="bottom"/>
          </w:tcPr>
          <w:p>
            <w:pPr>
              <w:spacing w:after="0"/>
              <w:rPr>
                <w:sz w:val="20"/>
                <w:szCs w:val="20"/>
                <w:color w:val="auto"/>
              </w:rPr>
            </w:pPr>
          </w:p>
        </w:tc>
      </w:tr>
      <w:tr>
        <w:trPr>
          <w:trHeight w:val="319"/>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 TFT</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 Resolutions of WQVGA and HVGA</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 Mobile 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 Color depth of 16 million</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 Digital still cameras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 RSDS, MDDI, MIPI interface</w:t>
            </w:r>
          </w:p>
        </w:tc>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 Automotive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 CABC</w:t>
            </w:r>
          </w:p>
        </w:tc>
        <w:tc>
          <w:tcPr>
            <w:tcW w:w="32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 Separated gamma control</w:t>
            </w:r>
          </w:p>
        </w:tc>
        <w:tc>
          <w:tcPr>
            <w:tcW w:w="3200" w:type="dxa"/>
            <w:vAlign w:val="bottom"/>
          </w:tcPr>
          <w:p>
            <w:pPr>
              <w:spacing w:after="0"/>
              <w:rPr>
                <w:sz w:val="20"/>
                <w:szCs w:val="20"/>
                <w:color w:val="auto"/>
              </w:rPr>
            </w:pPr>
          </w:p>
        </w:tc>
      </w:tr>
      <w:tr>
        <w:trPr>
          <w:trHeight w:val="162"/>
        </w:trPr>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tcPr>
          <w:p>
            <w:pPr>
              <w:spacing w:after="0"/>
              <w:rPr>
                <w:sz w:val="14"/>
                <w:szCs w:val="14"/>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Power IC products</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We develop, manufacture and market power management solutions for a wide range of end-market customers. Our products include AC-DC/DC-DC converters, LED drivers, regulators, PMICs for a range of devices, including LCD, LED, and UHD televisions, digital signage, smartphones, wearable devices, notebooks, tablet PCs, other consumer electronics, and consumer appliances.</w:t>
      </w:r>
    </w:p>
    <w:p>
      <w:pPr>
        <w:spacing w:after="0" w:line="77" w:lineRule="exact"/>
        <w:rPr>
          <w:sz w:val="20"/>
          <w:szCs w:val="20"/>
          <w:color w:val="auto"/>
        </w:rPr>
      </w:pPr>
    </w:p>
    <w:p>
      <w:pPr>
        <w:ind w:left="540" w:right="100" w:hanging="424"/>
        <w:spacing w:after="0" w:line="268"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AC-DC/DC-DC Converters. </w:t>
      </w:r>
      <w:r>
        <w:rPr>
          <w:rFonts w:ascii="Times New Roman" w:cs="Times New Roman" w:eastAsia="Times New Roman" w:hAnsi="Times New Roman"/>
          <w:sz w:val="18"/>
          <w:szCs w:val="18"/>
          <w:color w:val="auto"/>
        </w:rPr>
        <w:t>We offer AC-DC/DC-DC converters targeting mobile applications and high-power applications like LCD, LED,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UHD televisions, notebooks, smartphones, mobile phones, set-top boxes and display modules. We expect our AC-DC/DC-DC converters will meet customers’ green power requirements by featuring wide input voltage ranges, high efficiency and small size.</w:t>
      </w:r>
    </w:p>
    <w:p>
      <w:pPr>
        <w:spacing w:after="0" w:line="76" w:lineRule="exact"/>
        <w:rPr>
          <w:rFonts w:ascii="Times New Roman" w:cs="Times New Roman" w:eastAsia="Times New Roman" w:hAnsi="Times New Roman"/>
          <w:sz w:val="18"/>
          <w:szCs w:val="18"/>
          <w:color w:val="auto"/>
        </w:rPr>
      </w:pPr>
    </w:p>
    <w:p>
      <w:pPr>
        <w:ind w:left="540" w:right="400" w:hanging="424"/>
        <w:spacing w:after="0" w:line="28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LED Drivers. </w:t>
      </w:r>
      <w:r>
        <w:rPr>
          <w:rFonts w:ascii="Times New Roman" w:cs="Times New Roman" w:eastAsia="Times New Roman" w:hAnsi="Times New Roman"/>
          <w:sz w:val="18"/>
          <w:szCs w:val="18"/>
          <w:color w:val="auto"/>
        </w:rPr>
        <w:t>LED backlighting drivers serve the fast-growing LCD and LED panel backlighting market for LCD and LED televisions, LCD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monitors, digital signage, notebooks, smartphones and tablet PCs. Our</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40"/>
        <w:spacing w:after="0" w:line="266" w:lineRule="auto"/>
        <w:rPr>
          <w:sz w:val="20"/>
          <w:szCs w:val="20"/>
          <w:color w:val="auto"/>
        </w:rPr>
      </w:pPr>
      <w:r>
        <w:rPr>
          <w:rFonts w:ascii="Times New Roman" w:cs="Times New Roman" w:eastAsia="Times New Roman" w:hAnsi="Times New Roman"/>
          <w:sz w:val="18"/>
          <w:szCs w:val="18"/>
          <w:color w:val="auto"/>
        </w:rPr>
        <w:t>products are designed to provide high efficiency and a wide input voltage range, as well as pulse width modulation (PWM) dimming for accurate white LED dimming control. LED lighting drivers have a wide input voltage range applicable to incandescent bulbs and fluorescent lamp replacement.</w:t>
      </w:r>
    </w:p>
    <w:p>
      <w:pPr>
        <w:spacing w:after="0" w:line="77" w:lineRule="exact"/>
        <w:rPr>
          <w:sz w:val="20"/>
          <w:szCs w:val="20"/>
          <w:color w:val="auto"/>
        </w:rPr>
      </w:pPr>
    </w:p>
    <w:p>
      <w:pPr>
        <w:ind w:left="540" w:right="540" w:hanging="424"/>
        <w:spacing w:after="0" w:line="28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Regulators. </w:t>
      </w:r>
      <w:r>
        <w:rPr>
          <w:rFonts w:ascii="Times New Roman" w:cs="Times New Roman" w:eastAsia="Times New Roman" w:hAnsi="Times New Roman"/>
          <w:sz w:val="18"/>
          <w:szCs w:val="18"/>
          <w:color w:val="auto"/>
        </w:rPr>
        <w:t>We also provide analog regulators for mobile, computing and consumer applications. Our products are designed to deliver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efficiency and low power consumption in mobile applications.</w:t>
      </w:r>
    </w:p>
    <w:p>
      <w:pPr>
        <w:spacing w:after="0" w:line="60" w:lineRule="exact"/>
        <w:rPr>
          <w:rFonts w:ascii="Times New Roman" w:cs="Times New Roman" w:eastAsia="Times New Roman" w:hAnsi="Times New Roman"/>
          <w:sz w:val="18"/>
          <w:szCs w:val="18"/>
          <w:color w:val="auto"/>
        </w:rPr>
      </w:pPr>
    </w:p>
    <w:p>
      <w:pPr>
        <w:ind w:left="540" w:right="20" w:hanging="424"/>
        <w:spacing w:after="0" w:line="268"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SSD PMICs. </w:t>
      </w:r>
      <w:r>
        <w:rPr>
          <w:rFonts w:ascii="Times New Roman" w:cs="Times New Roman" w:eastAsia="Times New Roman" w:hAnsi="Times New Roman"/>
          <w:sz w:val="18"/>
          <w:szCs w:val="18"/>
          <w:color w:val="auto"/>
        </w:rPr>
        <w:t>We also provide solid-state drive power management integrated circuits (SSD PMICs) for the computing segment. Our products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for high frequency switching, high efficiency and pulse frequency modulation (PFM) functions to reduce power consumption in low load converters.</w:t>
      </w:r>
    </w:p>
    <w:p>
      <w:pPr>
        <w:spacing w:after="0" w:line="76" w:lineRule="exact"/>
        <w:rPr>
          <w:rFonts w:ascii="Times New Roman" w:cs="Times New Roman" w:eastAsia="Times New Roman" w:hAnsi="Times New Roman"/>
          <w:sz w:val="18"/>
          <w:szCs w:val="18"/>
          <w:color w:val="auto"/>
        </w:rPr>
      </w:pPr>
    </w:p>
    <w:p>
      <w:pPr>
        <w:jc w:val="both"/>
        <w:ind w:left="540" w:right="440" w:hanging="424"/>
        <w:spacing w:after="0" w:line="268"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Logic PMICs. </w:t>
      </w:r>
      <w:r>
        <w:rPr>
          <w:rFonts w:ascii="Times New Roman" w:cs="Times New Roman" w:eastAsia="Times New Roman" w:hAnsi="Times New Roman"/>
          <w:sz w:val="18"/>
          <w:szCs w:val="18"/>
          <w:color w:val="auto"/>
        </w:rPr>
        <w:t>We also provide logic PMICs for organic light-emitting diode (OLED) display panel. Our PMICs provide optimized power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source driver, gate driver and timing controller (T-CON) of OLED display panel through a multi-channel power block (boost converter, buck converter, Op-Amps and positive/negative LDOs).</w:t>
      </w:r>
    </w:p>
    <w:p>
      <w:pPr>
        <w:spacing w:after="0" w:line="17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power IC solutions help customers enhance system stability and improve hear dissipation and energy use, resulting in cost savings for our customers and consumers, as well as environmental benefits. Power IC utilizes standard BCD process technologies which can be sourced from multiple foundries.</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features of our products, including those in mass production and those undergoing customer qualification, which is the final stage of product development: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Product</w:t>
            </w:r>
          </w:p>
        </w:tc>
        <w:tc>
          <w:tcPr>
            <w:tcW w:w="3600" w:type="dxa"/>
            <w:vAlign w:val="bottom"/>
          </w:tcPr>
          <w:p>
            <w:pPr>
              <w:spacing w:after="0"/>
              <w:rPr>
                <w:sz w:val="16"/>
                <w:szCs w:val="16"/>
                <w:color w:val="auto"/>
              </w:rPr>
            </w:pPr>
          </w:p>
        </w:tc>
        <w:tc>
          <w:tcPr>
            <w:tcW w:w="368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32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Applications</w:t>
            </w:r>
          </w:p>
        </w:tc>
      </w:tr>
      <w:tr>
        <w:trPr>
          <w:trHeight w:val="185"/>
        </w:trPr>
        <w:tc>
          <w:tcPr>
            <w:tcW w:w="41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AC-DC/DC-DC Converter</w:t>
            </w:r>
          </w:p>
        </w:tc>
        <w:tc>
          <w:tcPr>
            <w:tcW w:w="3560" w:type="dxa"/>
            <w:vAlign w:val="bottom"/>
            <w:tcBorders>
              <w:top w:val="single" w:sz="8" w:color="auto"/>
            </w:tcBorders>
          </w:tcPr>
          <w:p>
            <w:pPr>
              <w:ind w:left="100"/>
              <w:spacing w:after="0" w:line="185" w:lineRule="exact"/>
              <w:rPr>
                <w:sz w:val="20"/>
                <w:szCs w:val="20"/>
                <w:color w:val="auto"/>
              </w:rPr>
            </w:pPr>
            <w:r>
              <w:rPr>
                <w:rFonts w:ascii="Times New Roman" w:cs="Times New Roman" w:eastAsia="Times New Roman" w:hAnsi="Times New Roman"/>
                <w:sz w:val="18"/>
                <w:szCs w:val="18"/>
                <w:color w:val="auto"/>
              </w:rPr>
              <w:t>•   Wide control range for high power</w:t>
            </w:r>
          </w:p>
        </w:tc>
        <w:tc>
          <w:tcPr>
            <w:tcW w:w="120" w:type="dxa"/>
            <w:vAlign w:val="bottom"/>
          </w:tcPr>
          <w:p>
            <w:pPr>
              <w:spacing w:after="0"/>
              <w:rPr>
                <w:sz w:val="16"/>
                <w:szCs w:val="16"/>
                <w:color w:val="auto"/>
              </w:rPr>
            </w:pPr>
          </w:p>
        </w:tc>
        <w:tc>
          <w:tcPr>
            <w:tcW w:w="3240" w:type="dxa"/>
            <w:vAlign w:val="bottom"/>
            <w:tcBorders>
              <w:top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auto"/>
              </w:rPr>
              <w:t>•   LCD/LED/UHD 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application (&gt;150W)</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 Power supplies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BCDMOS process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 Smartphones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Precision Voltage Reference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 Mobile 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 Very low startup current consumption</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 Notebooks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 Fast load and line regulation</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 Set-top boxes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 Accurate output voltage</w:t>
            </w:r>
          </w:p>
        </w:tc>
        <w:tc>
          <w:tcPr>
            <w:tcW w:w="32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 OCP, SCP and thermal protections</w:t>
            </w:r>
          </w:p>
        </w:tc>
        <w:tc>
          <w:tcPr>
            <w:tcW w:w="3240" w:type="dxa"/>
            <w:vAlign w:val="bottom"/>
          </w:tcPr>
          <w:p>
            <w:pPr>
              <w:spacing w:after="0"/>
              <w:rPr>
                <w:sz w:val="20"/>
                <w:szCs w:val="20"/>
                <w:color w:val="auto"/>
              </w:rPr>
            </w:pPr>
          </w:p>
        </w:tc>
      </w:tr>
      <w:tr>
        <w:trPr>
          <w:trHeight w:val="31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LED Backlighting Drivers</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efficiency, wide input voltage range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 Tablet PCs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BCDMOS process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 Notebooks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 OCP, SCP, OVP and UVLO protections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 Smartphones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 Accurate LED current control and multi-</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 LED/UHD TVs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channel matching</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 LED monitors</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 Programmable current limit, boost up</w:t>
            </w:r>
          </w:p>
        </w:tc>
        <w:tc>
          <w:tcPr>
            <w:tcW w:w="32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frequency</w:t>
            </w:r>
          </w:p>
        </w:tc>
        <w:tc>
          <w:tcPr>
            <w:tcW w:w="3240" w:type="dxa"/>
            <w:vAlign w:val="bottom"/>
          </w:tcPr>
          <w:p>
            <w:pPr>
              <w:spacing w:after="0"/>
              <w:rPr>
                <w:sz w:val="20"/>
                <w:szCs w:val="20"/>
                <w:color w:val="auto"/>
              </w:rPr>
            </w:pPr>
          </w:p>
        </w:tc>
      </w:tr>
      <w:tr>
        <w:trPr>
          <w:trHeight w:val="31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Controlled LED Driver</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 Multi-channel constant current control</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 Digital signage</w:t>
            </w:r>
          </w:p>
        </w:tc>
      </w:tr>
      <w:tr>
        <w:trPr>
          <w:trHeight w:val="234"/>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 12Bit gray scale with SPI</w:t>
            </w:r>
          </w:p>
        </w:tc>
        <w:tc>
          <w:tcPr>
            <w:tcW w:w="3240" w:type="dxa"/>
            <w:vAlign w:val="bottom"/>
          </w:tcPr>
          <w:p>
            <w:pPr>
              <w:spacing w:after="0"/>
              <w:rPr>
                <w:sz w:val="20"/>
                <w:szCs w:val="20"/>
                <w:color w:val="auto"/>
              </w:rPr>
            </w:pPr>
          </w:p>
        </w:tc>
      </w:tr>
      <w:tr>
        <w:trPr>
          <w:trHeight w:val="319"/>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LED Lighting Drivers</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efficiency, wide input voltage range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 AC and DC LED lighting</w:t>
            </w: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 Simple solutions with external components</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fully integrated</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high voltage BCDMOS process</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 Accurate LED current control and high</w:t>
            </w:r>
          </w:p>
        </w:tc>
        <w:tc>
          <w:tcPr>
            <w:tcW w:w="32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power factor and low THB</w:t>
            </w:r>
          </w:p>
        </w:tc>
        <w:tc>
          <w:tcPr>
            <w:tcW w:w="3240" w:type="dxa"/>
            <w:vAlign w:val="bottom"/>
          </w:tcPr>
          <w:p>
            <w:pPr>
              <w:spacing w:after="0"/>
              <w:rPr>
                <w:sz w:val="20"/>
                <w:szCs w:val="20"/>
                <w:color w:val="auto"/>
              </w:rPr>
            </w:pPr>
          </w:p>
        </w:tc>
      </w:tr>
      <w:tr>
        <w:trPr>
          <w:trHeight w:val="378"/>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5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880" w:type="dxa"/>
            <w:vAlign w:val="bottom"/>
          </w:tcPr>
          <w:p>
            <w:pPr>
              <w:spacing w:after="0"/>
              <w:rPr>
                <w:sz w:val="15"/>
                <w:szCs w:val="15"/>
                <w:color w:val="auto"/>
              </w:rPr>
            </w:pPr>
          </w:p>
        </w:tc>
        <w:tc>
          <w:tcPr>
            <w:tcW w:w="35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120" w:type="dxa"/>
            <w:vAlign w:val="bottom"/>
          </w:tcPr>
          <w:p>
            <w:pPr>
              <w:spacing w:after="0"/>
              <w:rPr>
                <w:sz w:val="15"/>
                <w:szCs w:val="15"/>
                <w:color w:val="auto"/>
              </w:rPr>
            </w:pPr>
          </w:p>
        </w:tc>
        <w:tc>
          <w:tcPr>
            <w:tcW w:w="32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Applications</w:t>
            </w:r>
          </w:p>
        </w:tc>
      </w:tr>
      <w:tr>
        <w:trPr>
          <w:trHeight w:val="292"/>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Regulators</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 Single and multi-regulators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 Smartphones and Mobile 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 Low Noise Output regulators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 Notebooks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 Wide range of input voltage and various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 Computing applications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output current</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 CMOS and BCDMOS processes</w:t>
            </w:r>
          </w:p>
        </w:tc>
        <w:tc>
          <w:tcPr>
            <w:tcW w:w="32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 LDO (Low Drop Out — Linear Regulator)</w:t>
            </w:r>
          </w:p>
        </w:tc>
        <w:tc>
          <w:tcPr>
            <w:tcW w:w="3240" w:type="dxa"/>
            <w:vAlign w:val="bottom"/>
          </w:tcPr>
          <w:p>
            <w:pPr>
              <w:spacing w:after="0"/>
              <w:rPr>
                <w:sz w:val="20"/>
                <w:szCs w:val="20"/>
                <w:color w:val="auto"/>
              </w:rPr>
            </w:pPr>
          </w:p>
        </w:tc>
      </w:tr>
      <w:tr>
        <w:trPr>
          <w:trHeight w:val="319"/>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SSD PMIC</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current buck</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 Computing applications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 PFM function</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frequency switching</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efficiency</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integration technology</w:t>
            </w:r>
          </w:p>
        </w:tc>
        <w:tc>
          <w:tcPr>
            <w:tcW w:w="32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 Small QFN package</w:t>
            </w:r>
          </w:p>
        </w:tc>
        <w:tc>
          <w:tcPr>
            <w:tcW w:w="3240" w:type="dxa"/>
            <w:vAlign w:val="bottom"/>
          </w:tcPr>
          <w:p>
            <w:pPr>
              <w:spacing w:after="0"/>
              <w:rPr>
                <w:sz w:val="20"/>
                <w:szCs w:val="20"/>
                <w:color w:val="auto"/>
              </w:rPr>
            </w:pPr>
          </w:p>
        </w:tc>
      </w:tr>
      <w:tr>
        <w:trPr>
          <w:trHeight w:val="319"/>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Logic PMIC</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current boost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 Notebooks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 Integrated pass transistor</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 Tablet PCs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 LDO</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 3channel high current buck</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 Negative Charge Pump</w:t>
            </w:r>
          </w:p>
        </w:tc>
        <w:tc>
          <w:tcPr>
            <w:tcW w:w="3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 2channel buffer Op-Amp.</w:t>
            </w:r>
          </w:p>
        </w:tc>
        <w:tc>
          <w:tcPr>
            <w:tcW w:w="32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 Tiny Wafer Level CSP</w:t>
            </w:r>
          </w:p>
        </w:tc>
        <w:tc>
          <w:tcPr>
            <w:tcW w:w="3240" w:type="dxa"/>
            <w:vAlign w:val="bottom"/>
          </w:tcPr>
          <w:p>
            <w:pPr>
              <w:spacing w:after="0"/>
              <w:rPr>
                <w:sz w:val="20"/>
                <w:szCs w:val="20"/>
                <w:color w:val="auto"/>
              </w:rPr>
            </w:pPr>
          </w:p>
        </w:tc>
      </w:tr>
      <w:tr>
        <w:trPr>
          <w:trHeight w:val="148"/>
        </w:trPr>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tcPr>
          <w:p>
            <w:pPr>
              <w:spacing w:after="0"/>
              <w:rPr>
                <w:sz w:val="12"/>
                <w:szCs w:val="12"/>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Power Analog Solutions Business Line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Power discrete products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develop, manufacture and market power management solutions for a wide range of end-market customers. The products include MOSFETs and IGBTs for a range of devices, including LCD, LED, and UHD televisions, digital signage, smartphones, mobile phones, wearable devices, desktop PCs, notebooks, tablet PCs, other consumer electronics, consumer appliances, automotive, and industrial applications such as power suppliers, e-bikes, photovoltaic inverters, LED lighting and motor drives.</w:t>
      </w:r>
    </w:p>
    <w:p>
      <w:pPr>
        <w:spacing w:after="0" w:line="203" w:lineRule="exact"/>
        <w:rPr>
          <w:sz w:val="20"/>
          <w:szCs w:val="20"/>
          <w:color w:val="auto"/>
        </w:rPr>
      </w:pPr>
    </w:p>
    <w:p>
      <w:pPr>
        <w:ind w:left="540" w:right="460" w:hanging="424"/>
        <w:spacing w:after="0" w:line="28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MOSFETs. </w:t>
      </w:r>
      <w:r>
        <w:rPr>
          <w:rFonts w:ascii="Times New Roman" w:cs="Times New Roman" w:eastAsia="Times New Roman" w:hAnsi="Times New Roman"/>
          <w:sz w:val="18"/>
          <w:szCs w:val="18"/>
          <w:color w:val="auto"/>
        </w:rPr>
        <w:t>Our MOSFETs include low-voltage from 12V to 30V, medium-voltage from 40V to 200V, high-voltage planar MOSFETs, 200V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650V, and super junction MOSFETs, 250V through 900V.</w:t>
      </w:r>
    </w:p>
    <w:p>
      <w:pPr>
        <w:spacing w:after="0" w:line="50" w:lineRule="exact"/>
        <w:rPr>
          <w:rFonts w:ascii="Times New Roman" w:cs="Times New Roman" w:eastAsia="Times New Roman" w:hAnsi="Times New Roman"/>
          <w:sz w:val="18"/>
          <w:szCs w:val="18"/>
          <w:color w:val="auto"/>
        </w:rPr>
      </w:pPr>
    </w:p>
    <w:p>
      <w:pPr>
        <w:ind w:left="56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MOSFETs are used in applications to switch, shape or transfer electricity under varying power requirements. The key application segments are smartphones, mobile phones, wearable devices, LCD, LED, and UHD televisions, desktop PCs, notebooks, tablet PCs, servers, lighting and power supplies for consumer electronics automotive (electric vehicles) and industrial equipment. MOSFETs allow electronics manufacturers to achieve specific design goals of high efficiency and low standby power consumption. For example, computing solutions focus on delivering efficient controllers and MOSFETs for power management in VCORE, DDR and chipsets for audio, video and graphics processing systems.</w:t>
      </w:r>
    </w:p>
    <w:p>
      <w:pPr>
        <w:spacing w:after="0" w:line="206" w:lineRule="exact"/>
        <w:rPr>
          <w:rFonts w:ascii="Times New Roman" w:cs="Times New Roman" w:eastAsia="Times New Roman" w:hAnsi="Times New Roman"/>
          <w:sz w:val="18"/>
          <w:szCs w:val="18"/>
          <w:color w:val="auto"/>
        </w:rPr>
      </w:pPr>
    </w:p>
    <w:p>
      <w:pPr>
        <w:ind w:left="540" w:right="80" w:hanging="424"/>
        <w:spacing w:after="0" w:line="286"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IGBTs. </w:t>
      </w:r>
      <w:r>
        <w:rPr>
          <w:rFonts w:ascii="Times New Roman" w:cs="Times New Roman" w:eastAsia="Times New Roman" w:hAnsi="Times New Roman"/>
          <w:sz w:val="18"/>
          <w:szCs w:val="18"/>
          <w:color w:val="auto"/>
        </w:rPr>
        <w:t>Our IGBTs include 650V to 1200V field stop trench IGBTs. IGBTs are used in automotive and high power industrial applications,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UPSs, power supplies, motor drives, solar inverters, welding machines and consumer appliances.</w:t>
      </w:r>
    </w:p>
    <w:p>
      <w:pPr>
        <w:spacing w:after="0" w:line="13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power management solutions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features of our products, including those in mass production and those undergoing customer qualification, which is the final stage of product development:</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68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32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Applications</w:t>
            </w:r>
          </w:p>
        </w:tc>
      </w:tr>
      <w:tr>
        <w:trPr>
          <w:trHeight w:val="185"/>
        </w:trPr>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Low</w:t>
            </w:r>
          </w:p>
        </w:tc>
        <w:tc>
          <w:tcPr>
            <w:tcW w:w="360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Voltage MOSFET</w:t>
            </w:r>
          </w:p>
        </w:tc>
        <w:tc>
          <w:tcPr>
            <w:tcW w:w="3560" w:type="dxa"/>
            <w:vAlign w:val="bottom"/>
            <w:tcBorders>
              <w:top w:val="single" w:sz="8" w:color="auto"/>
            </w:tcBorders>
          </w:tcPr>
          <w:p>
            <w:pPr>
              <w:ind w:left="100"/>
              <w:spacing w:after="0" w:line="185" w:lineRule="exact"/>
              <w:rPr>
                <w:sz w:val="20"/>
                <w:szCs w:val="20"/>
                <w:color w:val="auto"/>
              </w:rPr>
            </w:pPr>
            <w:r>
              <w:rPr>
                <w:rFonts w:ascii="Times New Roman" w:cs="Times New Roman" w:eastAsia="Times New Roman" w:hAnsi="Times New Roman"/>
                <w:sz w:val="18"/>
                <w:szCs w:val="18"/>
                <w:color w:val="auto"/>
              </w:rPr>
              <w:t>•   Voltage options of 12V-30V</w:t>
            </w:r>
          </w:p>
        </w:tc>
        <w:tc>
          <w:tcPr>
            <w:tcW w:w="120" w:type="dxa"/>
            <w:vAlign w:val="bottom"/>
          </w:tcPr>
          <w:p>
            <w:pPr>
              <w:spacing w:after="0"/>
              <w:rPr>
                <w:sz w:val="16"/>
                <w:szCs w:val="16"/>
                <w:color w:val="auto"/>
              </w:rPr>
            </w:pPr>
          </w:p>
        </w:tc>
        <w:tc>
          <w:tcPr>
            <w:tcW w:w="3240" w:type="dxa"/>
            <w:vAlign w:val="bottom"/>
            <w:tcBorders>
              <w:top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auto"/>
              </w:rPr>
              <w:t>•   Smartphones, mobile phones, and</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Trench MOSFET Process</w:t>
            </w:r>
          </w:p>
        </w:tc>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wearable devices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cell density</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 Tablet PCs, Notebooks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packages to enable reduction of</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 Desktop PCs, Servers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PCB mounting area</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 LCD/LED TVs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 Industrial applications</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 Automotive</w:t>
            </w:r>
          </w:p>
        </w:tc>
      </w:tr>
      <w:tr>
        <w:trPr>
          <w:trHeight w:val="319"/>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Medium Voltage MOSFET</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 Voltage options of 40V-200V</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 e-Bikes and Motor controls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Trench MOSFET Process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 Battery Management Systems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cell density</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 Power tools and Servers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 High system efficiency</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 Energy Storage System</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packages to enable reduction of</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 Other computing applications (Tablet</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PCB mounting area</w:t>
            </w:r>
          </w:p>
        </w:tc>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PCs, Notebooks, Desktops)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 Consumer applications (TV)</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 Industrial applications</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 Automotive</w:t>
            </w:r>
          </w:p>
        </w:tc>
      </w:tr>
      <w:tr>
        <w:trPr>
          <w:trHeight w:val="319"/>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Voltage MOSFET</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 Voltage options of 200V-650V</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 Adaptors for tablet PC/mobile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 R2FET (rapid recovery) option to shorten</w:t>
            </w:r>
          </w:p>
        </w:tc>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phone/smartphone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reverse diode recovery time</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 Power supplies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 Zener diode option for MOSFET protection</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 Lighting (ballast, HID, LED)</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 abnormal input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 Industrial applications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Planar MOSFET Process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 LCD/LEDTVs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packages to enable reduction of</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 Automotive</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PCB mounting area</w:t>
            </w:r>
          </w:p>
        </w:tc>
        <w:tc>
          <w:tcPr>
            <w:tcW w:w="3240" w:type="dxa"/>
            <w:vAlign w:val="bottom"/>
          </w:tcPr>
          <w:p>
            <w:pPr>
              <w:spacing w:after="0"/>
              <w:rPr>
                <w:sz w:val="20"/>
                <w:szCs w:val="20"/>
                <w:color w:val="auto"/>
              </w:rPr>
            </w:pPr>
          </w:p>
        </w:tc>
      </w:tr>
      <w:tr>
        <w:trPr>
          <w:trHeight w:val="319"/>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Super Junction MOSFET</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 Voltage options of 250V-900V</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 LCD/LED/UHD TVs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 Low R</w:t>
            </w:r>
            <w:r>
              <w:rPr>
                <w:rFonts w:ascii="Times New Roman" w:cs="Times New Roman" w:eastAsia="Times New Roman" w:hAnsi="Times New Roman"/>
                <w:sz w:val="25"/>
                <w:szCs w:val="25"/>
                <w:color w:val="auto"/>
                <w:vertAlign w:val="subscript"/>
              </w:rPr>
              <w:t>DS(ON)</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 Lightings applications (ballast, HID,</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 Epi stack process</w:t>
            </w:r>
          </w:p>
        </w:tc>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LED)</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 Zener diode option for MOSFET protection</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 Smartphones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 abnormal input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 Power supplies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SJ MOSFET process</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 Servers and Telecom powers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 Advanced packages to enable reduction of</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 Industrial applications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PCB mounting area</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 EV charging station</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 Low power loss by high speed switching</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 On board charger</w:t>
            </w:r>
          </w:p>
        </w:tc>
      </w:tr>
      <w:tr>
        <w:trPr>
          <w:trHeight w:val="319"/>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IGBTs</w:t>
            </w: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 Voltage options of 650V/1200V</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 Automotive</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 Field Stop Trench IGBT</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 Solar inverters</w:t>
            </w:r>
          </w:p>
        </w:tc>
      </w:tr>
      <w:tr>
        <w:trPr>
          <w:trHeight w:val="216"/>
        </w:trPr>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 Current options from 15A to 100A</w:t>
            </w: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 Industrial applications</w:t>
            </w:r>
          </w:p>
        </w:tc>
      </w:tr>
      <w:tr>
        <w:trPr>
          <w:trHeight w:val="234"/>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 Consumer appliances</w:t>
            </w:r>
          </w:p>
        </w:tc>
      </w:tr>
      <w:tr>
        <w:trPr>
          <w:trHeight w:val="148"/>
        </w:trPr>
        <w:tc>
          <w:tcPr>
            <w:tcW w:w="5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40" w:type="dxa"/>
            <w:vAlign w:val="bottom"/>
          </w:tcPr>
          <w:p>
            <w:pPr>
              <w:spacing w:after="0"/>
              <w:rPr>
                <w:sz w:val="12"/>
                <w:szCs w:val="12"/>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We focus our sales and marketing strategy on continuing to grow and leverage our existing relationships with leading consumer electronics OEMs, while expanding into industrial and automotive end markets. We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believe our close collaboration with customers allows us to align our product and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 in Korea, as well as our local sales and support offices and sales liaisons in Japan, Greater China, Taiwan and Europe. We have a network of agents and distributors in the U.S., Europe and the Asia Pacific region. For the years ended December 31, 2024 and 2023, we derived 32% and 34% of net sales from our standard products business through our direct sales force, respectively, and 68% and 66% of net sales from our standard products business through our network of authorized agents and distributors,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sell our products to consumer, computing, communication, automotive and industrial electronics OEMs, original design manufacturers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electronics manufacturing services companies, as well as subsystem designers. For the years ended December 31, 2024 and 2023, our ten largest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customers accounted for 74.1% and 69.2% of net sales from our standard products business, respectively. Our arrangements with and reliance on key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customers, particularly customers for our display products, may make it less practicable to pursue certain opportunities with other potential new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existing customers. For the year ended December 31, 2024, sales to SAMT represented 21.4% of net sales from our standard products business,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Samsung Display represented 14.7% of net sales from our standard products business. For the year ended December 31, 2023, sales to SAMT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represented 16.7% of net sales from our standard products business, and Samsung Display represented 13.4% of net sales from our standard products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For the year ended December 31, 2024, we recorded revenues of $2.1 million from customers in the U.S. and $219.0 million from all foreign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countries, of which 43.7% was from Greater China and 39.3% was from Korea. For the year ended December 31, 2023, we recorded revenues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 million from customers in the U.S. and $192.9 million from all foreign countries, of which 41.4% was from Greater China and 34.6% was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Korea. All information pertaining to the geographic source of revenues is with respect to the geographic location to which our products are billed.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2024, our portfolio of intellectual property assets included approximately 836 registered patents and 166 pending applications. Approximately 304 and 46 of our registered patents and pending applications, respectively, are novel in that they are not a foreign counterpart of an existing registered patent or pending application. Because we file patents in multiple jurisdictions, we additionally have approximately 532 registered patents and 110 pending applications that relate to identical technical claims in our base patent portfolio. Our registered patents expire at various times approximately over the next 19 years. While these patents are, in the aggregate, important to our competitive position, we do not believe that any single registered patent or pending application is material to us.</w:t>
      </w:r>
    </w:p>
    <w:p>
      <w:pPr>
        <w:spacing w:after="0" w:line="187"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See “Item 1A. Risk Factors—Risks Related to Our Business—Our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National Core Technology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Act on Prevention of Leakage and Protection of Industrial Technology of Korea (the “ITA”), any export (including various means of outflow such as sale or transfer outside Korea) of technology designated as “national core technology” (“National Core Technology” or “NCT”) by the Korean Ministry of Trade, Industry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82"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and Energy (the “MOTIE”) requires the filing of a prior-report with, and the acceptance of the same by, the MOTIE. Any such export of NCT without the acceptance of the prior report with the MOTIE may be subject to corrective orders by the relevant authorities, and failure to comply with such corrective orders may potentially result in criminal liabilities.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Notification Regarding Designation of National Core Technologies issued by the MOTIE was amended on July 14, 2021 to add certain technologies to the list of National Core Technology designated by the MOTIE, and the amended list includes the OLED Display Driver IC (“OLED DDI”) design technology for driving display panels. Since then, the Act on Special Measures for Strengthening and Protecting the Competitiveness of the National High-Tech Strategic Industry (the “Special Act”) was enacted and became effective on August 4, 2022, and more recently, on June 2, 2023, the MOTIE designated 17 technologies, including the OLED DDI design technology for driving display panels, as National High-Tech Strategic Technology (“NHST”) under the Special Act. Under the Special Act, any export of NHST requires prior approval from the MOTIE. Any such export of NHST without the approval of the MOTIE may be subject to corrective orders by the relevant authorities and may also be subject to criminal sanctions.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one of our Korean subsidiaries, Magnachip Mixed-Signal, Ltd., may provide certain information relating to its products, including OLED DDI, to customers, suppliers or vendors, and such disclosure of information may be subject to the NCT-related regulations under the ITA and NHST-related regulations under the Special Act, and therefore the MOTIE’s acceptance of prior-reports (under the ITA) and the MOTIE’s prior approval (under the Special Act). Since the amendment of the foregoing NCT list in July 2021, we have filed prior-reports and applications for prior approval with the MOTIE for the export of our OLED DDI product-related information to certain overseas vendors that manufacture our products, and all such reports and applications have thus far been accepted and approved by the MOTIE.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compete based on design experience, manufacturing capabilities, the ability to satisfy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worldwide workforce consisted of 881 employees (full- and part-time) as of December 31, 2024, of which 206 were involved in sales, marketing, general and administrative, 220 in research and development (including 87 with advanced degrees), 40 in quality, reliability and assurance, and 415 in manufacturing (comprised of 39 in engineering and 376 in operations, maintenance and others). Our employees leverage their extensive expertise in engineering, design and process to accelerate the advancement of technology and be leaders in our industry. We pride our company on being a great workplace where employees from diverse backgrounds can reach their full potential.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Labor Unions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disclosed in previous reports, we have a labor union at our Korean subsidiary, Magnachip Semiconductor, Ltd., (the “First Union”). On September 16, 2021, the formation of a second labor union at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Korean subsidiary, Magnachip Semiconductor, Ltd., (the “Second Union”) was approved by local authorities (the First Union and the Second Union are collectively referred to as the “Magnachip Semiconductor Labor Unions”). Both the First Union and the Second Union are members of a supervisory association named “Federation of Korean Trade Unions.” The First Union represents member employees who are factory workers and the Second Union represents member employees who are office workers, in both cases at our Korean subsidiary.</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of the 833 employees at our Korean subsidiaries, 380 employees at Magnachip Semiconductor, Ltd. were represented by the First Union, and 73 employees at Magnachip Semiconductor, Ltd. were represented by the Second Union. Approximately 54% of our employees at our Korean subsidiaries were represented by the Magnachip Semiconductor Labor Unions.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See “Item 1A. Risk Factors—Risks Related to Our Business—If we encounter future labor problems, we may fail to deliver our products and services in a timely manner, which would adversely affect our revenues and profitability.”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Values and Culture</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Our core values represent a commitment to building an environment of trust with our employees, customers, investors and the communities in which we operate. Through our values and culture, we strive to shape a better future not only for ourselves and our customers, but for humanity as a whole. At Magnachip, we strive to foster effective collaboration by respecting different perspectives, giving and receiving constructive feedback, and supporting one another.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Inclusion and Diversity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support all employees, regardless of gender, gender identity or expression, age, veteran status, race, ethnicity, national origin, religion or disability. We place great importance on inclusion and diversity within the workplace, and believe that an inclusive and diverse culture creates a happier, more relaxed work environment.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Labor and Ethics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Magnachip strives to provide and maintain a working environment where management and employees are happy and treated with dignity and respect. Magnachip adheres to human rights and labor standards of international labor organizations, such as the United Nations and the International Labor Organization. Magnachip prohibits all forms of discrimination based on gender, race, nationality, religion and age to ensure all employees work in a safe and fair environment.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Empowering Great Talent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offer a variety of offline training programs, including courses in the areas of design, engineering and technology, as well as courses at different job levels and leadership education. We also offer a number of online training programs, including in the areas of management/leadership and business skills such as presentation, negotiation, reporting, Information Technology and foreign language, which allow employees to improve their capabilities without time and space constraints. Every year, a majority of our employees are required to complete certain educational programs in the areas of information security, industrial safety and health, and sexual harassment prevention.</w:t>
      </w:r>
    </w:p>
    <w:p>
      <w:pPr>
        <w:spacing w:after="0" w:line="183"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believe the foundation of Magnachip is our research and development (“R&amp;D”) talent. To ensure R&amp;D technical professionals continue to advance their skills and knowledge, we have technology committees that attend regular seminars and conduct periodic research. We have a reward program for exemplary research.</w:t>
      </w:r>
    </w:p>
    <w:p>
      <w:pPr>
        <w:spacing w:after="0" w:line="176"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We also offer a Vision Seminar, which is led by our CEO and is designed to share our company’s vision, strategy and the management’s key messages to employees. Additionally, the CEO and management regularly communicate with employees through CEO letters and town hall meetings.</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strive to reward employees with competitive compensation based on contribution and performance. We periodically evaluate market practices for compensation and benefits, including with respect to job function, role and responsibility, job level and region, and regularly review whether our compensation levels and distribution methods are fair and equitable. Additionally, we have long-and mid-term retention programs to attract and retain high-performing key talent.</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offer various employee benefits under the company philosophy that ensuring employees enjoy a happier life with their families is as critical as promoting their own health and well-being. All employees and their family members have access to annual medical checkup programs. Employees also have access to other benefits such as personal pensions, housing assistance, medical reimbursement plans and educational assistance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Safety and Wellness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appreciate the fact that our employees constitute one of the most critical assets of Magnachip, and therefore, their safety and wellness are key factors to our success. We have a dedicated Environmental Health &amp; Safety (“EHS”) team that establishes and reviews internal EHS regulations based on international agreements as well as local laws and regulations. Our EHS team is also responsible for identifying, evaluating and improving EHS issues within the overall manufacturing process to ensure a safe and comfortable work environment. Magnachip has implemented and maintains an Occupational Health and Safety Management System as well as an Environmental Management System. Our sites are certified to the internationally recognized ISO 45001 and ISO 14001 standards.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January 2021, the Korean legislature enacted the Serious Accident Punishment Act (“SAPA”), which imposes criminal liability on individuals and entities responsible for “serious accidents,” including industrial accidents that cause death, serious injury or occupational illness. SAPA essentially requires enterprises to establish relevant standards and measures to ensure a certain level of operational safety, including the health and safety of all employees. SAPA went into effect in January 2022, and in connection therewith, we appointed Mr. Seunghoon Lee as the Chief Safety Officer of Magnachip Semiconductor, Ltd. (“MSK”), who then formed a dedicated team to evaluate, improve and monitor the policies, practices, standards and systems relating to health and safety to ensure compliance with SAPA. Mr. Lee, who has over 35 years of manufacturing and industrial EHS experience at Magnachip, concurrently serves as the Chief of Manufacturing of MSK.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subsidiaries have been subject to a new set of greenhouse gas emissions regulation, the Korean Emissions Trading Scheme, or K-ETS, under the Act on Allocation and Trading of Greenhouse Gas Emission Allowances. Under K-ETS, our Korean subsidiaries were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w:t>
      </w:r>
    </w:p>
    <w:p>
      <w:pPr>
        <w:spacing w:after="0" w:line="192"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Another example is the regulations on chemicals under Chemicals Control Act and K-REACH, which came into effect on January 1, 2015. Under these laws, our Korean subsidiaries are required to comply with various requirements to report, evaluate, manage and ensure the safe usage of the chemicals used in its facilities. There can be no assurance that we have been or will be in compliance with all of these laws and regulations, or that we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320" w:top="482"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has adopted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requirements could adversely affect the sourcing, availability and pricing of metals used in the manufacture of our products. See “Item 1A. Risk Factors—Risks Related to Our Business—Compliance with regulations regarding the use of “conflict minerals” could limit the supply and increase the cost of certain raw materials used in manufacturing our products.”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principal executive office is located at: c/o Magnachip Semiconductor, Ltd., 15F, 76, Jikji-daero 436beon-gil, Heungdeok-gu, Cheongju-si, Chungcheongbuk-do, 28581, Republic of Korea, and our email address is investors@magnachip.com. Our website address is www.magnachip.com. Our annual, quarterly and current reports on Forms 10-K, 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Compensation Recovery Policy, Audit 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 annual, quarterly and current reports on Form 10-K, 10-Q and 8-K, respectively, and all amendments to these materials after such reports and amendments are filed with the SEC. You may also request a copy of these filings, at no cost, by writing or telephoning us at the following address or phone number: c/o Magnachip Semiconductor, Ltd., 15F, 76 Jikji-daero 436beon-gil, Heungdeok-gu, Cheongju-si, Chungcheongbuk-do, 28581, Republic of Korea; Attention: Investor Relations; email address: investors@magnachip.com.</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current executive officers: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24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34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260" w:type="dxa"/>
            <w:vAlign w:val="bottom"/>
          </w:tcPr>
          <w:p>
            <w:pPr>
              <w:spacing w:after="0"/>
              <w:rPr>
                <w:sz w:val="16"/>
                <w:szCs w:val="16"/>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Young-Joon (YJ) Kim</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CCEEFF"/>
            </w:tcBorders>
            <w:gridSpan w:val="3"/>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Shin Young Park</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7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Kim</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71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tc>
      </w:tr>
      <w:tr>
        <w:trPr>
          <w:trHeight w:val="216"/>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Seunghoon Lee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71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Acting Co-General Manager of Power Analog Solutions</w:t>
            </w:r>
          </w:p>
        </w:tc>
      </w:tr>
      <w:tr>
        <w:trPr>
          <w:trHeight w:val="21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Jinseok Yang</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71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Acting Co-General Manager of Mixed-Signal Solutions</w:t>
            </w:r>
          </w:p>
        </w:tc>
      </w:tr>
    </w:tbl>
    <w:p>
      <w:pPr>
        <w:spacing w:after="0" w:line="194"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Young-Joon (YJ) Kim, Director on the Board of Directors, Member of the Risk Committee and Chief Executive Officer. </w:t>
      </w:r>
      <w:r>
        <w:rPr>
          <w:rFonts w:ascii="Times New Roman" w:cs="Times New Roman" w:eastAsia="Times New Roman" w:hAnsi="Times New Roman"/>
          <w:sz w:val="18"/>
          <w:szCs w:val="18"/>
          <w:color w:val="auto"/>
        </w:rPr>
        <w:t>Mr. YJ Kim became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Chief Executive Officer in May 2015 and has also served as a director on our Board since that time. In February 2023, Mr. Kim held the additional role of Acting Co-General</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Manager of our Power business to capitalize on the attractive growth opportunities in the Power sector. In February 2020 to February 2023, Mr. Kim assumed the additional role of General Manager of the Display business to capitalize on the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His past roles include marketing, engineering, product development and strategic planning, and his product expertise includes microprocessors, network processors, multi-core processors, FLASH, EPROM, analog, mixed-signal, sensors, 3G/4G/5G base stations,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in 1988.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9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Shin Young Park, Chief Financial Officer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Shin Young Park became our Chief Financial Officer in January 2022 and became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Officer in March 2020. Ms. Park previously served as the Company’s Corporate Controller from November 2018 to February 2020. Prior to that, she served as the SEC Reporting and Accounting Director from April 2015 to October 2018. Before joining the Company in April 2014, from 2005 to March 2014, Ms. Park served in various senior advisory and audit service positions at Deloitte, a public accounting firm. From 2005 to 2009, she worked at Deloitte &amp; Touche in Chicago, Illinois; from 2009 to 2011 and then from 2013 to March 2014, she worked at Deloitte Anjin in Seoul, South Korea; and from 2011 to 2013, she worked at Deloitte in London, U.K. Ms. Park holds a B.A. degree in business administration from Sogang University, Seoul, Korea, and a Master’s degree in hospitality industry studies from New York University.</w:t>
      </w:r>
    </w:p>
    <w:p>
      <w:pPr>
        <w:spacing w:after="0" w:line="1"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Theodore Kim, Chief Compliance Officer, General Counsel and Secretary. </w:t>
      </w:r>
      <w:r>
        <w:rPr>
          <w:rFonts w:ascii="Times New Roman" w:cs="Times New Roman" w:eastAsia="Times New Roman" w:hAnsi="Times New Roman"/>
          <w:sz w:val="18"/>
          <w:szCs w:val="18"/>
          <w:color w:val="auto"/>
        </w:rPr>
        <w:t>Mr. Theodore (“Ted”) Kim became our Chief Compliance Officer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2015 and became our General Counsel and Secretary in November 2013. Mr. Kim previously served as our Senior Vice President from November 2013 to May 2015. Prior to joining Magnachip, Mr. Kim served as Head Lawyer, Global Business Development at Samsung Fire &amp; Marine Insurance from October 2012 to October 2013. Mr. Kim was employed by Gibson Dunn, a law firm, from October 2005 to July 2012, serving most recently as Of Counsel. Prior to that, he served as Foreign Legal Consultant at Kim &amp; Chang, a law firm in Korea, from 2001 to 2005, and prior to that, he worked as an associate attorney at Morrison &amp; Foerster, a law firm, from 1997 to 2001. Mr. Kim holds a B.A. degree in Economics and a B.S. degree in Mechanical Engineering from University of California, Irvine, and a J.D. degree from University of California, Los Angeles, School of Law.</w:t>
      </w:r>
    </w:p>
    <w:p>
      <w:pPr>
        <w:spacing w:after="0" w:line="184" w:lineRule="exact"/>
        <w:rPr>
          <w:sz w:val="20"/>
          <w:szCs w:val="20"/>
          <w:color w:val="auto"/>
        </w:rPr>
      </w:pPr>
    </w:p>
    <w:p>
      <w:pPr>
        <w:ind w:left="120" w:right="2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Seung Hoon Lee, Acting Co-General Manager of Power Analog Solutions, Chief of Manufacturing &amp; Operations, and Chief Safety Officer. </w:t>
      </w:r>
      <w:r>
        <w:rPr>
          <w:rFonts w:ascii="Times New Roman" w:cs="Times New Roman" w:eastAsia="Times New Roman" w:hAnsi="Times New Roman"/>
          <w:sz w:val="18"/>
          <w:szCs w:val="18"/>
          <w:color w:val="auto"/>
        </w:rPr>
        <w:t>Mr. Seung Hoon Lee was named Acting Co-General Manager of Power Analog Solutions in May 2024. He has been serving as our Chief of Manufacturing and Operations, Chief Safety Officer and Acting Head of Labor Relations since 2020. Prior to that, Mr. Lee served as Chief of Manufacturing for the factories in Cheongju and Gumi, Korea from 2015 to 2020. He was Chief of Manufacturing for the Gumi factory from 2012 to 2015 and for the Cheongju factory from 2007 to 2012. Mr. Lee holds a B.S. degree in Electronic Engineering from Chosun University.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Jinseok Yang, Acting Co-General Manager and Assistant General Manager of Mixed-Signal Solutions. </w:t>
      </w:r>
      <w:r>
        <w:rPr>
          <w:rFonts w:ascii="Times New Roman" w:cs="Times New Roman" w:eastAsia="Times New Roman" w:hAnsi="Times New Roman"/>
          <w:sz w:val="18"/>
          <w:szCs w:val="18"/>
          <w:color w:val="auto"/>
        </w:rPr>
        <w:t>Mr. Jinseok Yang became our Acting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Co-General Manager of Mixed-Signal Solutions in August 2024 and became our Assistant General Manager of Display Solutions in February 2020. Prior to that, Mr. Yang served as Head of Display Design from 2015 to 2020. Prior to that, Mr. Yang served as Head of Mobile Display Driver IC from 2012 to 2015. Mr. Yang holds a B.S. degree in Electronic Engineering from Sungkyunkwan University, and a Master’s degree in Electronic Engineering from Pohang University of Science and Technology.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risk factors included herein.</w:t>
      </w:r>
    </w:p>
    <w:p>
      <w:pPr>
        <w:spacing w:after="0" w:line="127" w:lineRule="exact"/>
        <w:rPr>
          <w:sz w:val="20"/>
          <w:szCs w:val="20"/>
          <w:color w:val="auto"/>
        </w:rPr>
      </w:pPr>
    </w:p>
    <w:p>
      <w:pPr>
        <w:ind w:left="540" w:right="18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60" w:lineRule="exact"/>
        <w:rPr>
          <w:rFonts w:ascii="Times New Roman" w:cs="Times New Roman" w:eastAsia="Times New Roman" w:hAnsi="Times New Roman"/>
          <w:sz w:val="18"/>
          <w:szCs w:val="18"/>
          <w:color w:val="auto"/>
        </w:rPr>
      </w:pPr>
    </w:p>
    <w:p>
      <w:pPr>
        <w:ind w:left="540" w:right="12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 significant portion of our sales comes from a relatively limited number of customers, the loss of which could adversely affect our financial results.</w:t>
      </w:r>
    </w:p>
    <w:p>
      <w:pPr>
        <w:spacing w:after="0" w:line="60" w:lineRule="exact"/>
        <w:rPr>
          <w:rFonts w:ascii="Times New Roman" w:cs="Times New Roman" w:eastAsia="Times New Roman" w:hAnsi="Times New Roman"/>
          <w:sz w:val="18"/>
          <w:szCs w:val="18"/>
          <w:color w:val="auto"/>
        </w:rPr>
      </w:pPr>
    </w:p>
    <w:p>
      <w:pPr>
        <w:ind w:left="540" w:right="8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60" w:lineRule="exact"/>
        <w:rPr>
          <w:rFonts w:ascii="Times New Roman" w:cs="Times New Roman" w:eastAsia="Times New Roman" w:hAnsi="Times New Roman"/>
          <w:sz w:val="18"/>
          <w:szCs w:val="18"/>
          <w:color w:val="auto"/>
        </w:rPr>
      </w:pPr>
    </w:p>
    <w:p>
      <w:pPr>
        <w:ind w:left="540" w:right="50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may fail to realize all of the anticipated benefits of our operational initiatives, including the strategic options for exiting our Display business, or those benefits may take longer to realize or be more expensive than expected.</w:t>
      </w:r>
    </w:p>
    <w:p>
      <w:pPr>
        <w:spacing w:after="0" w:line="60" w:lineRule="exact"/>
        <w:rPr>
          <w:rFonts w:ascii="Times New Roman" w:cs="Times New Roman" w:eastAsia="Times New Roman" w:hAnsi="Times New Roman"/>
          <w:sz w:val="18"/>
          <w:szCs w:val="18"/>
          <w:color w:val="auto"/>
        </w:rPr>
      </w:pPr>
    </w:p>
    <w:p>
      <w:pPr>
        <w:ind w:left="540" w:right="26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60" w:lineRule="exact"/>
        <w:rPr>
          <w:rFonts w:ascii="Times New Roman" w:cs="Times New Roman" w:eastAsia="Times New Roman" w:hAnsi="Times New Roman"/>
          <w:sz w:val="18"/>
          <w:szCs w:val="18"/>
          <w:color w:val="auto"/>
        </w:rPr>
      </w:pPr>
    </w:p>
    <w:p>
      <w:pPr>
        <w:ind w:left="540" w:right="2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Global shortages in manufacturing capacities could interrupt or negatively affect our operations, increase cost to manufacture and negatively impact our results of operations.</w:t>
      </w:r>
    </w:p>
    <w:p>
      <w:pPr>
        <w:spacing w:after="0" w:line="1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Expanded trade restrictions may limit our ability to sell to certain customers.</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 changes in international trade policy and the imposition and threats of international tariffs, including tariffs applied to goods traded between the United States and other countries/regions, could materially and adversely affect our business and results of operations.</w:t>
      </w:r>
    </w:p>
    <w:p>
      <w:pPr>
        <w:spacing w:after="0" w:line="60" w:lineRule="exact"/>
        <w:rPr>
          <w:rFonts w:ascii="Times New Roman" w:cs="Times New Roman" w:eastAsia="Times New Roman" w:hAnsi="Times New Roman"/>
          <w:sz w:val="18"/>
          <w:szCs w:val="18"/>
          <w:color w:val="auto"/>
        </w:rPr>
      </w:pPr>
    </w:p>
    <w:p>
      <w:pPr>
        <w:ind w:left="540" w:right="6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Korean subsidiaries have been designated as a regulated business under Korean environmental law, and such designation could have an adverse effect on our financial position and results of operations.</w:t>
      </w:r>
    </w:p>
    <w:p>
      <w:pPr>
        <w:spacing w:after="0" w:line="60" w:lineRule="exact"/>
        <w:rPr>
          <w:rFonts w:ascii="Times New Roman" w:cs="Times New Roman" w:eastAsia="Times New Roman" w:hAnsi="Times New Roman"/>
          <w:sz w:val="18"/>
          <w:szCs w:val="18"/>
          <w:color w:val="auto"/>
        </w:rPr>
      </w:pPr>
    </w:p>
    <w:p>
      <w:pPr>
        <w:ind w:left="540" w:right="12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compliance with the Serious Accidents Punishment Act (the “SAPA”) could require significant expenditures and management time and expose us to liability for violations.</w:t>
      </w:r>
    </w:p>
    <w:p>
      <w:pPr>
        <w:spacing w:after="0" w:line="60" w:lineRule="exact"/>
        <w:rPr>
          <w:rFonts w:ascii="Times New Roman" w:cs="Times New Roman" w:eastAsia="Times New Roman" w:hAnsi="Times New Roman"/>
          <w:sz w:val="18"/>
          <w:szCs w:val="18"/>
          <w:color w:val="auto"/>
        </w:rPr>
      </w:pPr>
    </w:p>
    <w:p>
      <w:pPr>
        <w:ind w:left="540" w:right="12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60" w:lineRule="exact"/>
        <w:rPr>
          <w:rFonts w:ascii="Times New Roman" w:cs="Times New Roman" w:eastAsia="Times New Roman" w:hAnsi="Times New Roman"/>
          <w:sz w:val="18"/>
          <w:szCs w:val="18"/>
          <w:color w:val="auto"/>
        </w:rPr>
      </w:pPr>
    </w:p>
    <w:p>
      <w:pPr>
        <w:ind w:left="540" w:right="280" w:hanging="424"/>
        <w:spacing w:after="0" w:line="28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successfully consummated, or that it will enhance shareholder value, and share repurchases could affect the price of our common stock.</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82"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40" w:right="40" w:hanging="424"/>
        <w:spacing w:after="0" w:line="28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60" w:lineRule="exact"/>
        <w:rPr>
          <w:rFonts w:ascii="Times New Roman" w:cs="Times New Roman" w:eastAsia="Times New Roman" w:hAnsi="Times New Roman"/>
          <w:sz w:val="18"/>
          <w:szCs w:val="18"/>
          <w:color w:val="auto"/>
        </w:rPr>
      </w:pPr>
    </w:p>
    <w:p>
      <w:pPr>
        <w:ind w:left="540" w:right="40" w:hanging="424"/>
        <w:spacing w:after="0" w:line="286"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60" w:lineRule="exact"/>
        <w:rPr>
          <w:rFonts w:ascii="Times New Roman" w:cs="Times New Roman" w:eastAsia="Times New Roman" w:hAnsi="Times New Roman"/>
          <w:sz w:val="18"/>
          <w:szCs w:val="18"/>
          <w:color w:val="auto"/>
        </w:rPr>
      </w:pPr>
    </w:p>
    <w:p>
      <w:pPr>
        <w:ind w:left="540" w:right="140" w:hanging="424"/>
        <w:spacing w:after="0" w:line="268"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debt instruments when they come due.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the highly cyclical semiconductor industry, which is subject to significant downturns that may negatively impact our results of operations.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 Current global macroeconomic conditions, including higher inflation and interest rates and uncertainty caused by the Russian-Ukraine war, Israel-Hamas war, sustained military action and conflict in the Red Sea, and trade tensions between the U.S., China and other countries have led to weaker end-market demand and unstable supply chain. We continue to monitor these trends and uncertainties, and any decline in end-market demand and increase in inventory levels could negatively impact our financial condition and results of operations.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restructuring activities and dispositions of assets and businesses could result in lost business and other costs that could have a material adverse effect on our results of operations.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 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 associated with transitioning or eliminating certain employee positions and modifying or terminating vendor relationships in connection with those exit activities.</w:t>
      </w:r>
    </w:p>
    <w:p>
      <w:pPr>
        <w:spacing w:after="0" w:line="293"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all of the anticipated benefits of our operational initiatives, including the strategic options for exiting our Display business, or those benefits may take longer to realize or be more expensive than expected.</w:t>
      </w:r>
    </w:p>
    <w:p>
      <w:pPr>
        <w:spacing w:after="0" w:line="5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March 12, 2025, we announced that we are executing a strategy to transform Magnachip into a pure-play Power company. There can be no assurance that the exploration of strategic options for its Display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which is to be classified as discontinued operations when the Company reports first fiscal quarter 2025 results of operations, will result in a transaction on terms acceptable to us or other outcome that achieves our objectives. Even if a transaction or series of transactions or corporate actions were completed to exit the Display business, there can be no assurance as to the timing of completing these activities. Moreover, we may not realize any or all of the anticipated benefits from our pursuit of strategic options for our Display business, or the anticipated benefits from transitioning to a pure-play Power company, and such actions could in fact adversely affect our business. Our ability to realize the anticipated benefits of our strategy will depend, to a large extent, on our ability to continue to focus on Power discrete and Power IC products and to achieve expected growth in the absence of the Display businesses. Some of the anticipated benefits may not occur for a significant period of time. In addition, we may retain certain liabilities or obligations related to our Display business or incur certain costs in connection with executing on these strategic options, some of which may be material. The focus on becoming a pure-play Power company and the related strategic options for our Display business may not enhance long-term stockholder value as anticipated. Further, our strategic actions could result in near term restructuring charges and a material impairment of our goodwill and/or intangible assets, among other things.</w:t>
      </w:r>
    </w:p>
    <w:p>
      <w:pPr>
        <w:spacing w:after="0" w:line="192"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Many of these factors will be outside of our control and any one of them could result in increased costs, including restructuring charges, decreases in the amount of expected revenues and diversion of management’s time and energy, which could adversely affect our business, financial condition and results of operations. In addition, the process of such strategic actions, including divesting or otherwise disposing of assets and businesses, carries an inherent risk of market fluctuations and economic uncertainties that could undermine the value we expect to realize from these strategies.</w:t>
      </w:r>
    </w:p>
    <w:p>
      <w:pPr>
        <w:spacing w:after="0" w:line="26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new products and technologies or enhance our existing products in order to react to rapid technological change and market demands, our business will suffer.</w:t>
      </w:r>
    </w:p>
    <w:p>
      <w:pPr>
        <w:spacing w:after="0" w:line="51"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must develop new products and enhance our existing products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Customer and market requirements can change during the development of a product. There is a risk that these developments and enhancements will be late, fail to meet customer or market specifications or not be competitive with products from our competitors that offer comparable or superior performance and functionality. Any new products, such as our expanding line of power management solutions, or product enhancements, may not be accepted in new or existing markets. Our business will suffer if we fail to develop and introduce new products or product enhancements on a timely and cost-effective basis.</w:t>
      </w:r>
    </w:p>
    <w:p>
      <w:pPr>
        <w:spacing w:after="0" w:line="287"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reduce quantities or delay production, which would adversely affect our margins and results of operations.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fab manufacturing depends on high utilization of our manufacturing capacity, a reduction of which could have a material adverse effect on our business, financial condition and the results of our operations.</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An important factor in our success is the extent to which we are able to utilize the available capacity in our fabrication facility.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the inability to source sufficient materials necessary for manufacturing, low levels of customer orders, operating inefficiencies, strategic evaluations and decisions by our Board related our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comes from a relatively limited number of customers, the loss of which could adversely affect our financial results.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Historically, we have relied on a limited number of customers for a substantial portion of our total revenue. If we were to lose key customers or if customers cease to place orders for our high-volume products, particularly our display products, our financial results could be adversely affected. In addition, our arrangements with and reliance on key customers may make it less practicable to pursue certain opportunities with other potential new and existing customers. For the years ended December 31, 2024 and 2023, our ten largest customers accounted for 74.1% and 69.2% of net sales from our standard products business, respectively. For the year ended December 31, 2024, sales to SAMT represented 21.4% of net sales from our standard products business, and Samsung Display represented 14.7% of net sales from our standard products business. For the year ended December 31, 2023, sales to SAMT represented 16.7% of net sales from our standard products business, and Samsung Display represented 13.4% of net sales from our standard products business. Significant reductions in sales to any of these customers, especially our few largest customers, the loss of other major customers or a general curtailment in orders for our high-volume products within a short period of time could adversely affect our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 and our ability to compete could be negatively impacted by a variety of factors.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semiconductor industry is highly competitive and includes hundreds of companies, a number of which have achieved substantial market share within both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87"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67"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cost-effective and high quality products and services on a timely basis using our technologies;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identify and respond to emerging technological trends and demand for product features and performance characteristics;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rapidly introduce new products that are accepted by the market;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adopt or adapt to emerging industry standards;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nature of our competitors and competitiveness of their products and services in a given market;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of new competitors into our markets;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the highly competitive power management market;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supply power products to our customers reliably through our own fabrication facility.</w:t>
      </w:r>
    </w:p>
    <w:p>
      <w:pPr>
        <w:spacing w:after="0" w:line="225"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demand for consumer electronics in our end markets can impact our results of operations.</w:t>
      </w:r>
    </w:p>
    <w:p>
      <w:pPr>
        <w:spacing w:after="0" w:line="121"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achieve design-wins for our semiconductor products, we may lose the opportunity for sales to customers for a significant period of time and be unable to recoup our investments in our products.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expend considerable resources on winning competitive selection processes, known as design-wins,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292"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investments may not yield profitable and commercially viable products, and thus will not necessarily result in increases in revenues for us.</w:t>
      </w:r>
    </w:p>
    <w:p>
      <w:pPr>
        <w:spacing w:after="0" w:line="5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We invest significant resources in our research and development. Our research and development efforts, however, may not yield profitable or commercially viable products. During each stage of research and development, there is a substantial risk that we will have to abandon a potential product that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growth strategy is to leverage our advanced analog and mixed-signal technology platform, continue to innovate and deliver new products, increase business with existing customers, broaden our customer base, aggressively grow our power business, and drive execution excellence. If we are unable to execute our growth strategy effectively, we may not be able to take advantage of market opportunities, execute our business plan or respond to competitive pressures. Moreover, if our allocation of resources does not correspond with future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demand for particular products, we could miss market opportunities and our business and financial results could be materially and adversely affected.</w:t>
      </w:r>
    </w:p>
    <w:p>
      <w:pPr>
        <w:spacing w:after="0" w:line="329"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 favorable impact on our reported profit margins and operating income from operations for the fiscal year ended December 31, 2024 and 2023 due to a relatively weaker Korean won during the periods. Moreover, our foreign currency gain or loss would be affected by changes in the exchange rate between the Korean won and the U.S. dollar as a substantial portion of non-cash translation gain or loss is associated with the intercompany long-term loans to one of our Korean subsidiaries, Magnachip Semiconductor, Ltd., or MSK, which is denominated in U.S. dollars. As of December 31, 2024, the outstanding intercompany loan balance including accrued interests between MSK and our Dutch subsidiary was $257.7 million. Our Dutch subsidiary uses the U.S. dollar as their functional currency.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19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These foreign currency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zero cost collar contracts must be cash collateralized if our exposure exceeds certain specified thresholds. These zero cost collar contracts may be terminated by the counterparty in a number of circumstances, including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w:t>
      </w:r>
    </w:p>
    <w:p>
      <w:pPr>
        <w:spacing w:after="0" w:line="298" w:lineRule="exact"/>
        <w:rPr>
          <w:sz w:val="20"/>
          <w:szCs w:val="20"/>
          <w:color w:val="auto"/>
        </w:rPr>
      </w:pPr>
    </w:p>
    <w:p>
      <w:pPr>
        <w:ind w:left="120"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condition and results of operations. This could hinder our research and product development programs or otherwise have a material adverse effect on our business.</w:t>
      </w:r>
    </w:p>
    <w:p>
      <w:pPr>
        <w:spacing w:after="0" w:line="26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future labor problems, we may fail to deliver our products and services in a timely manner, which would adversely affect our revenues and profitability.</w:t>
      </w:r>
    </w:p>
    <w:p>
      <w:pPr>
        <w:spacing w:after="0" w:line="5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453 employees, or approximately 54% of our employees, were represented by the Magnachip Semiconductor Labor Unions.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costs to engage in future business combinations or strategic investments, and we may not realize the anticipated benefits of those transactions.</w:t>
      </w:r>
    </w:p>
    <w:p>
      <w:pPr>
        <w:spacing w:after="0" w:line="5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achieve acceptable manufacturing yields could adversely affect our business.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manufacturing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29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number of independent subcontractors and the failure of any of these independent subcontractors to perform as required could adversely affect our operating results.</w:t>
      </w:r>
    </w:p>
    <w:p>
      <w:pPr>
        <w:spacing w:after="0" w:line="51"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A substantial portion of our net sales are derived from semiconductor devices assembled in packages or on film. The packaging and testing of semiconductors require technical skills and specialized equipment. For the portion of packaging and testing that we outsource, we use subcontractors located in Korea and China. We rely on these subcontractors to package and test our devices with acceptable quality and yield levels, and, while we specify quality standards, we are not able to directly oversee their day-to-day operations and the packaging and testing of our devices. Onboarding of a new subcontractor, including as a result of switching from one subcontractor to another, takes approximately three to six months to verify the subcontractor’s capabilities and an additional six to twelve months to receive approval from our customers to use such subcontractor. We could be adversely affected by political disorders, labor disruptions, public health issues (including viral outbreaks such as COVID-19) and natural disasters where our subcontractors are located due to the time it would take to onboard a new subcontractor. If our semiconductor packagers and test service subcontractors experience problems in packaging and testing our semiconductor devices, experience prolonged quality or yield problems, experience shutdowns or delays associated with public health issues (such as those associated with COVID-19), or decrease the capacity of their operations available to us, our operating results could be adversely affected.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cooperate with independent foundries to produce certain Mixed-Signal Solutions products, and the failure of such independent foundries to satisfy our demand could materially disrupt our business.</w:t>
      </w:r>
    </w:p>
    <w:p>
      <w:pPr>
        <w:spacing w:after="0" w:line="5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use independent foundry services for certain of our Mixed-Signal Solutions products. Silicon wafer production at these facilities is allocated solely by our vendors and beyond our direct control. Therefore, any disruption in wafer supply from these vendors could have a material impact on our revenue and results of operations.</w:t>
      </w:r>
    </w:p>
    <w:p>
      <w:pPr>
        <w:spacing w:after="0" w:line="28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shortages in manufacturing capacities could interrupt or negatively affect our operations, increase cost to manufacture and negatively impact our results of operations.</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Increases in demand for semiconductor products have in the past and may again in the future result in a global shortage of manufacturing capacity. As a result, we may experience increases in the costs to manufacture our products and may not be able to manufacture and deliver all of the orders placed by our customers. If we are unable to secure manufacturing capacities from our current subcontractors, our ability to deliver our products to our customers may be negatively impacted. Also, our subcontractors may increase their fees, which would result in an increase in our manufacturing costs, which we may not be fully able to pass to our customers. These factors could cause a negative impact on our results of operations.</w:t>
      </w:r>
    </w:p>
    <w:p>
      <w:pPr>
        <w:spacing w:after="0" w:line="28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 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have been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regulations regarding the use of “conflict minerals” could limit the supply and increase the cost of certain raw materials used in manufacturing our products.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warranty claims, product return, litigation and liability risks and the risk of negative publicity if our products fail.</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 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as a result of changes in, or differences in the interpretation of, applicable tax laws, or the adoption of new U.S. or international tax legislation.</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 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provision for income taxes is subject to volatility and could be negatively affected by earnings being (i) lower than anticipated in jurisdictions that have lower statutory tax rates or (ii) higher than anticipated in jurisdictions that have higher statutory tax rates. In addition, our provision for income taxes could be negatively affected by changes in the valuation of our deferred tax assets and liabilities, changes to global intangible low-tax income tax laws, transfer pricing adjustments, or changes in tax laws, regulations, or accounting principles.</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 changes in the U.S. tax regime or in how U.S. multinational corporations are taxed on foreign income, including changes in how existing tax laws are interpreted or enforced, could adversely affect our business,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(the “IRA”), which, among other things, implements a 15% alternative minimum tax on the adjusted financial statement income of large corporations with average annual financial income exceeding $1 billion, a 1% excise tax on net stock repurchases and several tax incentives to promote clean energy. The IRA provisions are effective for tax years beginning after December 31, 2022. On December 12, 2022, the European Union member states agreed to implement the OECD’s Pillar 2 global minimum effective tax rate of 15% on multinational enterprise (“MNE”) groups with consolidated revenues of at least EUR 750 million during two of the four preceding fiscal years, which will be effective for fiscal years beginning on January 1, 2024. Additionally, South Korea became one of the first countries to enact global minimum tax rules. At this time, we do not anticipate that changes in the tax laws will have a material impact to our consolidated tax provision for the year ending December 31, 2024 or December 31, 2025. We will continue to monitor as new information and guidance becomes available.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also subject to regular reviews, examinations and audits by the IRS and other taxing authorities, including the Korean National Tax Service, with respect to income and non-income based taxes both within and outside the U.S. In connection with the OECD’s BEPS project, companies are required to disclose more information to tax authorities on operations around the world, which may lead to greater audit scrutiny of income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business, financial condition or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Expanded trade restrictions imposed by the United States may limit our ability to sell to certain customers.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August 17, 2020, the U.S. Department of Commerce expanded the scope of export restrictions as applied to products directed to Huawei and its affiliates listed on the Bureau of Industry and Security’s Entity List (collectively, “Huawei”). While prior restrictions had minimal effect on our ability to supply to customers, the expanded restrictions would limit our ability to supply to a variety of customers who we believe incorporate our products to those customers’ products directly or indirectly sold to Huawei. The U.S. government has also steadily expanded export restrictions to target companies in addition to Huawei, which may have an additional impact on our ability to sell to our customers. While we were able to export some of our products after successfully obtained the necessary export licenses, we are unsure whether our other applications will be successful. Export restrictions may also affect our contractors, suppliers or customers, and we cannot assure that they will not violate the restrictions, and any such violations may result in fines or criminal sanctions against us and damage our reputation.</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the U.S. has published significant changes to U.S. export control regulations with respect to Russia and China, and we anticipate additional changes to export control regulations in the future. For example, the U.S. government has implemented controls on advanced computing ICs, computer commodities that contain such ICs, and certain semiconductor manufacturing items, as well as controls on transactions involving items for supercomputer and semiconductor manufacturing end-users. The new controls expand the scope of foreign-produced items subject to license requirements for certain entities on the U.S. government’s Entity List. Further changes in the U.S. export control regulations, including changes in the enforcement and scope of such regulations, may create delays in the introduction of our products or services in international markets or could prevent our customers with international operations from deploying our products or services globally. In some cases, such changes could prevent the export or import of our products, which could have a material impact on our future results of operations and financial condition.</w:t>
      </w:r>
    </w:p>
    <w:p>
      <w:pPr>
        <w:spacing w:after="0" w:line="296" w:lineRule="exact"/>
        <w:rPr>
          <w:sz w:val="20"/>
          <w:szCs w:val="20"/>
          <w:color w:val="auto"/>
        </w:rPr>
      </w:pPr>
    </w:p>
    <w:p>
      <w:pPr>
        <w:ind w:left="120"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Expanded trade restrictions imposed by South Korea may limit our ability to sell to certain customers or engage in any potential strategic opportunities.</w:t>
      </w:r>
    </w:p>
    <w:p>
      <w:pPr>
        <w:spacing w:after="0" w:line="5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Under the ITA, any export (including various means of outflow, such as sale or transfer outside Korea) of National Core Technology by the MOTIE requires the filing of a prior-report with, and the acceptance of the same by, the MOTIE. Under the Special Act, any export of NHST requires prior approval from the MOTIE. Any such export of NCT without the acceptance of the prior-report with the MOTIE may be subject to corrective orders by the relevant authorities, and failure to comply with such corrective orders may potentially result in criminal liabilities. Any such export of NHST without the prior approval from the MOTIE may be subject to corrective orders by the relevant authorities and may also be subject to criminal sanctions.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Notification Regarding Designation of National Core Technologies issued by the MOTIE was amended on July 14, 2021 to add certain technologies to the list of National Core Technology designated by the MOTIE, and the amended list includes the OLED DDI design technology for driving display panels. On June 2, 2023, the MOTIE designated 17 technologies, including the OLED DDI design technology for driving display panels, as NHST under the Special Act. In the ordinary course of business, our Korean subsidiary, Magnachip Mixed-Signal, Ltd. (“MMS”), may provide certain information relating to its products, including OLED DDI, to customers, suppliers or vendors, and such disclosure of information may be subject to both NCT and NHST restrictions, and therefore the MOTIE’s acceptance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of prior reports and prior approval. Since the amendment of the foregoing NCT list in July 2021, we have filed prior-reports and applications for prior approval with the MOTIE for the export of our OLED DDI product-related information to certain overseas vendors that manufacture our products, and all such reports and applications have thus far been accepted and approved by the MOTIE.</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There is no assurance, however, that any future prior-reports for the export of our product-related information will be accepted by the MOTIE or we will obtain any future prior approval for the export from the MOTIE. In the event that any future prior-report or application is not accepted or not approved, we may be unable to continue our business with the overseas customers, suppliers or vendors, including the manufacturing and delivery of our OLED DDI products.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there is any M&amp;A transaction with respect to MMS that results in non-Korean ownership of 50% or more, or exertion of control over the appointment of officers/management by a non-Korean person or entity as the largest shareholder, a prior-report with and the acceptance by the MOTIE is required under the ITA and a prior approval from the MOTIE is required under the Special Act. There is no assurance that any report for an M&amp;A transaction involving non-Korean acquirers or investors will be accepted by the MOTIE, nor we can assure approval for the M&amp;A transaction from the MOTIE when such transaction is pursued in the future.</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changes in international trade policy and the imposition and threats of international tariffs, including tariffs applied to goods traded between the United States and other countries/regions, could materially and adversely affect our business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 the affected countries’ economic conditions, which could negatively affect demand for our products in those countries and materially and adversely affect our business and results of operations of our customers serving the affected markets. The return of the Trump Administration and its recent imposition of additional tariffs on a number of countries in 2025 and threat of trade wars against foreign countries/regions have created even more uncertainties in international trade which may affect our business. For example, the imposition of tariffs could increase costs of the end-user products we supply that we may not be able to pass on to our customers, which could in turn cause a decrease in the sales of our products and materially and adversely affect our business and results of operations.</w:t>
      </w:r>
    </w:p>
    <w:p>
      <w:pPr>
        <w:spacing w:after="0" w:line="292"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that, if patents issue, they will not be challenged, invalidated or circumvented, or that the rights granted under the patents will provide us with meaningful protection or any commercial advantage. Many of our patents are subject 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operate without infringing the proprietary rights of others. We have no means of knowing what patent applications have been filed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w:t>
      </w:r>
    </w:p>
    <w:p>
      <w:pPr>
        <w:spacing w:after="0" w:line="93" w:lineRule="exact"/>
        <w:rPr>
          <w:sz w:val="20"/>
          <w:szCs w:val="20"/>
          <w:color w:val="auto"/>
        </w:rPr>
      </w:pPr>
    </w:p>
    <w:p>
      <w:pPr>
        <w:ind w:left="540" w:right="4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indemnify customers or licensees for damages they may suffer if the products they purchase from us or the technology they license from us violate the intellectual property rights of others;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our manufacture, use, sale or importation of the accused products;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reengineer or rebrand our products, if feasible;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or acquire non-infringing technologies;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processes;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to a third party’s intellectual property.</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would be successful in such development or acquisition or that such licenses would be available under reasonable terms, or at all.</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license certain intellectual property from third parties. The termination of key third-party licenses relating to the use of intellectual property in our products and our design processes would adversely affect certain areas of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many environmental laws and regulations that could affect our operations or result in significant expenses.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Further, under the amendment to the Act on the Control and Aggravated Punishment of Environmental Offenses that becomes effective on November 27, 2020, certain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environmental offenses such as illegally emitting specified hazardous air pollutants or emitting air pollutants without necessary permits will be subject to penalties of up to 5% of the sales amount generated from the relevant business. Moreover, to effectively respond to environmental crimes, on November 14, 2022, a joint investigation team was established, consisting of experts from both national and local governments, including the prosecutor’s office, the Ministry of Environment.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92"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Korean subsidiaries have been designated as a regulated business under Korean environmental law, and such designation could have an adverse effect on our financial position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2015, our Korean subsidiaries have been subject to K-ETS, a new set of greenhouse gas emissions regulations, under the Act on Allocation and Trading of Greenhouse Gas Emission Allowances. Under K-ETS, our Korean subsidiaries were allocated a certain amount of emissions allowance in accordance with the National Allocation Plan prepared by the Korean government, and are required to meet their allocated target by either reducing emissions or purchasing allowances from other participants or the government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and second implementation period from 2018 to 2020, we did not exceed the allocated emission amount. Our Korean subsidiaries have been allocated emissions allowance in the third implementation period from 2021 to 2025, and we do not expect to exceed the allocated emission amount during the third implementation period. If, however, our Korean subsidiaries exceed the allocated emission amount the third implementation period, we will be required to pay for the excess emissions and may be subject to other regulatory action. We will continue to monitor our compliance with the emissions allowance on a yearly basis. In addition, from time to time, if we assess that we have excess allowances, we may sell such excess allowances to manufacturers in the emission market in Korea.</w:t>
      </w:r>
    </w:p>
    <w:p>
      <w:pPr>
        <w:spacing w:after="0" w:line="18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Furthermore, the Korean legislature enacted the Framework Act on Carbon Neutrality and Green Growth for Responding to Climate Change (the “Carbon Neutrality Framework Act”) on September 24, 2021. The Carbon Neutrality Framework Act aims to reduce greenhouse gas emissions by more than 35% by 2030 (compared to 2018) and proclaims the achievement of carbon neutrality by 2050 as a national vision. The Carbon Neutrality Framework Act is significant in that it legislates carbon neutrality and greenhouse gas reduction objectives, and enables the central administrative agencies, local governments and public institutions to implement various measures towards such objectives. On March 25, 2022, the Enforcement Decree of the Carbon Neutrality Framework Act (the “Enforcement Decree”) was enacted. The Enforcement Decree aims to provide details required for the execution of items prescribed under the Carbon Neutrality Framework Act. The key provisions of the Enforcement Decree include those setting the mid-to long-term greenhouse gas reduction goal at 40% and implementing the climate change impact assessment scheme. Based on that, on April 11, 2023, the Korean government published the 1st National Basic Plan for Carbon Neutrality and Green Growth (the “Basic Plan”). The Basic Plan is a national plan for responding to the climate crisis and sustainable development. Including annual reduction goals and implementation measures for each sector (e.g., industry and transportation), the Basic Plan will be updated every five years over the next 20 years between 2023 and 2042. It is anticipated that the Carbon Neutrality Framework Act and the Basic Plan, which aims to promote the harmonious development of the economy and the environment in conjunction with active greenhouse gas reduction measures, will serve as the foundation for the government’s climate change response policy going forward. Meanwhile, on August 29, 2024, the Constitutional Court of Korea (the “Constitutional Court”) held that Article 8, Paragraph 1 of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Carbon Neutrality Framework Act is unconstitutional. This provision mandates the government to establish a national mid- to long-term target for reducing greenhouse gas emissions by at least 35% from 2018 levels by 2030 which is prescribed by presidential decree. The Constitutional Court ruled that this provision is indeed in violation of the Constitution because it fails to specify any emissions reduction targets beyond 2031, thereby infringing upon the petitioners’ right to clean environment. Considering that the extensive legislative authority to determine reduction targets during the period from 2031 to 2049, the Constitutional Court held that the provision would remain in effect until a legislative amendment is enacted, with a deadline set for February 28, 2026.</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compliance with the Serious Accidents Punishment Act (the “SAPA”) could require significant expenditures and management time and expose us to liability for violations.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Enacted on January 26, 2021 and effective as of January 27, 2022 in Korea, the SAPA will impose enhanced liability exposure for workplace accidents. The legislative goal of the SAPA is to prevent serious accidents by prescribing punishments and punitive damages liability for business owners or responsible management personnel who have violated safety and health measures in the event of such serious accidents (serious industrial accidents and serious civil accidents). Since the law applies to businesses in Korea with 50 or more full-time employees starting from January 27, 2022, our Korean subsidiaries become subject to the law after the effective date. According to the SAPA, if a serious occupational accident occurs that results in at least one deceased person, at least two persons wounded for six months or more, or at least three persons suffering from occupational diseases within a one year period, if the “business owners or responsible management personnel” of the relevant business place is found to have failed to perform its “obligation to secure safety and health,” that person may be subject to imprisonment for up to 7 year or a fine of up to KRW 100 million (in case of death, imprisonment for not less than 1 year or a fine of not less than KRW 1 billion). Additionally, if there was negligence of the company in giving due attention and supervision to prevent such accident, the company will be subject to a fine up to KRW 1 billion (in case of death, a fine up to KRW 5 billion) under joint penalty provisions. Relevant responsible management personnel will also be required to spend more time, effort and cost to comply with the SAPA and perform the necessary additional duties imposed by the law to ensure compliance.</w:t>
      </w:r>
    </w:p>
    <w:p>
      <w:pPr>
        <w:spacing w:after="0" w:line="294"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and such capital may not be available on acceptable terms or at all, which would have a material adverse effect on our business, financial condition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 other restructuring actions. There can be no assurance that we would be successful in taking such actions and, in any event, such actions may result in a material adverse effect on our business and results of operations. In addition, our indebtedness limits our ability to incur additional indebtedness under certain circumstances.</w:t>
      </w:r>
    </w:p>
    <w:p>
      <w:pPr>
        <w:spacing w:after="0" w:line="296"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rely on, and expect to continue to rely on, suppliers, subcontractors and operations located primarily in Asia. As a result, we face risks inherent in international operations, such as unexpected changes in regulatory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requirements, tariffs and other market barriers, political, social and economic instability, adverse tax consequences, war, civil disturbances and acts of terrorism, public health issues (including viral outbreaks such as COVID-19), difficulties in accounts receivable collection, extended payment terms and differing labor standards, enforcement of contractual obligations and protection of intellectual property. These risks may lead to increased costs or decreased revenue growth, or both.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Tensions with North Korea could have an adverse effect on us and the market value of our shares.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Relations between South Korea and North Korea have been tense throughout Korea’s modern history. The level of tension between the two Koreas has fluctuated and may increase abruptly as a result of current and future events. In particular, in recent years, there have been heightened security concerns stemming from North Korea’s nuclear weapon and long-range missile programs and increased uncertainty regarding North Korea’s actions and possible responses from the international community.</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North Korea’s economy also faces severe challenges, and any adverse economic developments may further aggravate social and political tensions within North Korea.</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w:t>
      </w:r>
    </w:p>
    <w:p>
      <w:pPr>
        <w:spacing w:after="0" w:line="28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breaches or cyber-attacks of our secured networks and information technology systems that could damage our reputation, harm our business, expose us to liability and materially adversely affect our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w:t>
      </w:r>
    </w:p>
    <w:p>
      <w:pPr>
        <w:spacing w:after="0" w:line="29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spacing w:after="0" w:line="6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the business of our subsidiaries to make payments to us.</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are a holding company with no independent operations of our own. Our subsidiaries conduct substantially all of the operations necessary to fund our obligations. Our ability to pay dividends or to make payments on any future obligations will depend on our subsidiaries’ cash flow and their payment of funds to us. Our subsidiaries’ ability to make payments to us will depend on:</w:t>
      </w:r>
    </w:p>
    <w:p>
      <w:pPr>
        <w:spacing w:after="0" w:line="81"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earnings;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agreements to which we or our subsidiaries are or may become subject;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tax considerations; and</w:t>
      </w:r>
    </w:p>
    <w:p>
      <w:pPr>
        <w:spacing w:after="0" w:line="130"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including any restrictions under Korean law that may be imposed on our Korean subsidiary, Magnachip Semiconductor, Ltd., that would restrict its ability to make payments on intercompany loans from our Dutch subsidiary.</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that the operating results of our subsidiaries at any given time will be sufficient to make distributions or other payments to us.</w:t>
      </w:r>
    </w:p>
    <w:p>
      <w:pPr>
        <w:spacing w:after="0" w:line="329"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at times need to incur impairment, restructuring and other restructuring related charges, which could materially affect our results of operations and financial condition.</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industry downturns and for other reasons, we may need to record impairment, restructuring or other restructuring related charges.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risks, which may be costly to defend and the outcome of which is uncertain.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you may lose all or a part of your investment.</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might be subject to wide fluctuations. Factors, some of which are beyond our control, that could affect the trading price of our common stock may include:</w:t>
      </w:r>
    </w:p>
    <w:p>
      <w:pPr>
        <w:spacing w:after="0" w:line="67"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results of operations from quarter to quarter or year to year;</w:t>
      </w:r>
    </w:p>
    <w:p>
      <w:pPr>
        <w:spacing w:after="0" w:line="130" w:lineRule="exact"/>
        <w:rPr>
          <w:rFonts w:ascii="Times New Roman" w:cs="Times New Roman" w:eastAsia="Times New Roman" w:hAnsi="Times New Roman"/>
          <w:sz w:val="18"/>
          <w:szCs w:val="18"/>
          <w:color w:val="auto"/>
        </w:rPr>
      </w:pPr>
    </w:p>
    <w:p>
      <w:pPr>
        <w:ind w:left="5540" w:right="2280" w:hanging="5424"/>
        <w:spacing w:after="0" w:line="454" w:lineRule="auto"/>
        <w:tabs>
          <w:tab w:leader="none" w:pos="5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agreements, technological innovations or strategic alliances; 35</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or estimates by any securities analysts who follow our securities;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customers;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performance or market valuations of competing companies in our industry;</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end markets and the economy as a whole;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sales of stock and other financings;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legislation, regulation or technological developments that adversely affect our business.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84"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successfully consummated, or that it will enhance shareholder value, and share repurchases could affect the price of our common stock.</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July 19, 2023, the Board of Directors authorized us to repurchase up to $50 million of our outstanding common stock. Purchases have been and will be made in the open market or through privately negotiated transactions, depending upon market conditions and other factors. In connection with the repurchase program, we established a stock trading plan with Needham &amp; Company, LLC in accordance with Rule 10b5-1 under the Securities Exchange Act. This share repurchase program could affect the price of our common stock, increase volatility and diminish our cash reserves. The IRA enacted in August 2022 imposes a 1% excise tax on the fair market value of stock repurchases made by covered corporations after December 31, 2022. The total taxable value of shares repurchased is reduced by the fair market value of any newly issued shares during the taxable year.</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Data—Notes to Consolidated Financial Statements—Note 12. Stock Repurchases” for more information.</w:t>
      </w:r>
    </w:p>
    <w:p>
      <w:pPr>
        <w:spacing w:after="0" w:line="26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5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67"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stockholder approval, preferred stock with such terms as the Board of Directors may determine;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 by written consent of our stockholders;</w:t>
      </w:r>
    </w:p>
    <w:p>
      <w:pPr>
        <w:spacing w:after="0" w:line="130" w:lineRule="exact"/>
        <w:rPr>
          <w:rFonts w:ascii="Times New Roman" w:cs="Times New Roman" w:eastAsia="Times New Roman" w:hAnsi="Times New Roman"/>
          <w:sz w:val="18"/>
          <w:szCs w:val="18"/>
          <w:color w:val="auto"/>
        </w:rPr>
      </w:pPr>
    </w:p>
    <w:p>
      <w:pPr>
        <w:jc w:val="both"/>
        <w:ind w:left="540" w:right="180" w:hanging="424"/>
        <w:spacing w:after="0" w:line="266"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advance notice requirements for stockholder proposals and director nominations.</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(the “DGCL”), regulating corporate takeovers and which has an anti-takeover effect with respect to transactions not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82"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203"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w:t>
      </w:r>
    </w:p>
    <w:p>
      <w:pPr>
        <w:spacing w:after="0" w:line="130" w:lineRule="exact"/>
        <w:rPr>
          <w:rFonts w:ascii="Times New Roman" w:cs="Times New Roman" w:eastAsia="Times New Roman" w:hAnsi="Times New Roman"/>
          <w:sz w:val="18"/>
          <w:szCs w:val="18"/>
          <w:color w:val="auto"/>
        </w:rPr>
      </w:pPr>
    </w:p>
    <w:p>
      <w:pPr>
        <w:ind w:left="540" w:right="1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DGCL Section 203 defines a business combination to include the following:</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540" w:right="54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540" w:right="72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historically paid dividends and do not currently have any dividend or distribution policy, and therefore, investors may need to rely on sales of their common stock as the only way to realize any future gains on their investments.</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not historically paid cash dividends and do not currently have any dividend or distribution policy. Any determination to pay dividends in the future will be at the discretion of our Board of Directors. Accordingly, unless the Board implements a future dividend or distribution policy, investors must rely on sales of their common stock after price appreciation, which may never occur, as the only way to realize any future gains on their investments.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debt instruments when they come due.</w:t>
      </w:r>
    </w:p>
    <w:p>
      <w:pPr>
        <w:spacing w:after="0" w:line="28"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$27.2 million aggregate principal amount of indebtedness under the working capital Term Loan borrowed under the Loan Agreement, which is secured by a pledge of our Fab 3 properties.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85" w:lineRule="exact"/>
        <w:rPr>
          <w:sz w:val="20"/>
          <w:szCs w:val="20"/>
          <w:color w:val="auto"/>
        </w:rPr>
      </w:pPr>
    </w:p>
    <w:p>
      <w:pPr>
        <w:ind w:left="1540" w:hanging="331"/>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on acceptable terms or at all;</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our Term Loan borrowing is at a variable rate of interest;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and our cash needs may increase in the future. If we are unable to pay our indebtedness when due, including the Term Loan, the lenders may declare default and invoke remedies that could include the foreclosure on pledged collateral to satisfy such indebtedness, which would have a material adverse effect on our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Cybersecurity risks and data protection are key components of our long-term strategy and enterprise risk management program and are integrated into our overall risk management systems and processes. We maintain processes for assessing, identifying and managing material risks from cybersecurity threats, and we routinely invest in the development and implementation of essential cybersecurity systems, infrastructures and processes to protect the security and integrity of our systems, networks, databases and proprietary information. Key areas of our cybersecurity risk management processes and strategy currently include:</w:t>
      </w:r>
    </w:p>
    <w:p>
      <w:pPr>
        <w:spacing w:after="0" w:line="87" w:lineRule="exact"/>
        <w:rPr>
          <w:sz w:val="20"/>
          <w:szCs w:val="20"/>
          <w:color w:val="auto"/>
        </w:rPr>
      </w:pPr>
    </w:p>
    <w:p>
      <w:pPr>
        <w:ind w:left="1080" w:right="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industry standards and regulatory frameworks</w:t>
      </w:r>
      <w:r>
        <w:rPr>
          <w:rFonts w:ascii="Times New Roman" w:cs="Times New Roman" w:eastAsia="Times New Roman" w:hAnsi="Times New Roman"/>
          <w:sz w:val="18"/>
          <w:szCs w:val="18"/>
          <w:color w:val="auto"/>
        </w:rPr>
        <w:t>: Our information security management system is ISO 27001 certified.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align our standards to comply with South Korea’s industrial technology protection law (Act on Prevention of Divulgence and Protection of Industrial Technology), which prevents technologies vital to South Korean national security or economic competitiveness from being divulged to or shared with foreign countries or corporations without the government’s approval.</w:t>
      </w:r>
    </w:p>
    <w:p>
      <w:pPr>
        <w:spacing w:after="0" w:line="85" w:lineRule="exact"/>
        <w:rPr>
          <w:rFonts w:ascii="Times New Roman" w:cs="Times New Roman" w:eastAsia="Times New Roman" w:hAnsi="Times New Roman"/>
          <w:sz w:val="18"/>
          <w:szCs w:val="18"/>
          <w:color w:val="auto"/>
        </w:rPr>
      </w:pPr>
    </w:p>
    <w:p>
      <w:pPr>
        <w:ind w:left="1080" w:right="440" w:hanging="424"/>
        <w:spacing w:after="0" w:line="290"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Ongoing Evaluation and Assessment of Systems and Procedure</w:t>
      </w:r>
      <w:r>
        <w:rPr>
          <w:rFonts w:ascii="Times New Roman" w:cs="Times New Roman" w:eastAsia="Times New Roman" w:hAnsi="Times New Roman"/>
          <w:sz w:val="17"/>
          <w:szCs w:val="17"/>
          <w:color w:val="auto"/>
        </w:rPr>
        <w:t>: We monitor compliance with regulatory, industry and evolving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privacy requirements and update our cybersecurity risk management program from time to time as appropriate. We also continuously monitor our information security systems and processes on an ongoing basis to identify and remediate cybersecurity threats and</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1" w:name="page42"/>
    <w:bookmarkEnd w:id="41"/>
    <w:p>
      <w:pPr>
        <w:ind w:left="9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vulnerabilities that could be exploited to adversely impact our business operations. To better preemptively identify risks and vulnerabilities in our security systems, we perform penetration testing for security controls using external third-party tools and encourage vulnerability reporting within our organization.</w:t>
      </w:r>
    </w:p>
    <w:p>
      <w:pPr>
        <w:spacing w:after="0" w:line="79" w:lineRule="exact"/>
        <w:rPr>
          <w:sz w:val="20"/>
          <w:szCs w:val="20"/>
          <w:color w:val="auto"/>
        </w:rPr>
      </w:pPr>
    </w:p>
    <w:p>
      <w:pPr>
        <w:ind w:left="960" w:right="460" w:hanging="424"/>
        <w:spacing w:after="0" w:line="267"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Cross-Collaboration and Coordination</w:t>
      </w:r>
      <w:r>
        <w:rPr>
          <w:rFonts w:ascii="Times New Roman" w:cs="Times New Roman" w:eastAsia="Times New Roman" w:hAnsi="Times New Roman"/>
          <w:sz w:val="18"/>
          <w:szCs w:val="18"/>
          <w:color w:val="auto"/>
        </w:rPr>
        <w:t>: Cybersecurity risks related to our business, privacy and compliance issues are identified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managed through a multifaceted approach, including third-party monitoring, internal and external IT security audits and reviews by relevant committees.</w:t>
      </w:r>
    </w:p>
    <w:p>
      <w:pPr>
        <w:spacing w:after="0" w:line="78" w:lineRule="exact"/>
        <w:rPr>
          <w:rFonts w:ascii="Times New Roman" w:cs="Times New Roman" w:eastAsia="Times New Roman" w:hAnsi="Times New Roman"/>
          <w:sz w:val="18"/>
          <w:szCs w:val="18"/>
          <w:color w:val="auto"/>
        </w:rPr>
      </w:pPr>
    </w:p>
    <w:p>
      <w:pPr>
        <w:ind w:left="960" w:hanging="424"/>
        <w:spacing w:after="0" w:line="257"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Third-Party Service Providers</w:t>
      </w:r>
      <w:r>
        <w:rPr>
          <w:rFonts w:ascii="Times New Roman" w:cs="Times New Roman" w:eastAsia="Times New Roman" w:hAnsi="Times New Roman"/>
          <w:sz w:val="18"/>
          <w:szCs w:val="18"/>
          <w:color w:val="auto"/>
        </w:rPr>
        <w:t>: We engage leading third-party product and service providers to assist us with our cybersecurity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We use an Information Prevention and Data Loss Prevention System on networks and endpoints, which is designed to prevent unauthorized access to or transfer of sensitive data. We also use centrally managed antivirus systems for blocking illegal software to detect and remove malware and illegal software from devices in real time. In particular, we use a Managed Security Service provider for Security Information and Event Management services for matters such as firewall management, intrusion detection and prevention, vulnerability management and incident response.</w:t>
      </w:r>
    </w:p>
    <w:p>
      <w:pPr>
        <w:spacing w:after="0" w:line="87" w:lineRule="exact"/>
        <w:rPr>
          <w:rFonts w:ascii="Times New Roman" w:cs="Times New Roman" w:eastAsia="Times New Roman" w:hAnsi="Times New Roman"/>
          <w:sz w:val="18"/>
          <w:szCs w:val="18"/>
          <w:color w:val="auto"/>
        </w:rPr>
      </w:pPr>
    </w:p>
    <w:p>
      <w:pPr>
        <w:ind w:left="960" w:right="60" w:hanging="424"/>
        <w:spacing w:after="0" w:line="258"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 Incident Response Plan</w:t>
      </w:r>
      <w:r>
        <w:rPr>
          <w:rFonts w:ascii="Times New Roman" w:cs="Times New Roman" w:eastAsia="Times New Roman" w:hAnsi="Times New Roman"/>
          <w:sz w:val="18"/>
          <w:szCs w:val="18"/>
          <w:color w:val="auto"/>
        </w:rPr>
        <w:t>: We maintain a comprehensive cyber incident response plan that sets forth the applicable processes, roles,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escalations and notifications to promptly respond to a cybersecurity incident. This plan covers steps to be taken upon the detection of a cybersecurity incident detection, review by relevant committees, identification of damages, recovery process, post-incident analysis and the introduction of improvement measures. Such incident responses are managed in a timely manner by a dedicated team and overseen by relevant organizations, including IT, finance, legal and compliance.</w:t>
      </w:r>
    </w:p>
    <w:p>
      <w:pPr>
        <w:spacing w:after="0" w:line="88" w:lineRule="exact"/>
        <w:rPr>
          <w:rFonts w:ascii="Times New Roman" w:cs="Times New Roman" w:eastAsia="Times New Roman" w:hAnsi="Times New Roman"/>
          <w:sz w:val="18"/>
          <w:szCs w:val="18"/>
          <w:color w:val="auto"/>
        </w:rPr>
      </w:pPr>
    </w:p>
    <w:p>
      <w:pPr>
        <w:ind w:left="960" w:right="540" w:hanging="424"/>
        <w:spacing w:after="0" w:line="284"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 Awareness Training for Personnel</w:t>
      </w:r>
      <w:r>
        <w:rPr>
          <w:rFonts w:ascii="Times New Roman" w:cs="Times New Roman" w:eastAsia="Times New Roman" w:hAnsi="Times New Roman"/>
          <w:sz w:val="18"/>
          <w:szCs w:val="18"/>
          <w:color w:val="auto"/>
        </w:rPr>
        <w:t>: We provide comprehensive employee training on cybersecurity awareness, confidential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protection and simulated phishing attacks.</w:t>
      </w:r>
    </w:p>
    <w:p>
      <w:pPr>
        <w:spacing w:after="0" w:line="63" w:lineRule="exact"/>
        <w:rPr>
          <w:rFonts w:ascii="Times New Roman" w:cs="Times New Roman" w:eastAsia="Times New Roman" w:hAnsi="Times New Roman"/>
          <w:sz w:val="18"/>
          <w:szCs w:val="18"/>
          <w:color w:val="auto"/>
        </w:rPr>
      </w:pPr>
    </w:p>
    <w:p>
      <w:pPr>
        <w:ind w:left="960" w:right="200" w:hanging="424"/>
        <w:spacing w:after="0" w:line="284"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Review of Third-Party Risks</w:t>
      </w:r>
      <w:r>
        <w:rPr>
          <w:rFonts w:ascii="Times New Roman" w:cs="Times New Roman" w:eastAsia="Times New Roman" w:hAnsi="Times New Roman"/>
          <w:sz w:val="18"/>
          <w:szCs w:val="18"/>
          <w:color w:val="auto"/>
        </w:rPr>
        <w:t>: We routinely conduct risk and compliance assessments of third-party service providers prior to exchanging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sensitive data or integrating with any key third-party provider.</w:t>
      </w:r>
    </w:p>
    <w:p>
      <w:pPr>
        <w:spacing w:after="0" w:line="16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2024, we have not identified any risks from cybersecurity threats, including any previous cybersecurity incidents, that have materially affected or are reasonably likely to materially affect the Company, our business strategy, our results of operations or our financial condition. For a discussion of risks from cybersecurity threats (including any previous cybersecurity incidents) that could be reasonably likely to materially affect us, please refer to our Risk Factors discussion under the heading ‘We may be subject to disruptions, breaches or cyber-attacks of our secured networks and information technology systems that could damage our reputation, harm our business, expose us to liability and materially adversely affect our results of operations’ in Item 1A of this Annual Report on Form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line with our overall risk management governance structure, management is responsible for the day-to-day management of cybersecurity risks while the Company’s Board of Directors and its Risk Committee actively and continuously provide oversight.</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Our Risk Committee oversees the Company’s management of key risks including those arising from cybersecurity threats. Our management team reports to the Risk Committee on a quarterly basis, presenting their assessment of key enterprise risks, including cybersecurity. The topics include trends in cyber threats and the initiatives designed to strengthen our security systems and enhance the cyber readiness of our organization. Additionally, at least annually, our management team and our Chief Information Security Officer (“CISO”) update the members of the Risk Committee and the Board of Directors on existing and new cybersecurity risks, status of risk mitigation efforts, cybersecurity incidents, if any, and the progress of key information security initiatives.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97" w:right="479" w:bottom="1440" w:gutter="0" w:footer="0" w:header="0"/>
        </w:sectPr>
      </w:pPr>
    </w:p>
    <w:bookmarkStart w:id="42" w:name="page43"/>
    <w:bookmarkEnd w:id="42"/>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2020, we established the Information Security Steering Committee (the “IS Steering Committee”), a management-level and cross-functional committee, led by our Chief Executive Officer, and comprised of our Chief Compliance Officer, Chief Financial Officer, CISO, Chief Privacy Officer and relevant teams including Information Security, HR, Compliance &amp; Internal Audit and Legal. The IS Steering Committee holds quarterly meetings, during which they review and take action on a wide range of topics, including cybersecurity threat matters such as prevention monitoring, detection mitigation and remediation of cybersecurity incidents.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Our CISO leads a dedicated Information Security team in charge of cybersecurity matters. Collectively, the members of our Information Security team have over 35 years of relevant experience in various roles involving information technology, information security, compliance and systems. Also, our Information Security team oversees compliance with our cybersecurity framework, facilitates cybersecurity risk management activities, assists with the review and approval of policies, and oversees the security awareness program. At least annually, our Information Security team and CISO update the members of the Risk Committee and the Board of Directors on compliance and risk matters. The Information Security team also reports to the IS Steering Committee on a quarterly basis. We invest in ongoing cybersecurity training for our Information Security team.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Our manufacturing operations take place in a single fabrication facility located in Korea in Gumi. Our facility has a capacity of approximately 36,000 eight-inch equivalent wafers per month. We manufacture wafers utilizing geometries ranging from 0.18 to 0.35 microns. The Gumi facility has one main building with 41,022 square meters devoted to manufacturing, testing and packaging.</w:t>
      </w:r>
    </w:p>
    <w:p>
      <w:pPr>
        <w:spacing w:after="0" w:line="176"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In addition to our fabrication facility in Gumi, we lease facilities in Cheongju and Seoul, Korea. Each of these facilities includes administration, sales and marketing and research and development functions. We lease sales and marketing offices through our subsidiaries in several other countries.</w:t>
      </w:r>
    </w:p>
    <w:p>
      <w:pPr>
        <w:spacing w:after="0" w:line="14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180"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All of our assembly, test and packaging services for our Display IC, Power IC and Power discrete businesses are outsourced with the balance handled in-house. The independent providers of these outsourced services are located in Korea and China. The relative cost of outsourced services, as compared to in-house services, depends upon many factors specific to each product and circumstance. However, we generally incur higher costs for outsourced services, which can result in lower margins.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also “Item 1A. Risk Factors” in this Report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97" w:right="479" w:bottom="1440"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20" w:right="178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Total Return to Stockholders (Including Reinvestment of Dividends)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Indexed Returns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Company/Index</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Base Period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12/31/2020</w:t>
            </w:r>
          </w:p>
        </w:tc>
        <w:tc>
          <w:tcPr>
            <w:tcW w:w="2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12/31/2021</w:t>
            </w:r>
          </w:p>
        </w:tc>
        <w:tc>
          <w:tcPr>
            <w:tcW w:w="2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12/30/2022</w:t>
            </w:r>
          </w:p>
        </w:tc>
        <w:tc>
          <w:tcPr>
            <w:tcW w:w="26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12/29/2023</w:t>
            </w:r>
          </w:p>
        </w:tc>
        <w:tc>
          <w:tcPr>
            <w:tcW w:w="2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12/31/2024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600" w:type="dxa"/>
            <w:vAlign w:val="bottom"/>
            <w:gridSpan w:val="2"/>
            <w:vMerge w:val="continue"/>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12/31/2019</w:t>
            </w: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Magnachip Semiconductor Corporation</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116.45</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180.62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80.88</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64.60</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S&amp;P 500 Index</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115.29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146.30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117.85</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146.41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180.54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Philadelphia Semiconductor Index</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151.14</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213.35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136.90</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225.75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269.24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approximate number of record holders of our outstanding common stock as of February 29, 2024 was 67. This number does not include beneficial owners for whom shares are held by nominees in street name.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information on securities authorized for issuance under our equity compensation plans, see Item 12. Security Ownership of Certain Beneficial Owners and Management and Related Stockholder Matters.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have not historically paid any cash dividends on our common stock. Our Board of Directors continuously evaluates our capital allocation strategy and liquidity targets, but has not currently implemented any dividend or distribution policy. Any determination to pay dividends in the future will be at the discretion of our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monthly activity related to our repurchases of common stock for the quarter ended December 31,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8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3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38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88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13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vMerge w:val="restart"/>
          </w:tcPr>
          <w:p>
            <w:pPr>
              <w:spacing w:after="0"/>
              <w:rPr>
                <w:sz w:val="12"/>
                <w:szCs w:val="12"/>
                <w:color w:val="auto"/>
              </w:rPr>
            </w:pP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80" w:type="dxa"/>
            <w:vAlign w:val="bottom"/>
            <w:gridSpan w:val="2"/>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3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80"/>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26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Purchased(1)</w:t>
            </w:r>
          </w:p>
        </w:tc>
        <w:tc>
          <w:tcPr>
            <w:tcW w:w="380" w:type="dxa"/>
            <w:vAlign w:val="bottom"/>
          </w:tcPr>
          <w:p>
            <w:pPr>
              <w:spacing w:after="0"/>
              <w:rPr>
                <w:sz w:val="15"/>
                <w:szCs w:val="15"/>
                <w:color w:val="auto"/>
              </w:rPr>
            </w:pPr>
          </w:p>
        </w:tc>
        <w:tc>
          <w:tcPr>
            <w:tcW w:w="14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880" w:type="dxa"/>
            <w:vAlign w:val="bottom"/>
            <w:gridSpan w:val="2"/>
          </w:tcPr>
          <w:p>
            <w:pPr>
              <w:jc w:val="center"/>
              <w:ind w:right="760"/>
              <w:spacing w:after="0" w:line="160" w:lineRule="exact"/>
              <w:rPr>
                <w:sz w:val="20"/>
                <w:szCs w:val="20"/>
                <w:color w:val="auto"/>
              </w:rPr>
            </w:pPr>
            <w:r>
              <w:rPr>
                <w:rFonts w:ascii="Times New Roman" w:cs="Times New Roman" w:eastAsia="Times New Roman" w:hAnsi="Times New Roman"/>
                <w:sz w:val="14"/>
                <w:szCs w:val="14"/>
                <w:b w:val="1"/>
                <w:bCs w:val="1"/>
                <w:color w:val="auto"/>
              </w:rPr>
              <w:t>or Programs(2)</w:t>
            </w:r>
          </w:p>
        </w:tc>
        <w:tc>
          <w:tcPr>
            <w:tcW w:w="120" w:type="dxa"/>
            <w:vAlign w:val="bottom"/>
          </w:tcPr>
          <w:p>
            <w:pPr>
              <w:spacing w:after="0"/>
              <w:rPr>
                <w:sz w:val="15"/>
                <w:szCs w:val="15"/>
                <w:color w:val="auto"/>
              </w:rPr>
            </w:pPr>
          </w:p>
        </w:tc>
        <w:tc>
          <w:tcPr>
            <w:tcW w:w="12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thousands)(2)</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October 2024</w:t>
            </w:r>
          </w:p>
        </w:tc>
        <w:tc>
          <w:tcPr>
            <w:tcW w:w="400" w:type="dxa"/>
            <w:vAlign w:val="bottom"/>
            <w:tcBorders>
              <w:top w:val="single" w:sz="8" w:color="auto"/>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89,261</w:t>
            </w:r>
          </w:p>
        </w:tc>
        <w:tc>
          <w:tcPr>
            <w:tcW w:w="38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4.54</w:t>
            </w:r>
          </w:p>
        </w:tc>
        <w:tc>
          <w:tcPr>
            <w:tcW w:w="7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89,261</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27,097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November 2024(1)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528,775</w:t>
            </w:r>
          </w:p>
        </w:tc>
        <w:tc>
          <w:tcPr>
            <w:tcW w:w="360" w:type="dxa"/>
            <w:vAlign w:val="bottom"/>
          </w:tcPr>
          <w:p>
            <w:pPr>
              <w:spacing w:after="0"/>
              <w:rPr>
                <w:sz w:val="18"/>
                <w:szCs w:val="18"/>
                <w:color w:val="auto"/>
              </w:rPr>
            </w:pPr>
          </w:p>
        </w:tc>
        <w:tc>
          <w:tcPr>
            <w:tcW w:w="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3.89</w:t>
            </w: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528,501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2024(1)</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228,191</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3.95</w:t>
            </w:r>
          </w:p>
        </w:tc>
        <w:tc>
          <w:tcPr>
            <w:tcW w:w="18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116,165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24,589</w:t>
            </w:r>
          </w:p>
        </w:tc>
        <w:tc>
          <w:tcPr>
            <w:tcW w:w="0" w:type="dxa"/>
            <w:vAlign w:val="bottom"/>
          </w:tcPr>
          <w:p>
            <w:pPr>
              <w:spacing w:after="0"/>
              <w:rPr>
                <w:sz w:val="1"/>
                <w:szCs w:val="1"/>
                <w:color w:val="auto"/>
              </w:rPr>
            </w:pPr>
          </w:p>
        </w:tc>
      </w:tr>
      <w:tr>
        <w:trPr>
          <w:trHeight w:val="223"/>
        </w:trPr>
        <w:tc>
          <w:tcPr>
            <w:tcW w:w="428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846,227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7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733,927</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80" w:hanging="424"/>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112,300 shares withheld to satisfy tax withholding obligations in connection with the vesting of restricted stock units issued under our equity incentive plans.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19, 2023, the Company’s Board of Directors authorized a new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10b5-1 under the Exchange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audited consolidated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a designer and manufacturer of analog and mixed-signal semiconductor platform solutions for communication, Internet of Things (“IoT”), consumer, computing, industrial and automotive applications. We have a proven record with about 45 years of operating history, a portfolio of approximately 1,000 registered patents and pending applications and extensive engineering and manufacturing process expertise.</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May 30, 2023, we announced a plan to regroup the business lines in our standard products business, originally grouped as Display Solutions and Power Solutions business lines, into the following two business lines to better align our product strategies (the “Reorganization”):</w:t>
      </w:r>
    </w:p>
    <w:p>
      <w:pPr>
        <w:spacing w:after="0" w:line="67" w:lineRule="exact"/>
        <w:rPr>
          <w:sz w:val="20"/>
          <w:szCs w:val="20"/>
          <w:color w:val="auto"/>
        </w:rPr>
      </w:pPr>
    </w:p>
    <w:p>
      <w:pPr>
        <w:ind w:left="1080" w:right="20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Display integrated circuit (“IC”) and Power IC businesses, which are fabless, became the Mixed-Signal Solutions (“MSS”) business line;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Power discrete business, which is an integrated device manufacturing (“IDM”) business, became the Power Analog Solutions (“PAS”) business line.</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January 10, 2024, we transferred the MSS business line into a newly formed Korean limited liability company named “Magnachip Mixed-Signal, Ltd.” Following the Reorganization, our MSS business line is primarily operated by Magnachip Mixed-Signal, Ltd. (“MMS”), and our PAS business line is primarily operated by Magnachip Semiconductor, Ltd. (“MSK”), our already existing Korean operating entity. Both entities are indirect wholly owned subsidiaries of the Company.</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December 31, 2024, our Power IC business was transferred from MMS to MSK, with the transfer being completed on January 1, 2025, to consolidate the Power IC and Power discrete businesses under a single company to expand and strengthen our Power Solutions business.</w:t>
      </w:r>
    </w:p>
    <w:p>
      <w:pPr>
        <w:spacing w:after="0" w:line="16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However, for the purpose of this Annual Report on Form 10-K for the year ended December 31, 2024, our historical results and descriptions of our business and operations reflect the Power IC business as part of the MSS business since it was part of that business group for all of the fiscal year 2024.</w:t>
      </w:r>
    </w:p>
    <w:p>
      <w:pPr>
        <w:spacing w:after="0" w:line="176" w:lineRule="exact"/>
        <w:rPr>
          <w:sz w:val="20"/>
          <w:szCs w:val="20"/>
          <w:color w:val="auto"/>
        </w:rPr>
      </w:pPr>
    </w:p>
    <w:p>
      <w:pPr>
        <w:jc w:val="both"/>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During fiscal year 2024, our MSS business line consisted of Display IC and Power IC businesses. Our Display IC products provide flat panel display solutions to major suppliers of large and small flat panel displays. These products include source and gate drivers and timing controllers that cover flat panel displays used in an array of applications, applied with liquid crystal display (“LCD”), organic light emitting diodes (“OLED”) 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micro light emitting diode (“Micro LED”). Since 2007, we have designed and manufactured OLED display driver IC products. Our current portfolio of OLED solutions addresses various resolutions, ranging from HD (High Definition) to UHD (Ultra High Definition), for a wide range of applications, including smartphones, televisions, automotive and IT applications, such as monitors, notebook PCs and tablet PCs, as well as AR/VRs. Our Power IC products provide Power IC solutions to major television suppliers and large panel display suppliers. These products include AC-DC/DC-DC converters, LED drivers, regulators, power management integrated circuits (“PMICs”) and level shifter for a range of devices, including televisions, wearable devices, notebooks, tablet PCs and others consumer electronics, as well as automotive applications.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PAS business line produces power management semiconductor products, including power discrete solutions for power management in communication, consumer, computing, servers, automotive and industrial applications. These products include metal oxide semiconductor field effect transistors (“MOSFETs”) and insulated-gate bipolar transistors (“IGBTs”) for a range of devices, including televisions, smartphones, mobile phones, wearable devices, desktop PCs, notebook PCs, tablet PCs, other consumer electronics, as well as automotive and industrial applications such as power suppliers, e-bikes, solar inverters, LED lighting and motor drives.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wide variety of analog and mixed-signal semiconductor products combined with our mature technology platform allow us to address multiple high-growth end markets and rapidly develop and introduce new products and services in response to market demands. Our design center in Korea and substantial global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OLED display driver IC and Power IC products are produced using external foundries.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Demand for our products and services is driven by overall demand for communication, IoT, consumer, industrial and automotive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sales for our standard products business are driven by design wins in which we are selected by an electronics original equipment manufacturer (“OEM”) or other potential customers to supply its demand for a particular product. A customer will often have more than one supplier designed into multi-source components for a particular product line. Once we have design wins and the products enter into mass production, we often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82"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and 8-inch wafer capacity, such as OLED display driver IC and Power IC products. We believe this balanced capital investment strategy enables us to optimize our capital investments and facilitates more diversified product and service offerings.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12-inch foundries starting in the second half of 2015 and we have started outsourcing 8-inch wafer for OLED TV ICs and Power ICs after the sale of our fabrication facility located in Cheongju, Korea in 2020. This additional source of manufacturing has been an important part of our supply chain management. By outsourcing manufacturing of OLED display driver IC and Power IC products to external foundries, we have been able to adapt dynamically to changing customer requirements and address growing markets without substantial capital investments by us. However, relying on external foundries exposes us to the risk of being unable to secure manufacturing capacity, particularly during the global shortage of foundry services. Although we work strategically with external foundries to ensure long-term wafer capacity, if these efforts are at any time unsuccessful, our ability to deliver products to our customers may be negatively impacted, which would adversely affect our relationship with customers and opportunities to secure new design-wins.</w:t>
      </w:r>
    </w:p>
    <w:p>
      <w:pPr>
        <w:spacing w:after="0" w:line="19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Transition to Pure-Play Power Company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On March 12, 2025, we announced that our Board of Directors and management team have made the decision to become a pure-play Power company to drive revenue growth, improve profitability, and maximize shareholder value. As a result, we are exploring all strategic options for its Display business (Display IC products), which is expected to be classified as discontinued operations when we report first fiscal quarter 2025 results of operations. Our strategic options include a sale, merger, joint venture, licensing, and wind-down. We currently intend to complete this strategic process and exit the Display business by the end of the second quarter of 2025.</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As a result of this transition, future periods results of operations are expected to include only our Power IC and Power discrete business as continuing operations, which will impact future revenue by excluding the Display IC business revenue, which is to be classified as discontinued operations. In addition, our strategic actions with respect to the Display business could result in near term restructuring charges, among other things, which could material impact future period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CAPEX Loans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December 16, 2024, Magnachip Semiconductor, Ltd., a Korean limited liability company (“MSK”) and indirect wholly owned subsidiary of the Company, executed a Standard Credit Agreement (together with its General Terms and Conditions, the “Equipment Financing Credit Agreement”) with Korea Development Bank (“KDB”). In connection with the Equipment Financing Credit Agreement, on December 16, 2024, MSK also entered into a Kun-Pledge Agreement (the “Equipment Pledge Agreement”) with KDB with respect to the pledge by MSK in favor of KDB of certain machinery and equipment currently owned by MSK, which are located in its fabrication facility located in Gumi, Korea (“Fab 3 machinery and equipment”).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Equipment Financing Credit Agreement provides for loans for MSK’s capital expenditures (the “CAPEX Loans”) up to an aggregate of KRW 38,000,000,000 ($26.5 million based on the KRW/USD exchange rate of 1,432.7:1 as of December 16, 2024 as quoted by KEB Hana Bank), which will be funded directly to capital expenditure supply vendors by KDB upon the submission of a request form by MSK with the necessary evidence such as purchase agreement, invoice and other documentation, as applicable.</w:t>
      </w:r>
    </w:p>
    <w:p>
      <w:pPr>
        <w:spacing w:after="0" w:line="180"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The CAPEX Loans will bear interest at a variable rate equal to the 3-month CD rate quoted by KDB, plus 0.68%, which rate is adjusted quarterly. The initial interest rate on CAPEX Loans was 3.97% per annum. CAPEX Loans mature in 10 years from the initial loan disbursement date, with an initial 2-year (measured from the first loan disbursement date) interest-only payment period during which only interest is paid monthly, followed by 8 years of amortizing payments where the principal is repaid in equal installments every 3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March 26, 2024, MSK executed a Standard Credit Agreement (together with its General Terms and Conditions, the “Loan Agreement”) with KDB. In connection with the Loan Agreement, on March 26, 2024, MSK entered into a Kun-Pledge (Mortgage) Agreement (the “Pledge Agreement”) with KDB pursuant to which MSK pledged its real property and buildings located in Gumi, Korea (“Fab 3 properties”) in favor of KDB.</w:t>
      </w:r>
    </w:p>
    <w:p>
      <w:pPr>
        <w:spacing w:after="0" w:line="176"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Loan Agreement provides for a working capital term loan (the “Term Loan”) of KRW 40,000,000,000 (approximately $29.8 million based on the KRW/USD exchange rate of 1,340.7:1 as of March 26, 2024 as quoted by KEB Hana Bank), which was funded in full to MSK on March 26, 2024.</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Stock Repurchase Program</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 July 19, 2023, our Board of Directors authorized a new $50 million stock buyback program. Purchases have been and will be made in the open market or in privately negotiated transactions, depending upon market conditions and other factors.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From August 2023 to December 2023, we repurchased 1,730,173 shares of our common stock in the open market for an aggregate purchase price of $13.6 million and a weighted average price per share of $7.84 under the new stock repurchase program.</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From January 2024 to December 2024, we repurchased 2,349,811 shares of our common stock in the open market for an aggregate purchase price of $11.8 million and a weighted average price per share of $5.04 under the new stock repurchase program.</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From January 2025 to February 2025, we repurchased 31,254 shares of our common stock in the open market for an aggregate purchase price of $0.1 million and a weighted average price per share of $3.95 under the new stock repurchase program.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Macroeconomic Industry Conditions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semiconductor industry continues to face a number of macroeconomic challenges, including rising inflation, increased interest rates, supply chain disruptions, inventory corrections, shifting customer and end-user demand, fluctuations in currency rates, and geopolitical tensions, including without limitation ongoing conflicts involving Russia and Ukraine, sustained military action and conflicts in the Middle East, and potential trade conflicts, including arising directly or indirectly from tariffs recently imposed by the United States, any one or more of which may cause volatility and unpredictability in the supply chain or market for semiconductor products and end-user demand. The length and severity of these macroeconomic events and their overall impact on our business, results of operations and financial condition remain uncertain.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Export Control Regulations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7, 2022, the Bureau of Industry and Security (BIS)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end-uses and end-users, including those related to weapons of mass destruction. Additionally, on October 21, 2022, BIS brought into effect a series of new Foreign Direct Product (FDP) rules and various new controls on advanced computing items, significantly expanding the scope of items that are subject to export control under the U.S. Export Regulations. More recently, on October 25, 2023, BIS published additional rules, which went into effect on November 17, 2023 to expand, clarify, and correct the rules published in October 2022. A further corrected and clarified version of these rules went into effect on April 4, 2024. On January 16, 2025, BIS published amendments and clarifications of the U.S. Export Regulations which further tightened controls of advanced computing items. Based on our understanding of the U.S. Export Regulations and related rules currently in effect, we do not anticipate that they will have a material impact on our current business, but we will continue reviewing and assessing these rules and regulations and their potential impact on our business. Additional changes to the U.S. Export Regulations are expected, such as recently proposed rule changes that may expand restrictions 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export transactions involving end users or end uses with military connections; but the scope or timing of such changes is uncertain. We will continue to monitor such developments, including potential additional trade restrictions, and other regulatory or policy changes by the U.S. and foreign governments.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Explanation and Reconciliation of Non-U.S. GAAP Measures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Operating Income (Loss) and Adjusted Net Income (Loss)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use the terms Adjusted EBITDA, Adjusted Operating Income (Loss) and Adjusted Net Income (Loss) (including on a per share basis) in this Report. Adjusted EBITDA, as we define it, is a non-U.S. GAAP measure. We define Adjusted EBITDA for the periods indicated as EBITDA (as defined below), adjusted to exclude (i) equity-based compensation expense, (ii) foreign currency loss (gain), net, (iii) derivative valuation loss (gain), net, (iv) impairment and other charges and (v) early termination charges. EBITDA for the periods indicated is defined as net loss before interest income, interest expense, income tax benefit, net and depreciation and amortization.</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the footnotes to the table below for further information regarding these items. We present Adjusted EBITDA as a supplemental measure of our performance because:</w:t>
      </w:r>
    </w:p>
    <w:p>
      <w:pPr>
        <w:spacing w:after="0" w:line="67" w:lineRule="exact"/>
        <w:rPr>
          <w:sz w:val="20"/>
          <w:szCs w:val="20"/>
          <w:color w:val="auto"/>
        </w:rPr>
      </w:pPr>
    </w:p>
    <w:p>
      <w:pPr>
        <w:ind w:left="540" w:right="60" w:hanging="424"/>
        <w:spacing w:after="0" w:line="26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1"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w:t>
      </w:r>
    </w:p>
    <w:p>
      <w:pPr>
        <w:spacing w:after="0" w:line="81" w:lineRule="exact"/>
        <w:rPr>
          <w:rFonts w:ascii="Times New Roman" w:cs="Times New Roman" w:eastAsia="Times New Roman" w:hAnsi="Times New Roman"/>
          <w:sz w:val="18"/>
          <w:szCs w:val="18"/>
          <w:color w:val="auto"/>
        </w:rPr>
      </w:pPr>
    </w:p>
    <w:p>
      <w:pPr>
        <w:ind w:left="540" w:right="940" w:hanging="424"/>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Adjusted EBITDA is useful for investors, among other reasons, to assess a company’s period-to-period core operating performance and to understand and assess the manner in which management analyzes operating performance.</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EBITDA in a number of ways, including:</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planning purposes, including the preparation of our annual operating budget;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effectiveness of our enterprise level business strategies;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communications with our Board of Directors concerning our consolidated financial performance;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of our compensation plans as a performance measure for determining incentive compensation payments.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encourage you to evaluate each adjustment and the reasons we consider them appropriate. In evaluating Adjusted EBITDA, you should be aware that in the future we may incur expenses (income) similar to the adjustments in this presentation. Adjusted EBITDA is not a measure defined in accordance with U.S. GAAP and should not be construed as an alternative to net income (loss) or any other performance measure derived in accordance with U.S. GAAP, or as an alternative to cash flows from operating activities as a measure of liquidity. A reconciliation of net loss to Adjusted EBITDA is as follows:</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benefit, net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EBITDA</w:t>
            </w:r>
          </w:p>
        </w:tc>
        <w:tc>
          <w:tcPr>
            <w:tcW w:w="2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2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(53.3)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360"/>
        </w:trPr>
        <w:tc>
          <w:tcPr>
            <w:tcW w:w="3320" w:type="dxa"/>
            <w:vAlign w:val="bottom"/>
          </w:tcPr>
          <w:p>
            <w:pPr>
              <w:spacing w:after="0"/>
              <w:rPr>
                <w:sz w:val="24"/>
                <w:szCs w:val="24"/>
                <w:color w:val="auto"/>
              </w:rPr>
            </w:pPr>
          </w:p>
        </w:tc>
        <w:tc>
          <w:tcPr>
            <w:tcW w:w="23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62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3"/>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net(b)</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net(c)</w:t>
            </w:r>
          </w:p>
        </w:tc>
        <w:tc>
          <w:tcPr>
            <w:tcW w:w="18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charges(d)</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charges(e)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5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5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5"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this adjustment eliminates $4.6 million of impairment loss primarily related to the tangible assets associated with our Display business, and $2.0 million of one-time cumulative financial impact in connection with certain employee benefits. For the year ended December 31, 2023, this adjustment eliminates $0.8 million of one-time employee incentives.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this adjustment eliminates the termination related charges of $8.4 million in connection with the voluntary resignation program (the “Program”) that we offered and paid to certain employees during the first half of 2023. As this adjustment meaningfully impacted our operating results and are not expected to represent an ongoing operating expense or income to us, we believe our operating performance results are more usefully compared if these adjustments are excluded.</w:t>
      </w:r>
    </w:p>
    <w:p>
      <w:pPr>
        <w:spacing w:after="0" w:line="80" w:lineRule="exact"/>
        <w:rPr>
          <w:rFonts w:ascii="Times New Roman" w:cs="Times New Roman" w:eastAsia="Times New Roman" w:hAnsi="Times New Roman"/>
          <w:sz w:val="18"/>
          <w:szCs w:val="18"/>
          <w:color w:val="auto"/>
        </w:rPr>
      </w:pPr>
    </w:p>
    <w:p>
      <w:pPr>
        <w:ind w:left="5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 limiting its usefulness as a comparative measure.</w:t>
      </w:r>
    </w:p>
    <w:p>
      <w:pPr>
        <w:spacing w:after="0" w:line="117" w:lineRule="exact"/>
        <w:rPr>
          <w:sz w:val="20"/>
          <w:szCs w:val="20"/>
          <w:color w:val="auto"/>
        </w:rPr>
      </w:pPr>
    </w:p>
    <w:p>
      <w:pPr>
        <w:ind w:left="560"/>
        <w:spacing w:after="0" w:line="266"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present Adjusted Operating Income (Loss) as supplemental measures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(loss) from ongoing business operations.</w:t>
      </w:r>
    </w:p>
    <w:p>
      <w:pPr>
        <w:spacing w:after="0" w:line="183"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Adjusted Operating Income (Loss) is not a measure defined in accordance with U.S. GAAP and should not be construed as an alternative to operating income (loss)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(income) similar to the adjustments in this presentation. We define Adjusted Operating Income (Loss) for the periods indicated as operating income (loss) adjusted to exclude (i) equity-based compensation expense, (ii) impairment and other charges and (iii) early termination charges.</w:t>
      </w:r>
    </w:p>
    <w:p>
      <w:pPr>
        <w:spacing w:after="0" w:line="17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adjustments to operating loss that we make in order to calculate Adjusted Operating Loss for the periods indicated: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(53.0)</w:t>
            </w: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charges(b)</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termination charges(c)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Adjusted Operating Loss</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(40.2)</w:t>
            </w:r>
          </w:p>
        </w:tc>
        <w:tc>
          <w:tcPr>
            <w:tcW w:w="4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this adjustment eliminates $4.6 million of impairment loss primarily related to the tangible assets associated with our Display business, and $2.0 million of one-time cumulative financial impact in connection with certain employee benefits. For the year ended December 31, 2023, this adjustment eliminates $0.8 million of one-time employee incentives. As these adjustments meaningfully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680"/>
        <w:spacing w:after="0" w:line="261" w:lineRule="auto"/>
        <w:rPr>
          <w:sz w:val="20"/>
          <w:szCs w:val="20"/>
          <w:color w:val="auto"/>
        </w:rPr>
      </w:pPr>
      <w:r>
        <w:rPr>
          <w:rFonts w:ascii="Times New Roman" w:cs="Times New Roman" w:eastAsia="Times New Roman" w:hAnsi="Times New Roman"/>
          <w:sz w:val="18"/>
          <w:szCs w:val="18"/>
          <w:color w:val="auto"/>
        </w:rPr>
        <w:t>impacted our operating results and are not expected to represent an ongoing operating expense or income to us, we believe our operating performance results are more usefully compared if these adjustments are excluded.</w:t>
      </w:r>
    </w:p>
    <w:p>
      <w:pPr>
        <w:ind w:left="540" w:right="40" w:hanging="424"/>
        <w:spacing w:after="0" w:line="253"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this adjustment eliminates the termination related charges of $8.4 million in connection with the Program that we offered and paid to certain employees during the first half of 2023.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89"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We present Adjusted Net Income (Loss) (including on a per share basis) as a further supplemental measure of our performance. We prepare Adjusted Net Income (Loss) (including on a per share basis) by adjusting net income (loss) to eliminate the impact of a number of non-cash 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w:t>
      </w:r>
    </w:p>
    <w:p>
      <w:pPr>
        <w:spacing w:after="0" w:line="73" w:lineRule="exact"/>
        <w:rPr>
          <w:sz w:val="20"/>
          <w:szCs w:val="20"/>
          <w:color w:val="auto"/>
        </w:rPr>
      </w:pPr>
    </w:p>
    <w:p>
      <w:pPr>
        <w:ind w:left="1080" w:right="14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Adjusted Net Income (Loss) (including on a per share basis)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1"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reporting Adjusted Net Income (Loss) (including on a per share basis)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76"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Adjusted Net Income (Loss) (including on a per share basis) is not a measure defined in accordance with U.S. GAAP and should not be construed as an alternative to net income (loss)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(income) similar to the adjustments in this presentation. We define Adjusted Net Income (Loss) (including on a per share basis); for the periods indicated as net income (loss), adjusted to exclude (i) equity-based compensation expense, (ii) foreign currency loss (gain), net,</w:t>
      </w:r>
    </w:p>
    <w:p>
      <w:pPr>
        <w:spacing w:after="0" w:line="2" w:lineRule="exact"/>
        <w:rPr>
          <w:sz w:val="20"/>
          <w:szCs w:val="20"/>
          <w:color w:val="auto"/>
        </w:rPr>
      </w:pPr>
    </w:p>
    <w:p>
      <w:pPr>
        <w:ind w:left="120" w:right="400" w:hanging="4"/>
        <w:spacing w:after="0" w:line="260" w:lineRule="auto"/>
        <w:tabs>
          <w:tab w:leader="none" w:pos="4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valuation loss (gain), net, (iv) impairment and other charges, (v) early termination charges and (vi) income tax effect on non-GAAP adjustments.</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adjustments to net loss that we make in order to calculate Adjusted Net Loss (including on a per share basis)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periods indicated:</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260" w:type="dxa"/>
            <w:vAlign w:val="bottom"/>
            <w:gridSpan w:val="4"/>
          </w:tcPr>
          <w:p>
            <w:pPr>
              <w:ind w:left="2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40" w:type="dxa"/>
            <w:vAlign w:val="bottom"/>
            <w:gridSpan w:val="4"/>
          </w:tcPr>
          <w:p>
            <w:pPr>
              <w:ind w:left="8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500" w:type="dxa"/>
            <w:vAlign w:val="bottom"/>
            <w:gridSpan w:val="5"/>
          </w:tcPr>
          <w:p>
            <w:pPr>
              <w:jc w:val="center"/>
              <w:ind w:right="92"/>
              <w:spacing w:after="0" w:line="118" w:lineRule="exact"/>
              <w:rPr>
                <w:sz w:val="20"/>
                <w:szCs w:val="20"/>
                <w:color w:val="auto"/>
              </w:rPr>
            </w:pPr>
            <w:r>
              <w:rPr>
                <w:rFonts w:ascii="Times New Roman" w:cs="Times New Roman" w:eastAsia="Times New Roman" w:hAnsi="Times New Roman"/>
                <w:sz w:val="13"/>
                <w:szCs w:val="13"/>
                <w:b w:val="1"/>
                <w:bCs w:val="1"/>
                <w:color w:val="auto"/>
              </w:rPr>
              <w:t>(Dollars in millions, except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8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expense(a)</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loss (gain), net(b)</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valuation loss (gain), net(c)</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and other charges(d)</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Early termination charges(e)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effect on non-GAAP adjustments(f)</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2480" w:type="dxa"/>
            <w:vAlign w:val="bottom"/>
            <w:gridSpan w:val="2"/>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10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20" w:type="dxa"/>
            <w:vAlign w:val="bottom"/>
            <w:vMerge w:val="restart"/>
          </w:tcPr>
          <w:p>
            <w:pPr>
              <w:jc w:val="right"/>
              <w:ind w:right="1675"/>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2"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4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0" w:type="dxa"/>
            <w:vAlign w:val="bottom"/>
            <w:gridSpan w:val="2"/>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900" w:type="dxa"/>
            <w:vAlign w:val="bottom"/>
            <w:gridSpan w:val="3"/>
          </w:tcPr>
          <w:p>
            <w:pPr>
              <w:jc w:val="center"/>
              <w:ind w:left="65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17"/>
        </w:trPr>
        <w:tc>
          <w:tcPr>
            <w:tcW w:w="48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00" w:type="dxa"/>
            <w:vAlign w:val="bottom"/>
            <w:gridSpan w:val="3"/>
          </w:tcPr>
          <w:p>
            <w:pPr>
              <w:jc w:val="right"/>
              <w:ind w:right="374"/>
              <w:spacing w:after="0" w:line="118" w:lineRule="exact"/>
              <w:rPr>
                <w:sz w:val="20"/>
                <w:szCs w:val="20"/>
                <w:color w:val="auto"/>
              </w:rPr>
            </w:pPr>
            <w:r>
              <w:rPr>
                <w:rFonts w:ascii="Times New Roman" w:cs="Times New Roman" w:eastAsia="Times New Roman" w:hAnsi="Times New Roman"/>
                <w:sz w:val="13"/>
                <w:szCs w:val="13"/>
                <w:b w:val="1"/>
                <w:bCs w:val="1"/>
                <w:color w:val="auto"/>
              </w:rPr>
              <w:t>(Dollars in millions, except per</w:t>
            </w:r>
          </w:p>
        </w:tc>
        <w:tc>
          <w:tcPr>
            <w:tcW w:w="120" w:type="dxa"/>
            <w:vAlign w:val="bottom"/>
          </w:tcPr>
          <w:p>
            <w:pPr>
              <w:spacing w:after="0"/>
              <w:rPr>
                <w:sz w:val="10"/>
                <w:szCs w:val="10"/>
                <w:color w:val="auto"/>
              </w:rPr>
            </w:pPr>
          </w:p>
        </w:tc>
      </w:tr>
      <w:tr>
        <w:trPr>
          <w:trHeight w:val="173"/>
        </w:trPr>
        <w:tc>
          <w:tcPr>
            <w:tcW w:w="4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loss per share—basic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Reported loss per share—diluted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6"/>
              </w:rPr>
              <w:t>37,774,280</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41,013,069</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6"/>
              </w:rPr>
              <w:t>37,774,280</w:t>
            </w:r>
          </w:p>
        </w:tc>
        <w:tc>
          <w:tcPr>
            <w:tcW w:w="9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41,013,069</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per share—basic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Adjusted loss per share—diluted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shares—basic</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6"/>
              </w:rPr>
              <w:t>37,774,280</w:t>
            </w: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41,013,069</w:t>
            </w:r>
          </w:p>
        </w:tc>
        <w:tc>
          <w:tcPr>
            <w:tcW w:w="120" w:type="dxa"/>
            <w:vAlign w:val="bottom"/>
            <w:shd w:val="clear" w:color="auto" w:fill="CCEEFF"/>
          </w:tcPr>
          <w:p>
            <w:pPr>
              <w:spacing w:after="0"/>
              <w:rPr>
                <w:sz w:val="18"/>
                <w:szCs w:val="18"/>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shares—diluted</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6"/>
              </w:rPr>
              <w:t>37,774,280</w:t>
            </w:r>
          </w:p>
        </w:tc>
        <w:tc>
          <w:tcPr>
            <w:tcW w:w="9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41,013,069</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54" w:lineRule="exact"/>
        <w:rPr>
          <w:sz w:val="20"/>
          <w:szCs w:val="20"/>
          <w:color w:val="auto"/>
        </w:rPr>
      </w:pPr>
    </w:p>
    <w:p>
      <w:pPr>
        <w:ind w:left="540" w:hanging="424"/>
        <w:spacing w:after="0" w:line="255"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2024, this adjustment eliminates $4.6 million of impairment loss primarily related to the tangible assets associated with our Display business, and $2.0 million of one-time cumulative financial impact in connection with certain employee benefits. For the year ended December 31, 2023, this adjustment eliminates $0.8 million of one-time employee incentives.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this adjustment eliminates the termination related charges of $8.4 million in connection with the Program that we offered and paid to certain employees during the first half of 2023. As these adjustments meaningfully impacted our operating results and are not expected to represent an ongoing operating expense or income to us, we believe our operating performance results are more usefully compared if these adjustments are excluded.</w:t>
      </w:r>
    </w:p>
    <w:p>
      <w:pPr>
        <w:spacing w:after="0" w:line="1" w:lineRule="exact"/>
        <w:rPr>
          <w:rFonts w:ascii="Times New Roman" w:cs="Times New Roman" w:eastAsia="Times New Roman" w:hAnsi="Times New Roman"/>
          <w:sz w:val="18"/>
          <w:szCs w:val="18"/>
          <w:color w:val="auto"/>
        </w:rPr>
      </w:pPr>
    </w:p>
    <w:p>
      <w:pPr>
        <w:ind w:left="540" w:right="80" w:hanging="424"/>
        <w:spacing w:after="0" w:line="253"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2023, income tax effect on non-GAAP adjustments were calculated by calculating the tax benefit of each jurisdiction with or without the non-GAAP adjustments. For the year ended December 31, 2024, this adjustment eliminates the income tax effect on non-GAAP adjustments of negative $4.6 million, which mainly related to one of our operating entities in Korea. For the year ended December 31, 2023, this adjustment eliminates the income tax effect on non-GAAP adjustments of negative $2.2 million, which mainly related to our then primary operating entity in Korea.</w:t>
      </w:r>
    </w:p>
    <w:p>
      <w:pPr>
        <w:spacing w:after="0" w:line="78"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all adjustments to income (loss) used to calculate Adjusted Net Income (Loss) was applied consistently to the periods presented.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67"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reflect changes in, or cash requirements for, our working capital needs;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consider the potentially dilutive impact of issuing equity-based compensation to our management team and employees;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(Loss) does not reflect the costs of holding certain assets and liabilities in foreign currencies; and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Net Income (Loss) differently than we do, limiting its usefulness as a comparative measure.</w:t>
      </w:r>
    </w:p>
    <w:p>
      <w:pPr>
        <w:spacing w:after="0" w:line="54" w:lineRule="exact"/>
        <w:rPr>
          <w:sz w:val="20"/>
          <w:szCs w:val="20"/>
          <w:color w:val="auto"/>
        </w:rPr>
      </w:pPr>
    </w:p>
    <w:p>
      <w:pPr>
        <w:ind w:left="560" w:right="12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Net Income (Loss) should not be considered as a measure of profitability of our business. We compensate for these limitations by relying primarily on our U.S. GAAP results and using Adjusted Net Income (Loss) only as a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17" w:lineRule="exact"/>
        <w:rPr>
          <w:sz w:val="20"/>
          <w:szCs w:val="20"/>
          <w:color w:val="auto"/>
        </w:rPr>
      </w:pPr>
    </w:p>
    <w:p>
      <w:pPr>
        <w:ind w:left="120" w:right="120" w:firstLine="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Net Sales. </w:t>
      </w:r>
      <w:r>
        <w:rPr>
          <w:rFonts w:ascii="Times New Roman" w:cs="Times New Roman" w:eastAsia="Times New Roman" w:hAnsi="Times New Roman"/>
          <w:sz w:val="17"/>
          <w:szCs w:val="17"/>
          <w:color w:val="auto"/>
        </w:rPr>
        <w:t>We derive substantially all of our sales (net of sales returns and allowances) from our standard products business. We outsource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manufacturing of mobile OLED products to external 12-inch foundries.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w:t>
      </w:r>
    </w:p>
    <w:p>
      <w:pPr>
        <w:spacing w:after="0" w:line="16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a customer obtains control of the product, which is generally upon product shipment, delivery at the customer’s location or upon customer acceptance, depending on the terms of the arrangement. For the years ended December 31, 2024 and 2023, we sold products to 176 and 165 customers, respectively, and our net sales to our ten largest customers (which does not include the Transitional Fab 3 Foundry Services) represented 74% and 69% of our net sales—standard products business, respectively.</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are currently in the process of winding down the Transitional Fab 3 Foundry Services, which represented 4.6% and 14.9% of our total revenues for the years ended December 31, 2024 and 2023, respectively.</w:t>
      </w:r>
    </w:p>
    <w:p>
      <w:pPr>
        <w:spacing w:after="0" w:line="158" w:lineRule="exact"/>
        <w:rPr>
          <w:sz w:val="20"/>
          <w:szCs w:val="20"/>
          <w:color w:val="auto"/>
        </w:rPr>
      </w:pPr>
    </w:p>
    <w:p>
      <w:pPr>
        <w:ind w:left="120" w:right="2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Our overall gross profit generally fluctuates as a result of changes in overall sales volumes and in the average selling prices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w:t>
      </w:r>
    </w:p>
    <w:p>
      <w:pPr>
        <w:spacing w:after="0" w:line="179"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Average Selling Prices. </w:t>
      </w:r>
      <w:r>
        <w:rPr>
          <w:rFonts w:ascii="Times New Roman" w:cs="Times New Roman" w:eastAsia="Times New Roman" w:hAnsi="Times New Roman"/>
          <w:sz w:val="18"/>
          <w:szCs w:val="18"/>
          <w:color w:val="auto"/>
        </w:rPr>
        <w:t>Average selling prices for our products tend to be highest at the time of introduction of new products which utilize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79"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Costs. </w:t>
      </w:r>
      <w:r>
        <w:rPr>
          <w:rFonts w:ascii="Times New Roman" w:cs="Times New Roman" w:eastAsia="Times New Roman" w:hAnsi="Times New Roman"/>
          <w:sz w:val="18"/>
          <w:szCs w:val="18"/>
          <w:color w:val="auto"/>
        </w:rPr>
        <w:t>Our material costs consist of costs of raw materials, such as silicon wafers, chemicals, gases and tape and packaging supplies.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Costs. </w:t>
      </w:r>
      <w:r>
        <w:rPr>
          <w:rFonts w:ascii="Times New Roman" w:cs="Times New Roman" w:eastAsia="Times New Roman" w:hAnsi="Times New Roman"/>
          <w:sz w:val="18"/>
          <w:szCs w:val="18"/>
          <w:color w:val="auto"/>
        </w:rPr>
        <w:t>A significant portion of our employees are located in Korea. Under Korean labor laws, most employees and certain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with one or more years of service are entitled to severance benefits upon the termination of their employment based on their length of service and rate of pay. As of December 31, 2024, 95% of our employees were eligible for severance benefits.</w:t>
      </w:r>
    </w:p>
    <w:p>
      <w:pPr>
        <w:spacing w:after="0" w:line="171"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Expense. </w:t>
      </w:r>
      <w:r>
        <w:rPr>
          <w:rFonts w:ascii="Times New Roman" w:cs="Times New Roman" w:eastAsia="Times New Roman" w:hAnsi="Times New Roman"/>
          <w:sz w:val="18"/>
          <w:szCs w:val="18"/>
          <w:color w:val="auto"/>
        </w:rPr>
        <w:t>We periodically evaluate the carrying values of long-lived assets, including property, plant and equipment and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as well as the related depreciation periods. We depreciated our property, plant and equipment using the straight-line method over the estimated useful lives of our assets. Depreciation rates vary from 30-40 years on buildings to 3-12 years for certain equipment and assets. Our evaluation of carrying values is based on various analyses including cash flow and profitability projections. If our projections indicate that future undiscounted cash flows are not sufficient to recover the carrying value of the related long-lived assets, the carrying value of the assets is impaired and will be reduced, with the reduction charged to expense so that the carrying value is equal to fair value.</w:t>
      </w:r>
    </w:p>
    <w:p>
      <w:pPr>
        <w:spacing w:after="0" w:line="182" w:lineRule="exact"/>
        <w:rPr>
          <w:sz w:val="20"/>
          <w:szCs w:val="20"/>
          <w:color w:val="auto"/>
        </w:rPr>
      </w:pPr>
    </w:p>
    <w:p>
      <w:pPr>
        <w:ind w:left="120" w:right="1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Expenses. </w:t>
      </w:r>
      <w:r>
        <w:rPr>
          <w:rFonts w:ascii="Times New Roman" w:cs="Times New Roman" w:eastAsia="Times New Roman" w:hAnsi="Times New Roman"/>
          <w:sz w:val="18"/>
          <w:szCs w:val="18"/>
          <w:color w:val="auto"/>
        </w:rPr>
        <w:t>We sell our products worldwide through a direct sales force as well as a network of sales agents and representatives to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76"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of the costs of various corporate operations,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legal, human resources and other administrative functions. These expenses primarily consist of payroll-related expenses, consulting and other professional fees and office facility-related expenses.</w:t>
      </w:r>
    </w:p>
    <w:p>
      <w:pPr>
        <w:spacing w:after="0" w:line="17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rapid technological change and product obsolescence that characterize our industry require us to make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Display IC business are material and design-related costs for OLED display driver IC product development involving 28-nanometer or finer processes. The majority of research and development expenses of our Power IC business are material and design-related costs for Power IC products. Power IC uses standard BCD process technologies which can be sourced from multiple foundries. The majority of research and development expenses of our Power discrete business are certain equipment, material and design-related costs for Power discrete products.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Foreign Currency Exchange Rates on Reported Results of Operations. </w:t>
      </w:r>
      <w:r>
        <w:rPr>
          <w:rFonts w:ascii="Times New Roman" w:cs="Times New Roman" w:eastAsia="Times New Roman" w:hAnsi="Times New Roman"/>
          <w:sz w:val="18"/>
          <w:szCs w:val="18"/>
          <w:color w:val="auto"/>
        </w:rPr>
        <w:t>Historically, a portion of our revenues and cost of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greater than the majority of our operating expenses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one of our Korean subsidiaries,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Magnachip Semiconductor, Ltd. or MSK, which is denominated in U.S. dollars. As of December 31, 2024, the outstanding intercompany loan balance including accrued interest between MSK and our Dutch subsidiary was $257.7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engage in exchange rate hedging activities in an effort to mitigate the impact of exchange rate fluctuations. Our Korean subsidiary, Magnachip Semiconductor, Ltd.,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See “Note 9. Derivative Financial Instruments” to our consolidated financial statements under “Item 8. Financial Statements and Supplementary Data” for additional information regarding our foreign exchange hedging activities.</w:t>
      </w:r>
    </w:p>
    <w:p>
      <w:pPr>
        <w:spacing w:after="0" w:line="184"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or Loss. </w:t>
      </w:r>
      <w:r>
        <w:rPr>
          <w:rFonts w:ascii="Times New Roman" w:cs="Times New Roman" w:eastAsia="Times New Roman" w:hAnsi="Times New Roman"/>
          <w:sz w:val="18"/>
          <w:szCs w:val="18"/>
          <w:color w:val="auto"/>
        </w:rPr>
        <w:t>Foreign currency translation gains or losses on transactions by us or our subsidiaries in a currency other than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our subsidiaries’ functional currency are included in foreign currency gain (loss), net in our statements of operations. A substantial portion of this net foreign currency gain or loss relates to non-cash translation gain or loss related to the principal balance of intercompany balances at our Korean subsidiary, Magnachip Semiconductor, Ltd., that are denominated in U.S. dollars. This gain or loss results from fluctuations in the exchange rate between the Korean won and U.S. dollar.</w:t>
      </w:r>
    </w:p>
    <w:p>
      <w:pPr>
        <w:spacing w:after="0" w:line="17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record our income taxes in each of the tax jurisdictions in which we operate. This process involves using an asset and liability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87"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are subject to income- or non-income-based tax examinations by tax authorities of the U.S., Korea and multiple other foreign jurisdictions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w:t>
      </w:r>
    </w:p>
    <w:p>
      <w:pPr>
        <w:spacing w:after="0" w:line="154"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Expenditures. </w:t>
      </w:r>
      <w:r>
        <w:rPr>
          <w:rFonts w:ascii="Times New Roman" w:cs="Times New Roman" w:eastAsia="Times New Roman" w:hAnsi="Times New Roman"/>
          <w:sz w:val="18"/>
          <w:szCs w:val="18"/>
          <w:color w:val="auto"/>
        </w:rPr>
        <w:t>We primarily invest in manufacturing equipment, software design tools and other tangible assets mainly for fabrication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We monitor our inventory levels in light of product development changes and market expectations. We may be required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consolidated results of operations for the years ended December 31, 2024 and 2023:</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0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left="5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40" w:type="dxa"/>
            <w:vAlign w:val="bottom"/>
          </w:tcPr>
          <w:p>
            <w:pPr>
              <w:spacing w:after="0"/>
              <w:rPr>
                <w:sz w:val="10"/>
                <w:szCs w:val="10"/>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gridSpan w:val="2"/>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1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6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gridSpan w:val="2"/>
            <w:vMerge w:val="continue"/>
          </w:tcPr>
          <w:p>
            <w:pPr>
              <w:spacing w:after="0"/>
              <w:rPr>
                <w:sz w:val="15"/>
                <w:szCs w:val="15"/>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sales—standard products business</w:t>
            </w:r>
          </w:p>
        </w:tc>
        <w:tc>
          <w:tcPr>
            <w:tcW w:w="2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$221.1</w:t>
            </w:r>
          </w:p>
        </w:tc>
        <w:tc>
          <w:tcPr>
            <w:tcW w:w="126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95.4%</w:t>
            </w: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w w:val="96"/>
              </w:rPr>
              <w:t>$195.7</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sales—transitional Fab 3 foundry services</w:t>
            </w:r>
          </w:p>
        </w:tc>
        <w:tc>
          <w:tcPr>
            <w:tcW w:w="2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10.6</w:t>
            </w:r>
          </w:p>
        </w:tc>
        <w:tc>
          <w:tcPr>
            <w:tcW w:w="12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34.4</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40" w:type="dxa"/>
            <w:vAlign w:val="bottom"/>
          </w:tcPr>
          <w:p>
            <w:pPr>
              <w:spacing w:after="0"/>
              <w:rPr>
                <w:sz w:val="19"/>
                <w:szCs w:val="19"/>
                <w:color w:val="auto"/>
              </w:rPr>
            </w:pPr>
          </w:p>
        </w:tc>
        <w:tc>
          <w:tcPr>
            <w:tcW w:w="12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3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sales—standard products business</w:t>
            </w:r>
          </w:p>
        </w:tc>
        <w:tc>
          <w:tcPr>
            <w:tcW w:w="2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168.0</w:t>
            </w:r>
          </w:p>
        </w:tc>
        <w:tc>
          <w:tcPr>
            <w:tcW w:w="12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72.5</w:t>
            </w: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143.8</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sales—transitional Fab 3 foundry services</w:t>
            </w:r>
          </w:p>
        </w:tc>
        <w:tc>
          <w:tcPr>
            <w:tcW w:w="2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11.8</w:t>
            </w:r>
          </w:p>
        </w:tc>
        <w:tc>
          <w:tcPr>
            <w:tcW w:w="12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34.6</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4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7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40" w:type="dxa"/>
            <w:vAlign w:val="bottom"/>
          </w:tcPr>
          <w:p>
            <w:pPr>
              <w:spacing w:after="0"/>
              <w:rPr>
                <w:sz w:val="20"/>
                <w:szCs w:val="20"/>
                <w:color w:val="auto"/>
              </w:rPr>
            </w:pPr>
          </w:p>
        </w:tc>
        <w:tc>
          <w:tcPr>
            <w:tcW w:w="12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77.6</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38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51.9</w:t>
            </w:r>
          </w:p>
        </w:tc>
        <w:tc>
          <w:tcPr>
            <w:tcW w:w="12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22.4</w:t>
            </w: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51.6</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47.1</w:t>
            </w:r>
          </w:p>
        </w:tc>
        <w:tc>
          <w:tcPr>
            <w:tcW w:w="12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20.3</w:t>
            </w: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48.5</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51.2</w:t>
            </w:r>
          </w:p>
        </w:tc>
        <w:tc>
          <w:tcPr>
            <w:tcW w:w="12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22.1</w:t>
            </w: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51.6</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246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6.7</w:t>
            </w:r>
          </w:p>
        </w:tc>
        <w:tc>
          <w:tcPr>
            <w:tcW w:w="12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Early termination charges</w:t>
            </w:r>
          </w:p>
        </w:tc>
        <w:tc>
          <w:tcPr>
            <w:tcW w:w="1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8.4</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8"/>
                <w:szCs w:val="18"/>
                <w:color w:val="auto"/>
              </w:rPr>
              <w:t>(22.9)</w:t>
            </w: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(53.0)</w:t>
            </w:r>
          </w:p>
        </w:tc>
        <w:tc>
          <w:tcPr>
            <w:tcW w:w="1260" w:type="dxa"/>
            <w:vAlign w:val="bottom"/>
            <w:gridSpan w:val="2"/>
            <w:vMerge w:val="continue"/>
          </w:tcPr>
          <w:p>
            <w:pPr>
              <w:spacing w:after="0"/>
              <w:rPr>
                <w:sz w:val="19"/>
                <w:szCs w:val="19"/>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(57.6)</w:t>
            </w: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10.4</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(0.8)</w:t>
            </w: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24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(16.9)</w:t>
            </w: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(7.3)</w:t>
            </w: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Others, net</w:t>
            </w:r>
          </w:p>
        </w:tc>
        <w:tc>
          <w:tcPr>
            <w:tcW w:w="1720" w:type="dxa"/>
            <w:vAlign w:val="bottom"/>
          </w:tcPr>
          <w:p>
            <w:pPr>
              <w:spacing w:after="0"/>
              <w:rPr>
                <w:sz w:val="18"/>
                <w:szCs w:val="18"/>
                <w:color w:val="auto"/>
              </w:rPr>
            </w:pPr>
          </w:p>
        </w:tc>
        <w:tc>
          <w:tcPr>
            <w:tcW w:w="7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0.0</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(9.6)</w:t>
            </w: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17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8"/>
                <w:szCs w:val="18"/>
                <w:color w:val="auto"/>
              </w:rPr>
              <w:t>(27.0)</w:t>
            </w: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7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(62.6)</w:t>
            </w:r>
          </w:p>
        </w:tc>
        <w:tc>
          <w:tcPr>
            <w:tcW w:w="1260" w:type="dxa"/>
            <w:vAlign w:val="bottom"/>
            <w:gridSpan w:val="2"/>
            <w:vMerge w:val="continue"/>
          </w:tcPr>
          <w:p>
            <w:pPr>
              <w:spacing w:after="0"/>
              <w:rPr>
                <w:sz w:val="19"/>
                <w:szCs w:val="19"/>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(47.6)</w:t>
            </w: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net</w:t>
            </w:r>
          </w:p>
        </w:tc>
        <w:tc>
          <w:tcPr>
            <w:tcW w:w="24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(54.3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(23.4)%</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(36.6</w:t>
            </w:r>
          </w:p>
        </w:tc>
        <w:tc>
          <w:tcPr>
            <w:tcW w:w="3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72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by business line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8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8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00" w:type="dxa"/>
            <w:vAlign w:val="bottom"/>
          </w:tcPr>
          <w:p>
            <w:pPr>
              <w:spacing w:after="0"/>
              <w:rPr>
                <w:sz w:val="10"/>
                <w:szCs w:val="10"/>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60" w:type="dxa"/>
            <w:vAlign w:val="bottom"/>
            <w:gridSpan w:val="2"/>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60" w:type="dxa"/>
            <w:vAlign w:val="bottom"/>
            <w:gridSpan w:val="3"/>
            <w:vMerge w:val="continue"/>
          </w:tcPr>
          <w:p>
            <w:pPr>
              <w:spacing w:after="0"/>
              <w:rPr>
                <w:sz w:val="15"/>
                <w:szCs w:val="15"/>
                <w:color w:val="auto"/>
              </w:rPr>
            </w:pP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sales—standard products business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54.3</w:t>
            </w:r>
          </w:p>
        </w:tc>
        <w:tc>
          <w:tcPr>
            <w:tcW w:w="10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44.4</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166.8</w:t>
            </w:r>
          </w:p>
        </w:tc>
        <w:tc>
          <w:tcPr>
            <w:tcW w:w="10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3"/>
              </w:rPr>
              <w:t>151.3</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221.1</w:t>
            </w:r>
          </w:p>
        </w:tc>
        <w:tc>
          <w:tcPr>
            <w:tcW w:w="106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3"/>
              </w:rPr>
              <w:t>195.7</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sales—transitional Fab 3 foundry services</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34.4</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231.7</w:t>
            </w:r>
          </w:p>
        </w:tc>
        <w:tc>
          <w:tcPr>
            <w:tcW w:w="10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3"/>
              </w:rPr>
              <w:t>230.1</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78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top w:val="single" w:sz="8" w:color="auto"/>
            </w:tcBorders>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5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profit—standard products business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15.0</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37.0</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53.1</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51.9</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profit—transitional Fab 3 foundry services</w:t>
            </w: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gross profit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51.6</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Total revenues were $231.7 million for the year ended December 31, 2024, a $1.7 million, or 0.7%, increase compared to $230.1 million for the year ended December 31, 2023. This increase was primarily due to an increase in revenue related to our standard products business as described below.</w:t>
      </w:r>
    </w:p>
    <w:p>
      <w:pPr>
        <w:spacing w:after="0" w:line="136"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Net sales from our standard products business were $221.1 million for the year ended December 31, 2024,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$25.5 million, or 13.0%, increase compared to $195.7 million for the year ended December 31, 2023.</w:t>
      </w:r>
    </w:p>
    <w:p>
      <w:pPr>
        <w:spacing w:after="0" w:line="15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Net sales from our Mixed-Signal Solutions business line increased from $44.4 million for the year ended December 31, 2023 to $54.3 million for the year ended December 31, 2024. The increase in net sales from our Mixed-Signal Solutions business line was primarily attributable to a higher demand for our Power IC products, primarily for televisions and OLED IT devices, and a higher demand for automotive OLED display driver ICs. This increase was offset in part by a decrease in revenue from our mobile OLED display driver ICs stemmed from slower than expected new design-wins and lower customer demand for legacy products, and weak demand for our auto-LCD display driver ICs also had an unfavorable impact on net sales.</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Net sales from our Power Analog Solutions business line increased from $151.3 million for the year ended December 31, 2023 to $166.8 million for the year ended December 31, 2024. The increase in net sales from our Power Analog Solutions business line was attributable to a higher demand for power products such as MOSFETs, including high-end MOSFETs in the communication, consumer and computing applications.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transitional Fab 3 foundry services. </w:t>
      </w:r>
      <w:r>
        <w:rPr>
          <w:rFonts w:ascii="Times New Roman" w:cs="Times New Roman" w:eastAsia="Times New Roman" w:hAnsi="Times New Roman"/>
          <w:sz w:val="18"/>
          <w:szCs w:val="18"/>
          <w:color w:val="auto"/>
        </w:rPr>
        <w:t>Net sales from the transitional Fab 3 foundry services were $10.6 million and $34.4 million for the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2024 and 2023, respectively.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Total gross profit was $51.9 million for the year ended December 31, 2024 compared to $51.6 million for the year ended December 31, 2023, representing a $0.3 million, or 0.5%, increase. Gross profit as a percentage of total revenues was 22.4% for the year ended December 31, 2024, which remained almost flat, compared to 22.4% for the year ended December 31, 2023.</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standard products business. </w:t>
      </w:r>
      <w:r>
        <w:rPr>
          <w:rFonts w:ascii="Times New Roman" w:cs="Times New Roman" w:eastAsia="Times New Roman" w:hAnsi="Times New Roman"/>
          <w:sz w:val="18"/>
          <w:szCs w:val="18"/>
          <w:color w:val="auto"/>
        </w:rPr>
        <w:t>Gross profit from our standard products business was $53.1 million for the year ended December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 $1.2 million, or 2.3%, increase from $51.9 million for the year ended December 31, 2023. Gross profit as a percentage of net sales for the year ended December 31, 2024 decreased to 24.0% compared to 26.5% for the year ended December 31, 2023.</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Gross profit from our Mixed-Signal Solutions business line was $21.6 million for the year ended December 31, 2024, which represented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$6.7 million, or 44.5%, increase from gross profit of $15.0 million for the year ended December 31, 2023. Gross profit as a percentage of net sales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year ended December 31, 2024 increased to 39.8% compared to 33.7% for the year ended December 31, 2023. The year-over-year increase in gross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profit as a percentage of net sales was primarily attributable to certain inventory reserve related to 12-inch display products in the year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resulting from lower demand for China smartphones.</w:t>
      </w:r>
    </w:p>
    <w:p>
      <w:pPr>
        <w:spacing w:after="0" w:line="20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Gross profit from our Power Analog Solutions business line was $31.5 million for the year ended December 31, 2024, which represented a $5.5 million, or 14.8%, decrease from gross profit of $37.0 million for the year ended December 31, 2023. Gross profit as a percentage of net sales for the year ended December 31, 2024 decreased to 18.9% compared to 24.4% for the year ended December 31, 2023. The year-over-year decrease in gross profit as a percentage of net sales was primarily attributable to an unfavorable product mix and a lower utilization rate of our internal fabrication facility in Gumi as a result of the wind-down of transitional foundry services.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Sales—Standard Products Business by Geographic Region</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report net sales—standard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years ended December 31, 2024 and 2023:</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Net Sales –</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standard</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4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products</w:t>
            </w: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4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86.0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66.8</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3"/>
              </w:rPr>
              <w:t>128.0</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8"/>
              </w:rPr>
              <w:t>119.2</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w:t>
            </w: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6.8</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221.1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8"/>
              </w:rPr>
              <w:t>195.7</w:t>
            </w: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Net sales—standard products business in Korea increased from $66.8 million for the year ended December 31, 2023 to $86.0 million for the year ended December 31, 2024, or by $19.2 million, or 28.7%,</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primarily due to a higher demand for power products such as MOSFETs, including high-end MOSFETs, primarily for smartphones, televisions and home appliance. A higher demand for our Power IC products, primarily for televisions and OLED IT devices, also had a favorable impact on net sales.</w:t>
      </w:r>
    </w:p>
    <w:p>
      <w:pPr>
        <w:spacing w:after="0" w:line="140" w:lineRule="exact"/>
        <w:rPr>
          <w:sz w:val="20"/>
          <w:szCs w:val="20"/>
          <w:color w:val="auto"/>
        </w:rPr>
      </w:pPr>
    </w:p>
    <w:p>
      <w:pPr>
        <w:jc w:val="both"/>
        <w:ind w:left="120" w:firstLine="440"/>
        <w:spacing w:after="0" w:line="281" w:lineRule="auto"/>
        <w:rPr>
          <w:sz w:val="20"/>
          <w:szCs w:val="20"/>
          <w:color w:val="auto"/>
        </w:rPr>
      </w:pPr>
      <w:r>
        <w:rPr>
          <w:rFonts w:ascii="Times New Roman" w:cs="Times New Roman" w:eastAsia="Times New Roman" w:hAnsi="Times New Roman"/>
          <w:sz w:val="17"/>
          <w:szCs w:val="17"/>
          <w:color w:val="auto"/>
        </w:rPr>
        <w:t>Net sales—standard products business in the Asia Pacific increased from $119.2 million for the year ended December 31, 2023 to $128.0 million for the year ended December 31, 2024, or by $8.7 million, or 7.3%, primarily due to a higher demand for power products such as MOSFETs, including high-end MOSFETs, primarily for battery management system and e-motors, which was offset in part by a decrease in revenue from our mobile OLED display driver ICs and auto-LCD display driver ICs. A higher demand for automotive OLED display driver ICs also had a favorable impact on net sales.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were $47.1 million, or 20.3% of total revenues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2024, compared to $48.5 million, or 21.1% of total revenues for the year ended December 31, 2023. The decrease of $1.4 million, or 2.8%, was primarily attributable to a decrease in employee compensation including certain incentives and benefit related accruals, which was offset in part by an increase in professional fees mainly comprised of legal and consulting fees in connection with the establishment of new operating entity in China.</w:t>
      </w:r>
    </w:p>
    <w:p>
      <w:pPr>
        <w:spacing w:after="0" w:line="179" w:lineRule="exact"/>
        <w:rPr>
          <w:sz w:val="20"/>
          <w:szCs w:val="20"/>
          <w:color w:val="auto"/>
        </w:rPr>
      </w:pPr>
    </w:p>
    <w:p>
      <w:pPr>
        <w:ind w:left="120" w:right="2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were $51.2 million, or 22.1% of total revenues for the year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December 31, 2024, which remained almost flat, compared to $51.6 million, or 22.4%, of total revenues for the year ended December 31, 2023.</w:t>
      </w:r>
    </w:p>
    <w:p>
      <w:pPr>
        <w:spacing w:after="0" w:line="132"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and Other Charges. </w:t>
      </w:r>
      <w:r>
        <w:rPr>
          <w:rFonts w:ascii="Times New Roman" w:cs="Times New Roman" w:eastAsia="Times New Roman" w:hAnsi="Times New Roman"/>
          <w:sz w:val="18"/>
          <w:szCs w:val="18"/>
          <w:color w:val="auto"/>
        </w:rPr>
        <w:t>For the year ended December 31, 2024, we recorded $4.6 million of impairment loss primarily related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tangible assets associated with our Display business. During the same period, we also recorded $2.0 million of one-time cumulative financial impact in connection with certain employee benefits. For the year ended December 31, 2023, we recorded $0.8 million of one-time employee incentives.</w:t>
      </w:r>
    </w:p>
    <w:p>
      <w:pPr>
        <w:spacing w:after="0" w:line="171"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Early Termination Charges. </w:t>
      </w:r>
      <w:r>
        <w:rPr>
          <w:rFonts w:ascii="Times New Roman" w:cs="Times New Roman" w:eastAsia="Times New Roman" w:hAnsi="Times New Roman"/>
          <w:sz w:val="18"/>
          <w:szCs w:val="18"/>
          <w:color w:val="auto"/>
        </w:rPr>
        <w:t>For the year ended December 31, 2023, we recorded $8.4 million of termination-related charges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Program that we offered and paid to certain employees during the first half of 2023.</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operating loss of $53.0 million was recorded for the year ended December 31, 2024 compared to operating loss of $57.6 million the year ended December 31, 2023. As discussed above, the decrease in operating loss of $4.6 million resulted primarily from a</w:t>
      </w: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$8.4 million decrease in early termination charges and a $1.4 million decrease in selling, general and administrative expenses, which was offset in part by a $5.9 million increase in impairment and other charges.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7" w:lineRule="exact"/>
        <w:rPr>
          <w:sz w:val="20"/>
          <w:szCs w:val="20"/>
          <w:color w:val="auto"/>
        </w:rPr>
      </w:pPr>
    </w:p>
    <w:p>
      <w:pPr>
        <w:ind w:left="120" w:right="8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was $8.8 million and $10.4 million for the years ended December 31, 2024 and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55" w:lineRule="exact"/>
        <w:rPr>
          <w:sz w:val="20"/>
          <w:szCs w:val="20"/>
          <w:color w:val="auto"/>
        </w:rPr>
      </w:pPr>
    </w:p>
    <w:p>
      <w:pPr>
        <w:ind w:left="120" w:right="8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$2.0 million and $0.8 million for the years ended December 31, 2024 and December 31,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increase of $1.1 million, or 137.8%, was primarily due to the Term Loan that we executed in March, 2024.</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82"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 (Loss), Net. </w:t>
      </w:r>
      <w:r>
        <w:rPr>
          <w:rFonts w:ascii="Times New Roman" w:cs="Times New Roman" w:eastAsia="Times New Roman" w:hAnsi="Times New Roman"/>
          <w:sz w:val="18"/>
          <w:szCs w:val="18"/>
          <w:color w:val="auto"/>
        </w:rPr>
        <w:t>Net foreign currency loss for the year ended December 31, 2024 was $16.9 million compared to net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gain of $0.5 million for the year ended December 31, 2023. The net foreign currency loss for the year ended December 31, 2024 was due to the depreciation in value of the Korean won relative to the U.S. dollar during the period.</w:t>
      </w:r>
    </w:p>
    <w:p>
      <w:pPr>
        <w:spacing w:after="0" w:line="17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substantial portion of our net foreign currency gain or loss is non-cash translation gain or loss associated with the intercompany long-term loans to one of our Korean subsidiaries, which is denominated in U.S. dollars, and is affected by changes in the exchange rate between the Korean won and the U.S. dollar. As of December 31, 2024 and 2023, the outstanding intercompany loan balance including accrued interest between our Korean subsidiary, Magnachip Semiconductor, Ltd., and our Dutch subsidiary were $257.7 million and $285.1 million, respectively. Foreign currency translation gain or loss from intercompany balances were included in determining our consolidated net income since the intercompany balances were not considered long-term investments in nature because management intended to settle these intercompany balances at their respective maturity 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Net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and our effective tax rate is affected by changes in the mix of earnings between countries with differing tax rates.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recorded $8.3 million net income tax benefit for the year ended December 31, 2024, which is primarily attributable to income tax benefit from one of our Korean subsidiaries due to its net operating loss.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recorded $10.9 million income tax benefit for the year ended December 31, 2023, which was primarily attributable to income tax benefit of $13.0 million from our then primary operating entity in Korea, due mainly to its net operating loss, and this benefit was partially offset by income tax expense of $3.0 million from our Dutch subsidiary. The Dutch subsidiary’s income tax expense was mainly attributable to the foreign currency gains and withholding tax related to the loans granted to our Korean subsidiary by our Dutch subsidiary.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foregoing, net loss of $54.3 million was recorded for the year ended December 31, 2024 compared to net loss of $36.6 million for the year ended December 31, 2023. As discussed above, the $17.7 million increase in net loss was primarily attributable to a $17.4 million increase in net foreign currency loss, a $2.6 million decrease in income tax benefit, a $1.7 million decrease in interest income and a $1.1 million increase in interest expense, which was offset in part by a $4.6 million improvement in operating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December 31, 2024, we did not have any accounts payable on extended terms or payment deferment with our vendors.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As of June 29, 2018, our Korean subsidiary, Magnachip Semiconductor, Ltd. (“MSK”), entered into an arrangement whereby it (i) acquired a water treatment facility from SK hynix for $4.2 million to support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fabrication facility in Gumi, Korea, and (ii) subsequently sold the water treatment facility for $4.2 million to a third party management company that we engaged to run the facility for a 10-year term beginning July 1, 2018. As of December 31, 2024, the outstanding obligation of this arrangement is approximately $13.9 million for remaining service term through 2028.</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March 26, 2024, MSK executed a Standard Credit Agreement (together with its General Terms and Conditions, the “Loan Agreement”) with Korea Development Bank (“KDB”). The Loan Agreement provides for a working capital term loan (the “Term Loan”) of KRW 40,000,000,000 (approximately $27.2 million based on the KRW/USD exchange rate of 1,470.0:1 as of December 31, 2024 as quoted by KEB Hana Bank). The Term Loan requires monthly interest-only payments and matures on March 26, 2027, at which time the full principal balance will be due and payable.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2024, cash and cash equivalents held by our Korean subsidiaries were $128.6 million, which represents 93% of our total cash and cash equivalents on a consolidated basis. We currently believe that we will have sufficient cash reserves from cash on hand and expected cash from operations to fund our operations as well as capital expenditures for the next twelve months and the foreseeable future.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2024 compared to year ended December 31, 2023</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our cash and cash equivalents balance was $138.6 million, a $19.5 million decrease compared to $158.1 million as of December 31, 2023.</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Cash outflow used in operating activities totaled $6.1 million for the year ended December 31, 2024, compared to $3.0 million of cash outflow used in operating activities for the year ended December 31, 2023. The net operating cash outflow for the year ended December 31, 2024 reflects our net loss of $54.3 million, as adjusted favorably by $61.1 million, which mainly consisted of depreciation and amortization, provision for severance benefits, provision for inventory reserves, net foreign currency loss and stock-based compensation, and net unfavorable impact of $12.9 million from changes of operating assets and liabilities.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working capital balance as of December 31, 2024 was $173.0 million compared to $198.5 million as of December 31, 2023. The decrease in working capital balance was mainly attributable to a $19.5 million decrease in cash and cash equivalents, primarily as a result of $11.8 million of stock repurchases under our stock repurchase program.</w:t>
      </w:r>
    </w:p>
    <w:p>
      <w:pPr>
        <w:spacing w:after="0" w:line="176"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Cash outflow used in investing activities totaled $11.7 million for the year ended December 31, 2024, compared to a $7.7 million of cash outflow used in investing activities for the year ended December 31, 2023. The $4.0 million increase in cash outflow was primarily attributable to $4.6 million increase in purchase of property, plant and equipment and a $3.0 million net increase in hedge collateral, which was offset in part by a $3.7 million net decrease in guarantee deposits.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inflow provided by financing activities totaled $16.6 million for the year ended December 31, 2024, compared to $52.3 million of cash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outflow used in financing activities for the year ended December 31, 2023. The financing cash inflow for the year ended December 31, 2024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primarily attributable to the $30.1 million of proceeds received from the new Term Loan with KDB, which was offset in part by a payment of</w:t>
      </w:r>
    </w:p>
    <w:p>
      <w:pPr>
        <w:spacing w:after="0" w:line="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$12.3 million for the repurchases of our common stock pursuant to our stock repurchase program and a payment of $0.6 million for the repurchase of our common stock to satisfy tax withholding obligations in connection with the vesting of restricted stock units. The financing cash outflow for the year ended December 31, 2023 was primarily attributable to a payment of $51.4 million for the repurchases of our common stock pursuant to our stock repurchase programs and a payment of $0.4 million for the repurchase of our common stock to satisfy tax withholding obligations in connection with the vesting of restricted stock units.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routinely make capital expenditures for fabrication facility maintenance, enhancement of our existing facility and reinforcement of our global research and development capability. For the year ended December 31, 2024, capital expenditures for property, plant and equipment were $11.6 million, a $4.6 million, or 66.8%, increase from $7.0 million for the year ended December 31, 2023. The capital expenditures for the year ended December 31, 2024 also included expenditures related to setting up our newly established operating entity in China.</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Looking ahead, we expect the capital expenditures for the year ending December 31, 2025 to be in the range of $26–28 million, which includes approximately $14-15 million for new investments into our fabrication facility in Gumi, Korea. The capital expenditures for 2025 and into 2026 will be funded through the $26.5 million Equipment Financing Credit Agreement, which is specifically designated for equipment purchases or upgrades in our Gumi fabrication. These new investments in Gumi are expected to drive development of new generation portfolio, and upgrade new tools to optimize product mix and improve gross profit margin in the near future and the longer-term.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gross amount of inventory reserves charged to cost of sales totaled $7.0 million and $9.4 million in the fiscal years ended December 31, 2024 and 2023, respectively. The new cost base related to the sale of inventory that was previously written down totaled $7.6 million and $5.5 million in the fiscal years ended December 31, 2024 and 2023,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U.S. and foreign jurisdictions. Significant judgments and estimates are required in evaluating our uncertain tax positions and determining our provision for income taxes.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Management’s judgment is required in determining the provision for income taxes, deferred tax assets and liabilities, and valuation allowance recorded against our net deferred tax assets. We record a valuation allowance when it is determined that it is more likely than not that a deferred tax asset will not be realized. Our assessment considers the recognition of deferred tax assets on a jurisdictional basis. Accordingly, we consider all available positive and negative evidence, including projected future taxable income, tax planning strategies, and the expected timing of the reversals of existing temporary differences on a jurisdictional basis. Based on the assessment, we have recorded a full valuation allowance against one of Korean operating entity as well as Chinese, Dutch and Luxembourg entities. To the extent that we determine the deferred tax assets are realizable on a more likely than not basis and an adjustment is needed, an adjustment will be recorded in the fiscal period the determination is made.</w:t>
      </w:r>
    </w:p>
    <w:p>
      <w:pPr>
        <w:spacing w:after="0" w:line="18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recognize and measure uncertain tax positions taken or expected to be taken in a tax return utilizing a two-step process. In the first step, recognition, we determine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w:t>
      </w:r>
    </w:p>
    <w:p>
      <w:pPr>
        <w:spacing w:after="0" w:line="183"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provisions for income taxes in the period in which such determination is made. The provision for income taxes includes the effect of reserve provisions and changes to reserves that are considered appropriate, as well as the related net interest and penalties.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7A. [Reserved]</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40"/>
          </w:cols>
          <w:pgMar w:left="320" w:top="482" w:right="4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07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80" w:type="dxa"/>
            <w:vAlign w:val="bottom"/>
          </w:tcPr>
          <w:p>
            <w:pPr>
              <w:spacing w:after="0"/>
              <w:rPr>
                <w:sz w:val="17"/>
                <w:szCs w:val="17"/>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47"/>
        </w:trPr>
        <w:tc>
          <w:tcPr>
            <w:tcW w:w="120" w:type="dxa"/>
            <w:vAlign w:val="bottom"/>
          </w:tcPr>
          <w:p>
            <w:pPr>
              <w:spacing w:after="0"/>
              <w:rPr>
                <w:sz w:val="24"/>
                <w:szCs w:val="24"/>
                <w:color w:val="auto"/>
              </w:rPr>
            </w:pPr>
          </w:p>
        </w:tc>
        <w:tc>
          <w:tcPr>
            <w:tcW w:w="106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80" w:type="dxa"/>
            <w:vAlign w:val="bottom"/>
          </w:tcPr>
          <w:p>
            <w:pPr>
              <w:spacing w:after="0"/>
              <w:rPr>
                <w:sz w:val="24"/>
                <w:szCs w:val="24"/>
                <w:color w:val="auto"/>
              </w:rPr>
            </w:pPr>
          </w:p>
        </w:tc>
      </w:tr>
      <w:tr>
        <w:trPr>
          <w:trHeight w:val="648"/>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20" w:type="dxa"/>
            <w:vAlign w:val="bottom"/>
            <w:gridSpan w:val="8"/>
          </w:tcPr>
          <w:p>
            <w:pPr>
              <w:ind w:left="19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5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1103)</w:t>
            </w:r>
          </w:p>
        </w:tc>
        <w:tc>
          <w:tcPr>
            <w:tcW w:w="5040" w:type="dxa"/>
            <w:vAlign w:val="bottom"/>
            <w:gridSpan w:val="7"/>
          </w:tcPr>
          <w:p>
            <w:pPr>
              <w:spacing w:after="0"/>
              <w:rPr>
                <w:sz w:val="24"/>
                <w:szCs w:val="24"/>
                <w:color w:val="auto"/>
              </w:rPr>
            </w:pP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r>
      <w:tr>
        <w:trPr>
          <w:trHeight w:val="196"/>
        </w:trPr>
        <w:tc>
          <w:tcPr>
            <w:tcW w:w="120" w:type="dxa"/>
            <w:vAlign w:val="bottom"/>
          </w:tcPr>
          <w:p>
            <w:pPr>
              <w:spacing w:after="0"/>
              <w:rPr>
                <w:sz w:val="17"/>
                <w:szCs w:val="17"/>
                <w:color w:val="auto"/>
              </w:rPr>
            </w:pPr>
          </w:p>
        </w:tc>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Magnachip Semiconductor Corporation Consolidated Balance Sheets as of December 31, 2024 and 2023</w:t>
            </w:r>
          </w:p>
        </w:tc>
        <w:tc>
          <w:tcPr>
            <w:tcW w:w="4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Consolidated Statements of Operations for the Years Ended December 31, 2024 and 2023</w:t>
            </w:r>
          </w:p>
        </w:tc>
        <w:tc>
          <w:tcPr>
            <w:tcW w:w="1300" w:type="dxa"/>
            <w:vAlign w:val="bottom"/>
            <w:gridSpan w:val="4"/>
          </w:tcPr>
          <w:p>
            <w:pPr>
              <w:spacing w:after="0"/>
              <w:rPr>
                <w:sz w:val="17"/>
                <w:szCs w:val="17"/>
                <w:color w:val="auto"/>
              </w:rPr>
            </w:pPr>
          </w:p>
        </w:tc>
        <w:tc>
          <w:tcPr>
            <w:tcW w:w="4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20" w:type="dxa"/>
            <w:vAlign w:val="bottom"/>
          </w:tcPr>
          <w:p>
            <w:pPr>
              <w:spacing w:after="0"/>
              <w:rPr>
                <w:sz w:val="17"/>
                <w:szCs w:val="17"/>
                <w:color w:val="auto"/>
              </w:rPr>
            </w:pPr>
          </w:p>
        </w:tc>
        <w:tc>
          <w:tcPr>
            <w:tcW w:w="100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Consolidated Statements of Comprehensive Loss for the Years Ended December 31, 2024 and 2023</w:t>
            </w:r>
          </w:p>
        </w:tc>
        <w:tc>
          <w:tcPr>
            <w:tcW w:w="580" w:type="dxa"/>
            <w:vAlign w:val="bottom"/>
            <w:gridSpan w:val="2"/>
          </w:tcPr>
          <w:p>
            <w:pPr>
              <w:spacing w:after="0"/>
              <w:rPr>
                <w:sz w:val="17"/>
                <w:szCs w:val="17"/>
                <w:color w:val="auto"/>
              </w:rPr>
            </w:pPr>
          </w:p>
        </w:tc>
        <w:tc>
          <w:tcPr>
            <w:tcW w:w="4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0" w:type="dxa"/>
            <w:vAlign w:val="bottom"/>
          </w:tcPr>
          <w:p>
            <w:pPr>
              <w:spacing w:after="0"/>
              <w:rPr>
                <w:sz w:val="17"/>
                <w:szCs w:val="17"/>
                <w:color w:val="auto"/>
              </w:rPr>
            </w:pPr>
          </w:p>
        </w:tc>
        <w:tc>
          <w:tcPr>
            <w:tcW w:w="105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Magnachip Semiconductor Corporation Consolidated Statements of Changes in Stockholders’ Equity for the Years Ended December 31, 2024 and</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6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2023</w:t>
            </w:r>
          </w:p>
        </w:tc>
        <w:tc>
          <w:tcPr>
            <w:tcW w:w="7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Magnachip Semiconductor Corporation Consolidated Statements of Cash Flows for the Years Ended December 31, 2024 and 2023</w:t>
            </w:r>
          </w:p>
        </w:tc>
        <w:tc>
          <w:tcPr>
            <w:tcW w:w="4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94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Magnachip Semiconductor Corporation Notes to Consolidated Financial Statements</w:t>
            </w:r>
          </w:p>
        </w:tc>
        <w:tc>
          <w:tcPr>
            <w:tcW w:w="1260" w:type="dxa"/>
            <w:vAlign w:val="bottom"/>
            <w:gridSpan w:val="3"/>
          </w:tcPr>
          <w:p>
            <w:pPr>
              <w:spacing w:after="0"/>
              <w:rPr>
                <w:sz w:val="17"/>
                <w:szCs w:val="17"/>
                <w:color w:val="auto"/>
              </w:rPr>
            </w:pPr>
          </w:p>
        </w:tc>
        <w:tc>
          <w:tcPr>
            <w:tcW w:w="4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385"/>
        </w:trPr>
        <w:tc>
          <w:tcPr>
            <w:tcW w:w="120" w:type="dxa"/>
            <w:vAlign w:val="bottom"/>
          </w:tcPr>
          <w:p>
            <w:pPr>
              <w:spacing w:after="0"/>
              <w:rPr>
                <w:sz w:val="24"/>
                <w:szCs w:val="24"/>
                <w:color w:val="auto"/>
              </w:rPr>
            </w:pPr>
          </w:p>
        </w:tc>
        <w:tc>
          <w:tcPr>
            <w:tcW w:w="5620" w:type="dxa"/>
            <w:vAlign w:val="bottom"/>
            <w:tcBorders>
              <w:top w:val="single" w:sz="8" w:color="0000EE"/>
            </w:tcBorders>
            <w:gridSpan w:val="4"/>
          </w:tcPr>
          <w:p>
            <w:pPr>
              <w:ind w:left="5420"/>
              <w:spacing w:after="0"/>
              <w:rPr>
                <w:sz w:val="20"/>
                <w:szCs w:val="20"/>
                <w:color w:val="auto"/>
              </w:rPr>
            </w:pPr>
            <w:r>
              <w:rPr>
                <w:rFonts w:ascii="Times New Roman" w:cs="Times New Roman" w:eastAsia="Times New Roman" w:hAnsi="Times New Roman"/>
                <w:sz w:val="18"/>
                <w:szCs w:val="18"/>
                <w:color w:val="auto"/>
                <w:w w:val="99"/>
              </w:rPr>
              <w:t>63</w:t>
            </w:r>
          </w:p>
        </w:tc>
        <w:tc>
          <w:tcPr>
            <w:tcW w:w="42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08"/>
        </w:trPr>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r>
        <w:trPr>
          <w:trHeight w:val="34"/>
        </w:trPr>
        <w:tc>
          <w:tcPr>
            <w:tcW w:w="120" w:type="dxa"/>
            <w:vAlign w:val="bottom"/>
            <w:tcBorders>
              <w:bottom w:val="single" w:sz="8" w:color="EEEEEE"/>
            </w:tcBorders>
          </w:tcPr>
          <w:p>
            <w:pPr>
              <w:spacing w:after="0"/>
              <w:rPr>
                <w:sz w:val="2"/>
                <w:szCs w:val="2"/>
                <w:color w:val="auto"/>
              </w:rPr>
            </w:pPr>
          </w:p>
        </w:tc>
        <w:tc>
          <w:tcPr>
            <w:tcW w:w="180" w:type="dxa"/>
            <w:vAlign w:val="bottom"/>
            <w:tcBorders>
              <w:bottom w:val="single" w:sz="8" w:color="EEEEEE"/>
            </w:tcBorders>
          </w:tcPr>
          <w:p>
            <w:pPr>
              <w:spacing w:after="0"/>
              <w:rPr>
                <w:sz w:val="2"/>
                <w:szCs w:val="2"/>
                <w:color w:val="auto"/>
              </w:rPr>
            </w:pPr>
          </w:p>
        </w:tc>
        <w:tc>
          <w:tcPr>
            <w:tcW w:w="360" w:type="dxa"/>
            <w:vAlign w:val="bottom"/>
            <w:tcBorders>
              <w:bottom w:val="single" w:sz="8" w:color="EEEEEE"/>
            </w:tcBorders>
          </w:tcPr>
          <w:p>
            <w:pPr>
              <w:spacing w:after="0"/>
              <w:rPr>
                <w:sz w:val="2"/>
                <w:szCs w:val="2"/>
                <w:color w:val="auto"/>
              </w:rPr>
            </w:pPr>
          </w:p>
        </w:tc>
        <w:tc>
          <w:tcPr>
            <w:tcW w:w="700" w:type="dxa"/>
            <w:vAlign w:val="bottom"/>
            <w:tcBorders>
              <w:bottom w:val="single" w:sz="8" w:color="EEEEEE"/>
            </w:tcBorders>
          </w:tcPr>
          <w:p>
            <w:pPr>
              <w:spacing w:after="0"/>
              <w:rPr>
                <w:sz w:val="2"/>
                <w:szCs w:val="2"/>
                <w:color w:val="auto"/>
              </w:rPr>
            </w:pPr>
          </w:p>
        </w:tc>
        <w:tc>
          <w:tcPr>
            <w:tcW w:w="4380" w:type="dxa"/>
            <w:vAlign w:val="bottom"/>
            <w:tcBorders>
              <w:bottom w:val="single" w:sz="8" w:color="EEEEEE"/>
            </w:tcBorders>
          </w:tcPr>
          <w:p>
            <w:pPr>
              <w:spacing w:after="0"/>
              <w:rPr>
                <w:sz w:val="2"/>
                <w:szCs w:val="2"/>
                <w:color w:val="auto"/>
              </w:rPr>
            </w:pPr>
          </w:p>
        </w:tc>
        <w:tc>
          <w:tcPr>
            <w:tcW w:w="420" w:type="dxa"/>
            <w:vAlign w:val="bottom"/>
            <w:tcBorders>
              <w:bottom w:val="single" w:sz="8" w:color="EEEEEE"/>
            </w:tcBorders>
          </w:tcPr>
          <w:p>
            <w:pPr>
              <w:spacing w:after="0"/>
              <w:rPr>
                <w:sz w:val="2"/>
                <w:szCs w:val="2"/>
                <w:color w:val="auto"/>
              </w:rPr>
            </w:pPr>
          </w:p>
        </w:tc>
        <w:tc>
          <w:tcPr>
            <w:tcW w:w="1500" w:type="dxa"/>
            <w:vAlign w:val="bottom"/>
            <w:tcBorders>
              <w:bottom w:val="single" w:sz="8" w:color="EEEEEE"/>
            </w:tcBorders>
          </w:tcPr>
          <w:p>
            <w:pPr>
              <w:spacing w:after="0"/>
              <w:rPr>
                <w:sz w:val="2"/>
                <w:szCs w:val="2"/>
                <w:color w:val="auto"/>
              </w:rPr>
            </w:pPr>
          </w:p>
        </w:tc>
        <w:tc>
          <w:tcPr>
            <w:tcW w:w="1820" w:type="dxa"/>
            <w:vAlign w:val="bottom"/>
            <w:tcBorders>
              <w:bottom w:val="single" w:sz="8" w:color="EEEEEE"/>
            </w:tcBorders>
          </w:tcPr>
          <w:p>
            <w:pPr>
              <w:spacing w:after="0"/>
              <w:rPr>
                <w:sz w:val="2"/>
                <w:szCs w:val="2"/>
                <w:color w:val="auto"/>
              </w:rPr>
            </w:pPr>
          </w:p>
        </w:tc>
        <w:tc>
          <w:tcPr>
            <w:tcW w:w="40" w:type="dxa"/>
            <w:vAlign w:val="bottom"/>
            <w:tcBorders>
              <w:bottom w:val="single" w:sz="8" w:color="EEEEEE"/>
            </w:tcBorders>
          </w:tcPr>
          <w:p>
            <w:pPr>
              <w:spacing w:after="0"/>
              <w:rPr>
                <w:sz w:val="2"/>
                <w:szCs w:val="2"/>
                <w:color w:val="auto"/>
              </w:rPr>
            </w:pPr>
          </w:p>
        </w:tc>
        <w:tc>
          <w:tcPr>
            <w:tcW w:w="680" w:type="dxa"/>
            <w:vAlign w:val="bottom"/>
            <w:tcBorders>
              <w:bottom w:val="single" w:sz="8" w:color="EEEEEE"/>
            </w:tcBorders>
          </w:tcPr>
          <w:p>
            <w:pPr>
              <w:spacing w:after="0"/>
              <w:rPr>
                <w:sz w:val="2"/>
                <w:szCs w:val="2"/>
                <w:color w:val="auto"/>
              </w:rPr>
            </w:pPr>
          </w:p>
        </w:tc>
        <w:tc>
          <w:tcPr>
            <w:tcW w:w="46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480" w:type="dxa"/>
            <w:vAlign w:val="bottom"/>
            <w:tcBorders>
              <w:bottom w:val="single" w:sz="8" w:color="EEEEE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-55245</wp:posOffset>
            </wp:positionV>
            <wp:extent cx="33655"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3429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68580"/>
                    </a:xfrm>
                    <a:prstGeom prst="rect">
                      <a:avLst/>
                    </a:prstGeom>
                    <a:noFill/>
                  </pic:spPr>
                </pic:pic>
              </a:graphicData>
            </a:graphic>
          </wp:anchor>
        </w:drawing>
      </w:r>
    </w:p>
    <w:p>
      <w:pPr>
        <w:spacing w:after="0" w:line="6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Magnachip Semiconductor Corporation and its subsidiaries (the “Company”) as of December 31, 2024 and 2023, and the related consolidated statements of operations, comprehensive loss, changes in stockholders’ equity and cash flows for each of the two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two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1900" w:h="16838" w:orient="portrait"/>
          <w:cols w:equalWidth="0" w:num="1">
            <w:col w:w="11260"/>
          </w:cols>
          <w:pgMar w:left="320" w:top="473" w:right="31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473" w:right="31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Definition and Limitations of Internal Control over Financial Reporting</w:t>
      </w:r>
    </w:p>
    <w:p>
      <w:pPr>
        <w:spacing w:after="0" w:line="12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Realizability of Deferred Tax Assets</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As described in Notes 1 and 17 to the consolidated financial statements, the Company has net deferred tax assets of $52.8 million, including a valuation allowance of $81.7 million, as of December 31, 2024. Management determines deferred tax assets and liabilities based upon the difference between the financial statement carrying amounts and the tax basis of assets and liabilities using enacted tax rates in effect in the years in which the differences are expected to reverse. Valuation allowances are established when it is necessary to reduce deferred tax assets to the amount expected to be realized. The evaluation of the recoverability of the deferred tax asset and the need for a valuation allowance requires management to weigh all positive and negative evidence to reach a conclusion that it is more likely than not that all or some portion of the deferred tax asset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realizability of deferred tax assets is a critical audit matter are (i) the significant judgment by management when assessing the available positive and negative evidence surrounding the realizability of deferred tax assets, including the application of tax law to the projected tax calculation and a high degree of estimation uncertainty relative to the estimates of future taxable income, (ii) a high degree of auditor judgment, subjectivity and effort in performing procedures and evaluating audit evidence related to management’s estimates of future taxable income, (iii) auditor judgment in assessing management’s application of tax law to the projected tax calculation, and (iv) the audit effort involved the use of professionals with specialized skill and knowledge.</w:t>
      </w:r>
    </w:p>
    <w:p>
      <w:pPr>
        <w:spacing w:after="0" w:line="18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93" w:right="459" w:bottom="1440" w:gutter="0" w:footer="0" w:header="0"/>
        </w:sectPr>
      </w:pPr>
    </w:p>
    <w:bookmarkStart w:id="68" w:name="page69"/>
    <w:bookmarkEnd w:id="6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effectiveness of controls relating to the realizability of deferred tax assets. These procedures also included, among others, (i) evaluating the appropriateness of management’s calculation used, (ii) testing the completeness, accuracy and relevance of the underlying data used in the calculation, and (iii) evaluating the reasonableness of significant assumptions used in the calculation of future taxable income. Evaluating management’s assumptions related to estimates of future taxable income involved evaluating whether the assumptions used were reasonable considering (i) current and past profitability, (ii) the consistency with external market and industry data, and (iii) whether these assumptions were consistent with evidence obtained in other areas of the audit. Professionals with specialized skill and knowledge were used to assist in evaluating management’s assumptions and calculation for assessing the realizability of deferred tax assets, including the mechanics and application of tax law to the projected tax calculation.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Samil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Seoul, Korea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440" w:top="297" w:right="49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gridSpan w:val="5"/>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except share data)</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138,610</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receivables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Hedge collateral (Note 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assets (Note 1)</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219,229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81,463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Long-term prepaid expenses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(Note 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52,889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379,316</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21,642</w:t>
            </w:r>
          </w:p>
        </w:tc>
        <w:tc>
          <w:tcPr>
            <w:tcW w:w="1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accounts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expenses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income taxes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current liabilities (Note 1)</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46,268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borrowing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27,211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Accrued severance benefits,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9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 $0.01 par value, 150,000,000 shares authorized, 57,498,507 shares issued and 36,912,118 outstanding at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9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2024 and 56,971,394 shares issued and 38,852,742 outstanding at December 31, 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279,423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244,576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Treasury stock, 20,586,389 shares at December 31, 2024 and 18,118,652 shares at December 31, 2023, respectively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(225,883)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(213,454)</w:t>
            </w:r>
          </w:p>
        </w:tc>
        <w:tc>
          <w:tcPr>
            <w:tcW w:w="0" w:type="dxa"/>
            <w:vAlign w:val="bottom"/>
          </w:tcPr>
          <w:p>
            <w:pPr>
              <w:spacing w:after="0"/>
              <w:rPr>
                <w:sz w:val="1"/>
                <w:szCs w:val="1"/>
                <w:color w:val="auto"/>
              </w:rPr>
            </w:pPr>
          </w:p>
        </w:tc>
      </w:tr>
      <w:tr>
        <w:trPr>
          <w:trHeight w:val="210"/>
        </w:trPr>
        <w:tc>
          <w:tcPr>
            <w:tcW w:w="8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(21,893)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(14,657)</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276,797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9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379,316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440" w:top="293" w:right="43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4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sales—standard products business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221,140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195,690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sales—transitional Fab 3 foundry services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10,597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34,361</w:t>
            </w:r>
          </w:p>
        </w:tc>
        <w:tc>
          <w:tcPr>
            <w:tcW w:w="0" w:type="dxa"/>
            <w:vAlign w:val="bottom"/>
          </w:tcPr>
          <w:p>
            <w:pPr>
              <w:spacing w:after="0"/>
              <w:rPr>
                <w:sz w:val="1"/>
                <w:szCs w:val="1"/>
                <w:color w:val="auto"/>
              </w:rPr>
            </w:pPr>
          </w:p>
        </w:tc>
      </w:tr>
      <w:tr>
        <w:trPr>
          <w:trHeight w:val="223"/>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231,737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sales—standard products business</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168,008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143,762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sales—transitional Fab 3 foundry services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34,649</w:t>
            </w:r>
          </w:p>
        </w:tc>
        <w:tc>
          <w:tcPr>
            <w:tcW w:w="0" w:type="dxa"/>
            <w:vAlign w:val="bottom"/>
          </w:tcPr>
          <w:p>
            <w:pPr>
              <w:spacing w:after="0"/>
              <w:rPr>
                <w:sz w:val="1"/>
                <w:szCs w:val="1"/>
                <w:color w:val="auto"/>
              </w:rPr>
            </w:pPr>
          </w:p>
        </w:tc>
      </w:tr>
      <w:tr>
        <w:trPr>
          <w:trHeight w:val="230"/>
        </w:trPr>
        <w:tc>
          <w:tcPr>
            <w:tcW w:w="8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51,915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51,640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47,098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48,470</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51,194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51,563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109,284</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(53,031)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10,435</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(62,643)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(47,559)</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net</w:t>
            </w: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(10,937)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(54,308)</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(36,622)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37,774,280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41,013,069</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37,774,280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41,013,069</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93" w:right="43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42"/>
        </w:trPr>
        <w:tc>
          <w:tcPr>
            <w:tcW w:w="8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120" w:type="dxa"/>
            <w:vAlign w:val="bottom"/>
          </w:tcPr>
          <w:p>
            <w:pPr>
              <w:spacing w:after="0"/>
              <w:rPr>
                <w:sz w:val="12"/>
                <w:szCs w:val="12"/>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(54,308)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(36,622)</w:t>
            </w:r>
          </w:p>
        </w:tc>
      </w:tr>
      <w:tr>
        <w:trPr>
          <w:trHeight w:val="223"/>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r>
      <w:tr>
        <w:trPr>
          <w:trHeight w:val="216"/>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(2,525)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16"/>
        </w:trPr>
        <w:tc>
          <w:tcPr>
            <w:tcW w:w="8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Reclassification adjustment for loss on derivatives included in net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4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3,452</w:t>
            </w:r>
          </w:p>
        </w:tc>
      </w:tr>
      <w:tr>
        <w:trPr>
          <w:trHeight w:val="27"/>
        </w:trPr>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(7,236)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23"/>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(61,544</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93" w:right="43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80" w:type="dxa"/>
            <w:vAlign w:val="bottom"/>
            <w:tcBorders>
              <w:bottom w:val="single" w:sz="8" w:color="auto"/>
            </w:tcBorders>
            <w:gridSpan w:val="4"/>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of U.S. dollars, except share data)</w:t>
            </w:r>
          </w:p>
        </w:tc>
        <w:tc>
          <w:tcPr>
            <w:tcW w:w="2260" w:type="dxa"/>
            <w:vAlign w:val="bottom"/>
          </w:tcPr>
          <w:p>
            <w:pPr>
              <w:spacing w:after="0"/>
              <w:rPr>
                <w:sz w:val="10"/>
                <w:szCs w:val="10"/>
                <w:color w:val="auto"/>
              </w:rPr>
            </w:pPr>
          </w:p>
        </w:tc>
        <w:tc>
          <w:tcPr>
            <w:tcW w:w="90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0" w:type="dxa"/>
            <w:vAlign w:val="bottom"/>
            <w:gridSpan w:val="2"/>
          </w:tcPr>
          <w:p>
            <w:pPr>
              <w:jc w:val="right"/>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94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7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800" w:type="dxa"/>
            <w:vAlign w:val="bottom"/>
            <w:gridSpan w:val="2"/>
          </w:tcPr>
          <w:p>
            <w:pPr>
              <w:jc w:val="right"/>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4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22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43,824,575</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4"/>
                <w:szCs w:val="14"/>
                <w:color w:val="auto"/>
                <w:w w:val="95"/>
              </w:rPr>
              <w:t>564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266,058</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99"/>
              </w:rPr>
              <w:t>$ 335,506</w:t>
            </w: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95"/>
              </w:rPr>
              <w:t>$ (161,422</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(12,553)</w:t>
            </w: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428,153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w w:val="95"/>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7,223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298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Settlement of restricted stock units</w:t>
            </w:r>
          </w:p>
        </w:tc>
        <w:tc>
          <w:tcPr>
            <w:tcW w:w="29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534,945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3160" w:type="dxa"/>
            <w:vAlign w:val="bottom"/>
            <w:gridSpan w:val="4"/>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(5,510,778)</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(52,032)</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(52,032)</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loss, net</w:t>
            </w:r>
          </w:p>
        </w:tc>
        <w:tc>
          <w:tcPr>
            <w:tcW w:w="226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(2,104)</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(36,622)</w:t>
            </w:r>
          </w:p>
        </w:tc>
        <w:tc>
          <w:tcPr>
            <w:tcW w:w="8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(36,622)</w:t>
            </w:r>
          </w:p>
        </w:tc>
        <w:tc>
          <w:tcPr>
            <w:tcW w:w="0" w:type="dxa"/>
            <w:vAlign w:val="bottom"/>
          </w:tcPr>
          <w:p>
            <w:pPr>
              <w:spacing w:after="0"/>
              <w:rPr>
                <w:sz w:val="1"/>
                <w:szCs w:val="1"/>
                <w:color w:val="auto"/>
              </w:rPr>
            </w:pPr>
          </w:p>
        </w:tc>
      </w:tr>
      <w:tr>
        <w:trPr>
          <w:trHeight w:val="156"/>
        </w:trPr>
        <w:tc>
          <w:tcPr>
            <w:tcW w:w="2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22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38,852,742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95"/>
              </w:rPr>
              <w:t>569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273,256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$ 298,884</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 (213,454</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(14,657)</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344,598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shd w:val="clear" w:color="auto" w:fill="CCEEFF"/>
          </w:tcPr>
          <w:p>
            <w:pPr>
              <w:ind w:left="280"/>
              <w:spacing w:after="0" w:line="143" w:lineRule="exact"/>
              <w:rPr>
                <w:sz w:val="20"/>
                <w:szCs w:val="20"/>
                <w:color w:val="auto"/>
              </w:rPr>
            </w:pPr>
            <w:r>
              <w:rPr>
                <w:rFonts w:ascii="Times New Roman" w:cs="Times New Roman" w:eastAsia="Times New Roman" w:hAnsi="Times New Roman"/>
                <w:sz w:val="14"/>
                <w:szCs w:val="14"/>
                <w:color w:val="auto"/>
              </w:rPr>
              <w:t>Stock-based compensation</w:t>
            </w: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6,214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99"/>
              <w:spacing w:after="0" w:line="143"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3"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00"/>
              <w:spacing w:after="0" w:line="143" w:lineRule="exact"/>
              <w:rPr>
                <w:sz w:val="20"/>
                <w:szCs w:val="20"/>
                <w:color w:val="auto"/>
              </w:rPr>
            </w:pPr>
            <w:r>
              <w:rPr>
                <w:rFonts w:ascii="Times New Roman" w:cs="Times New Roman" w:eastAsia="Times New Roman" w:hAnsi="Times New Roman"/>
                <w:sz w:val="14"/>
                <w:szCs w:val="14"/>
                <w:color w:val="auto"/>
              </w:rPr>
              <w:t>6,214</w:t>
            </w:r>
          </w:p>
        </w:tc>
        <w:tc>
          <w:tcPr>
            <w:tcW w:w="0" w:type="dxa"/>
            <w:vAlign w:val="bottom"/>
          </w:tcPr>
          <w:p>
            <w:pPr>
              <w:spacing w:after="0"/>
              <w:rPr>
                <w:sz w:val="1"/>
                <w:szCs w:val="1"/>
                <w:color w:val="auto"/>
              </w:rPr>
            </w:pPr>
          </w:p>
        </w:tc>
      </w:tr>
      <w:tr>
        <w:trPr>
          <w:trHeight w:val="148"/>
        </w:trPr>
        <w:tc>
          <w:tcPr>
            <w:tcW w:w="2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Settlement of restricted stock units</w:t>
            </w:r>
          </w:p>
        </w:tc>
        <w:tc>
          <w:tcPr>
            <w:tcW w:w="29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527,113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3160" w:type="dxa"/>
            <w:vAlign w:val="bottom"/>
            <w:gridSpan w:val="4"/>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(2,467,737)</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(12,429)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(12,429)</w:t>
            </w:r>
          </w:p>
        </w:tc>
        <w:tc>
          <w:tcPr>
            <w:tcW w:w="0" w:type="dxa"/>
            <w:vAlign w:val="bottom"/>
          </w:tcPr>
          <w:p>
            <w:pPr>
              <w:spacing w:after="0"/>
              <w:rPr>
                <w:sz w:val="1"/>
                <w:szCs w:val="1"/>
                <w:color w:val="auto"/>
              </w:rPr>
            </w:pPr>
          </w:p>
        </w:tc>
      </w:tr>
      <w:tr>
        <w:trPr>
          <w:trHeight w:val="149"/>
        </w:trPr>
        <w:tc>
          <w:tcPr>
            <w:tcW w:w="29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loss, net</w:t>
            </w:r>
          </w:p>
        </w:tc>
        <w:tc>
          <w:tcPr>
            <w:tcW w:w="226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(7,236)</w:t>
            </w: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(7,236)</w:t>
            </w:r>
          </w:p>
        </w:tc>
        <w:tc>
          <w:tcPr>
            <w:tcW w:w="0" w:type="dxa"/>
            <w:vAlign w:val="bottom"/>
          </w:tcPr>
          <w:p>
            <w:pPr>
              <w:spacing w:after="0"/>
              <w:rPr>
                <w:sz w:val="1"/>
                <w:szCs w:val="1"/>
                <w:color w:val="auto"/>
              </w:rPr>
            </w:pPr>
          </w:p>
        </w:tc>
      </w:tr>
      <w:tr>
        <w:trPr>
          <w:trHeight w:val="148"/>
        </w:trPr>
        <w:tc>
          <w:tcPr>
            <w:tcW w:w="29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2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(54,308)</w:t>
            </w:r>
          </w:p>
        </w:tc>
        <w:tc>
          <w:tcPr>
            <w:tcW w:w="80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(54,308)</w:t>
            </w:r>
          </w:p>
        </w:tc>
        <w:tc>
          <w:tcPr>
            <w:tcW w:w="0" w:type="dxa"/>
            <w:vAlign w:val="bottom"/>
          </w:tcPr>
          <w:p>
            <w:pPr>
              <w:spacing w:after="0"/>
              <w:rPr>
                <w:sz w:val="1"/>
                <w:szCs w:val="1"/>
                <w:color w:val="auto"/>
              </w:rPr>
            </w:pPr>
          </w:p>
        </w:tc>
      </w:tr>
      <w:tr>
        <w:trPr>
          <w:trHeight w:val="155"/>
        </w:trPr>
        <w:tc>
          <w:tcPr>
            <w:tcW w:w="29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226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36,912,118</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95"/>
              </w:rPr>
              <w:t>574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279,423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$ 244,576</w:t>
            </w: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 (225,883</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(21,893)</w:t>
            </w:r>
          </w:p>
        </w:tc>
        <w:tc>
          <w:tcPr>
            <w:tcW w:w="2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276,797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93" w:right="43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17"/>
        </w:trPr>
        <w:tc>
          <w:tcPr>
            <w:tcW w:w="79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4"/>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w:t>
            </w:r>
          </w:p>
        </w:tc>
        <w:tc>
          <w:tcPr>
            <w:tcW w:w="100" w:type="dxa"/>
            <w:vAlign w:val="bottom"/>
          </w:tcPr>
          <w:p>
            <w:pPr>
              <w:spacing w:after="0"/>
              <w:rPr>
                <w:sz w:val="10"/>
                <w:szCs w:val="10"/>
                <w:color w:val="auto"/>
              </w:rPr>
            </w:pPr>
          </w:p>
        </w:tc>
      </w:tr>
      <w:tr>
        <w:trPr>
          <w:trHeight w:val="173"/>
        </w:trPr>
        <w:tc>
          <w:tcPr>
            <w:tcW w:w="7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8"/>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(54,308)</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(36,622)</w:t>
            </w:r>
          </w:p>
        </w:tc>
      </w:tr>
      <w:tr>
        <w:trPr>
          <w:trHeight w:val="148"/>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16,161</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16,684</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for severance benefits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8,020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5,333</w:t>
            </w:r>
          </w:p>
        </w:tc>
      </w:tr>
      <w:tr>
        <w:trPr>
          <w:trHeight w:val="149"/>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foreign currency, net</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32,851</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3,373</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Provision (reversal) for inventory reserves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(529)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3,885</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6,214</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7,223</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Impairment charges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4,637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(7,034)</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(13,405)</w:t>
            </w:r>
          </w:p>
        </w:tc>
      </w:tr>
      <w:tr>
        <w:trPr>
          <w:trHeight w:val="149"/>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Others, net</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757</w:t>
            </w:r>
          </w:p>
        </w:tc>
      </w:tr>
      <w:tr>
        <w:trPr>
          <w:trHeight w:val="148"/>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2,719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1,909</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(1,583)</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2,370</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3,847</w:t>
            </w:r>
          </w:p>
        </w:tc>
      </w:tr>
      <w:tr>
        <w:trPr>
          <w:trHeight w:val="149"/>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8,877</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8,808</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1,753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8,048</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(1,971)</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7,152</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accounts payable</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(14,160)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(8,934)</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income taxes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(1,432)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(1,569)</w:t>
            </w:r>
          </w:p>
        </w:tc>
      </w:tr>
      <w:tr>
        <w:trPr>
          <w:trHeight w:val="149"/>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(109)</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Contributions to severance insurance deposit accounts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(2,383)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(5,101)</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of severance benefits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(2,407)</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(6,982)</w:t>
            </w:r>
          </w:p>
        </w:tc>
      </w:tr>
      <w:tr>
        <w:trPr>
          <w:trHeight w:val="149"/>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Others, net</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r>
      <w:tr>
        <w:trPr>
          <w:trHeight w:val="155"/>
        </w:trPr>
        <w:tc>
          <w:tcPr>
            <w:tcW w:w="7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(6,133)</w:t>
            </w: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(3,014)</w:t>
            </w:r>
          </w:p>
        </w:tc>
        <w:tc>
          <w:tcPr>
            <w:tcW w:w="100" w:type="dxa"/>
            <w:vAlign w:val="bottom"/>
          </w:tcPr>
          <w:p>
            <w:pPr>
              <w:spacing w:after="0"/>
              <w:rPr>
                <w:sz w:val="13"/>
                <w:szCs w:val="13"/>
                <w:color w:val="auto"/>
              </w:rPr>
            </w:pPr>
          </w:p>
        </w:tc>
      </w:tr>
      <w:tr>
        <w:trPr>
          <w:trHeight w:val="148"/>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settlement of hedge collateral</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5,669</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of hedge collateral</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(1,706)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(3,754)</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 of property, plant and equipment</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(11,600)</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(6,955)</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for intellectual property registration</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(263)</w:t>
            </w:r>
          </w:p>
        </w:tc>
      </w:tr>
      <w:tr>
        <w:trPr>
          <w:trHeight w:val="149"/>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Collection of guarantee deposits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4,984</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Payment of guarantee deposits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(2,175)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(7,338)</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Collection of short-term financial instruments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9"/>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Purchase of short-term financial instruments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Others, net</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(11,672)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(7,657)</w:t>
            </w:r>
          </w:p>
        </w:tc>
      </w:tr>
      <w:tr>
        <w:trPr>
          <w:trHeight w:val="149"/>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long-term borrowing</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30,059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r>
      <w:tr>
        <w:trPr>
          <w:trHeight w:val="149"/>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Acquisition of treasury stock</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(12,891)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(51,782)</w:t>
            </w:r>
          </w:p>
        </w:tc>
      </w:tr>
      <w:tr>
        <w:trPr>
          <w:trHeight w:val="148"/>
        </w:trPr>
        <w:tc>
          <w:tcPr>
            <w:tcW w:w="79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financing related to water treatment facility arrangement</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(493)</w:t>
            </w:r>
          </w:p>
        </w:tc>
      </w:tr>
      <w:tr>
        <w:trPr>
          <w:trHeight w:val="148"/>
        </w:trPr>
        <w:tc>
          <w:tcPr>
            <w:tcW w:w="79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Repayment of principal portion of finance lease liabilities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w:t>
            </w:r>
          </w:p>
        </w:tc>
      </w:tr>
      <w:tr>
        <w:trPr>
          <w:trHeight w:val="156"/>
        </w:trPr>
        <w:tc>
          <w:tcPr>
            <w:tcW w:w="7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16,557</w:t>
            </w: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(52,339)</w:t>
            </w:r>
          </w:p>
        </w:tc>
        <w:tc>
          <w:tcPr>
            <w:tcW w:w="100" w:type="dxa"/>
            <w:vAlign w:val="bottom"/>
          </w:tcPr>
          <w:p>
            <w:pPr>
              <w:spacing w:after="0"/>
              <w:rPr>
                <w:sz w:val="13"/>
                <w:szCs w:val="13"/>
                <w:color w:val="auto"/>
              </w:rPr>
            </w:pPr>
          </w:p>
        </w:tc>
      </w:tr>
      <w:tr>
        <w:trPr>
          <w:trHeight w:val="148"/>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(18,234)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(4,375)</w:t>
            </w:r>
          </w:p>
        </w:tc>
      </w:tr>
      <w:tr>
        <w:trPr>
          <w:trHeight w:val="155"/>
        </w:trPr>
        <w:tc>
          <w:tcPr>
            <w:tcW w:w="7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Net decrease in cash and cash equivalents</w:t>
            </w:r>
          </w:p>
        </w:tc>
        <w:tc>
          <w:tcPr>
            <w:tcW w:w="1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(19,482)</w:t>
            </w: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(67,385)</w:t>
            </w:r>
          </w:p>
        </w:tc>
        <w:tc>
          <w:tcPr>
            <w:tcW w:w="100" w:type="dxa"/>
            <w:vAlign w:val="bottom"/>
          </w:tcPr>
          <w:p>
            <w:pPr>
              <w:spacing w:after="0"/>
              <w:rPr>
                <w:sz w:val="13"/>
                <w:szCs w:val="13"/>
                <w:color w:val="auto"/>
              </w:rPr>
            </w:pPr>
          </w:p>
        </w:tc>
      </w:tr>
      <w:tr>
        <w:trPr>
          <w:trHeight w:val="149"/>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158,092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225,477</w:t>
            </w:r>
          </w:p>
        </w:tc>
      </w:tr>
      <w:tr>
        <w:trPr>
          <w:trHeight w:val="155"/>
        </w:trPr>
        <w:tc>
          <w:tcPr>
            <w:tcW w:w="79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138,610</w:t>
            </w:r>
          </w:p>
        </w:tc>
        <w:tc>
          <w:tcPr>
            <w:tcW w:w="4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158,092</w:t>
            </w:r>
          </w:p>
        </w:tc>
        <w:tc>
          <w:tcPr>
            <w:tcW w:w="100" w:type="dxa"/>
            <w:vAlign w:val="bottom"/>
          </w:tcPr>
          <w:p>
            <w:pPr>
              <w:spacing w:after="0"/>
              <w:rPr>
                <w:sz w:val="13"/>
                <w:szCs w:val="13"/>
                <w:color w:val="auto"/>
              </w:rPr>
            </w:pPr>
          </w:p>
        </w:tc>
      </w:tr>
      <w:tr>
        <w:trPr>
          <w:trHeight w:val="20"/>
        </w:trPr>
        <w:tc>
          <w:tcPr>
            <w:tcW w:w="7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9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966</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income taxes, net</w:t>
            </w:r>
          </w:p>
        </w:tc>
        <w:tc>
          <w:tcPr>
            <w:tcW w:w="1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1,442</w:t>
            </w:r>
          </w:p>
        </w:tc>
      </w:tr>
      <w:tr>
        <w:trPr>
          <w:trHeight w:val="149"/>
        </w:trPr>
        <w:tc>
          <w:tcPr>
            <w:tcW w:w="79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9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additions in other accounts payable</w:t>
            </w:r>
          </w:p>
        </w:tc>
        <w:tc>
          <w:tcPr>
            <w:tcW w:w="1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48"/>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w:t>
            </w:r>
          </w:p>
        </w:tc>
      </w:tr>
      <w:tr>
        <w:trPr>
          <w:trHeight w:val="188"/>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 to satisfy the tax withholding obligations in connection with equity-based compensation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451</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544</w:t>
            </w:r>
          </w:p>
        </w:tc>
      </w:tr>
    </w:tbl>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440" w:top="293" w:right="439" w:bottom="1440" w:gutter="0" w:footer="0" w:header="0"/>
        </w:sectPr>
      </w:pPr>
    </w:p>
    <w:bookmarkStart w:id="74" w:name="page75"/>
    <w:bookmarkEnd w:id="74"/>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right="2840" w:firstLine="2846"/>
        <w:spacing w:after="0" w:line="427" w:lineRule="auto"/>
        <w:rPr>
          <w:sz w:val="20"/>
          <w:szCs w:val="20"/>
          <w:color w:val="auto"/>
        </w:rPr>
      </w:pPr>
      <w:r>
        <w:rPr>
          <w:rFonts w:ascii="Times New Roman" w:cs="Times New Roman" w:eastAsia="Times New Roman" w:hAnsi="Times New Roman"/>
          <w:sz w:val="18"/>
          <w:szCs w:val="18"/>
          <w:b w:val="1"/>
          <w:bCs w:val="1"/>
          <w:color w:val="auto"/>
        </w:rPr>
        <w:t xml:space="preserve">(TABULAR DOLLARS IN THOUSANDS, EXCEPT SHARE DATA) 1. Business, Basis of Presentation and Significant Accounting Policies </w:t>
      </w:r>
      <w:r>
        <w:rPr>
          <w:rFonts w:ascii="Times New Roman" w:cs="Times New Roman" w:eastAsia="Times New Roman" w:hAnsi="Times New Roman"/>
          <w:sz w:val="18"/>
          <w:szCs w:val="18"/>
          <w:b w:val="1"/>
          <w:bCs w:val="1"/>
          <w:i w:val="1"/>
          <w:iCs w:val="1"/>
          <w:color w:val="auto"/>
        </w:rPr>
        <w:t>Business</w:t>
      </w:r>
    </w:p>
    <w:p>
      <w:pPr>
        <w:spacing w:after="0" w:line="2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Magnachip Semiconductor Corporation (together with its subsidiaries, the “Company”) is a designer and manufacturer of analog and mixed-signal semiconductor platform solutions for communication, Internet of Things (“IoT”), consumer, computing, industrial and automotive applications.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Company’s standard products business consists of two business lines: one is the Mixed-Signal Solutions (“MSS”) business line, which comprises the Display integrated circuit (“IC”) and Power IC businesses that are fabless, and the other is the Power Analog Solutions (“PAS”) business line, which comprises the Power discrete business which is an integrated device manufacturing (“IDM”) business.</w:t>
      </w:r>
    </w:p>
    <w:p>
      <w:pPr>
        <w:spacing w:after="0" w:line="176"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Display IC products provide panel display solutions to major suppliers of large and small rigid and flexible panel displays, and a wide range of applications, including smartphones, televisions, automotive and IT applications, such as monitors, notebook PCs and tablet PCs, as well as AR/VRs. Power IC products provide Power IC solutions to major television suppliers and large panel display suppliers.</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The PAS business line produces power management semiconductor products, including power discrete solutions for power management in communication, consumer, computing, servers, automotive and industrial applications.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September 1, 2020, the Company completed the sale of the Company’s Foundry Services Group business and its fabrication facility located in Cheongju, Korea, known as “Fab 4”, to SK keyfoundry Inc., a Korean company (“SK keyfoundry”). Following the consummation of the sale, the Company provided SK keyfoundry with transitional foundry services associated with its fabrication facility located in Gumi, Korea, known as “Fab 3”, at an agreed upon cost plus mark-up (the “Transitional Fab 3 Foundry Services”). The contractual obligation to provide the Transitional Fab 3 Foundry Services ended on August 31, 2023, and the Company is winding down these foundry services and have begun to convert portions of the idle capacity to PAS standard products during the second half of 2024. Because these foundry services during the wind-down period are still being provided to SK keyfoundry by the Company using Fab 3 based on mutually agreed terms and conditions, the Company will continue to report its revenue from these foundry services and related cost of sales within the Transitional Fab 3 Foundry Services line in its consolidated statement of operations until such wind-down is completed.</w:t>
      </w:r>
    </w:p>
    <w:p>
      <w:pPr>
        <w:spacing w:after="0" w:line="188"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On May 30, 2023, the Company announced a plan to regroup the business lines in its standard products business, originally grouped as Display Solutions and Power Solutions business lines, into MSS and PAS business lines to better align its product strategies (the “Reorganization”). On January 10, 2024, the Company transferred the MSS business line into a newly formed Korean limited liability company named “Magnachip Mixed-Signal, Ltd.” Currently, the MSS business line is primarily operated by Magnachip Mixed-Signal, Ltd., and the PAS business line is primarily operated by Magnachip Semiconductor, Ltd., Magnachip’s already existing Korean operating company. Both companies are indirect wholly owned subsidiaries of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consolidated financial statements are presented in accordance with U.S. GAAP.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93" w:right="459" w:bottom="1440" w:gutter="0" w:footer="0" w:header="0"/>
        </w:sectPr>
      </w:pPr>
    </w:p>
    <w:bookmarkStart w:id="75" w:name="page76"/>
    <w:bookmarkEnd w:id="75"/>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Significant accounting policies followed by the Company in the preparation of the accompanying consolidated financial statements are summarized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including its wholly-owned subsidiaries. All intercompany transactions and balances are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440"/>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stock-based compensation, property, plant and equipment, leases, other long-lived assets, accrued severance benefits, long-term employee benefits, and contingent liabilities, estimated future cash flows and other assumptions used in long-lived asset impairment tests, and calculation of current and deferred income taxes and deferred tax valuation allowances, among others. Although these estimates and assumptions are based on management’s best knowledge of current events and actions that the Company may undertake in the future, actual results may be significantly different from the estimates.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has assessed in accordance with ASC 830, “Foreign Currency Matters” (“ASC 830”), the functional currency of each of its subsidiaries in Luxembourg and the Netherlands and has designated the U.S. dollar to be their respective functional currencies. The Korean Won is the functional currency for the Company’s Korean subsidiaries, which are the primary operating subsidiaries of the Company.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income or loss of stockholders’ equity. Foreign currency translation gains or losses on transactions by the Company or its subsidiaries in a currency other than its or its subsidiaries’ functional currency are included in foreign currency gain (loss), net in its statements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are short-term, highly liquid investments with original maturities of three months or less from the date of purchase, or deposit accounts that can be withdrawn at any time without significant penalty.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Reserves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makes estimates of expected credit losses for the allowance for credit losses based upon its assessment of various factors, including historical collection experience, the age of the accounts receivable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60"/>
          </w:cols>
          <w:pgMar w:left="440" w:top="293" w:right="499" w:bottom="1440" w:gutter="0" w:footer="0" w:header="0"/>
        </w:sectPr>
      </w:pPr>
    </w:p>
    <w:bookmarkStart w:id="76" w:name="page77"/>
    <w:bookmarkEnd w:id="76"/>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balances, current economic conditions, reasonable and supportable forecasts of future economic conditions, and other factors that may affect its ability to collect from customers. The Company also records an estimate for sales returns, included within accounts receivable, net, based on the historical experience of the amount of goods that will be returned and refunded or replaced.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Accounts Receivable</w:t>
      </w:r>
    </w:p>
    <w:p>
      <w:pPr>
        <w:spacing w:after="0" w:line="121"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The Company accounts for transfers of financial assets under ASC 860, “Transfers and Servicing,” as either sales or financings. Transfers of financial assets that result in sales accounting are those in which (1) the transfer 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takes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 those specific products. Situations that could cause these inventory reserves include a decline in business and economic conditions, decline in consumer confidence caused by changes in market conditions, sudden and significant decline in demand for the Company’s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9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the Company’s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to Suppliers</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make advances in form of prepayments or deposits to suppliers, including external foundries, to meet its planned production. The Company recorded advances of $2,294 thousand and $3,883 thousand as other current assets as of December 31, 2024 and 2023,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93" w:right="45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207"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- 40 years</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Building related structures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 years</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 years</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bl>
    <w:p>
      <w:pPr>
        <w:spacing w:after="0" w:line="17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Routine maintenance and repairs are charged to expense as incurred. Expenditures that enhance the value or significantly extend the useful lives of the related assets are capitalized.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Level 3 fair value of assets using the present value of the future net cash flows generated by the respective long-lived assets.</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Determining fair value requires the use of estimates and assumptions. Such estimates and assumptions include revenue growth rates, estimated cost structure and operating expense, weighted average costs of capital, and future market conditions, among others.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a contract considering whether the arrangement conveys the right to control the use of an identified asset over the period of use. Control of an underlying asset is conveyed if the Company has the right to direct the use of, and to obtain substantially all of the economic benefits from the use of, the identified asset. The Company accounts for lease transactions as either an operating or a finance lease, depending on the terms of the underlying lease arrangement. Assets related to operating leases are recorded on the balance sheet as operating lease right-of-use assets; the related liabilities are recorded as operating lease liabilities for the current portion and non-current operating lease liabilities for the non-current portion. Finance lease right-of-use assets are included in property, plant and equipment, net and the related lease liabilities are included in other current liabilities and other non-current liabilities on the consolidated balance sheets.</w:t>
      </w:r>
    </w:p>
    <w:p>
      <w:pPr>
        <w:spacing w:after="0" w:line="18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during the lease term and lease liabilities represent the Company’s obligation to make lease payments arising from the lease. Right-of-use assets and liabilities are recognized based on the present value of the future minimum lease payments over the lease term. As most of the Company’s leases do not provide a readily determinable implicit rate, the Company estimates its incremental borrowing rates in determining the present value of future payments based on the lease term of each lease and market information available at commencement date. Finance lease right-of-use assets are amortized on a straight-line basis over the respective lease term with the interest expense on the lease liability recorded using the interest method. The amortization and interest expense are recorded separately in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93" w:right="459" w:bottom="1440" w:gutter="0" w:footer="0" w:header="0"/>
        </w:sectPr>
      </w:pPr>
    </w:p>
    <w:bookmarkStart w:id="78" w:name="page79"/>
    <w:bookmarkEnd w:id="78"/>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consolidated statements of operations. Amortization of operating lease right-of-use assets and interest expense on operating lease liabilities are recognized on a straight-line basis over the respective lease term.</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An extension or contraction of a lease term is considered if the related option to extend or early terminate the lease is reasonably certain to be exercised by the Company. Operating lease right-of-use assets may also include any advance lease payments made and exclude lease incentives and initial direct costs incurred. The Company has lease agreements with lease and non-lease components, which are generally accounted for separately. For certain equipment leases, lease and non-lease components are accounted for as a single lease component.</w:t>
      </w:r>
    </w:p>
    <w:p>
      <w:pPr>
        <w:spacing w:after="0" w:line="18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does not recognize operating lease right-of-use assets and operating lease liabilities that arise from short-term leases but rather recognizes fixed lease payments in the statements of operations on a straight-line basis and variable payments in the period in which the related obligations incur.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Intellectual property assets acquired represent rights under patents, trademarks and property use rights and are amortized over their respective periods of benefit, ranging up to ten years, on a straight-line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Disclosures of Financial Instruments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follows ASC 820, “Fair Value Measurements and Disclosures” (“ASC 820”)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at the measurement date.</w:t>
      </w:r>
    </w:p>
    <w:p>
      <w:pPr>
        <w:spacing w:after="0" w:line="117" w:lineRule="exact"/>
        <w:rPr>
          <w:sz w:val="20"/>
          <w:szCs w:val="20"/>
          <w:color w:val="auto"/>
        </w:rPr>
      </w:pPr>
    </w:p>
    <w:p>
      <w:pPr>
        <w:ind w:left="440" w:right="300" w:firstLine="423"/>
        <w:spacing w:after="0" w:line="282" w:lineRule="auto"/>
        <w:rPr>
          <w:sz w:val="20"/>
          <w:szCs w:val="20"/>
          <w:color w:val="auto"/>
        </w:rPr>
      </w:pPr>
      <w:r>
        <w:rPr>
          <w:rFonts w:ascii="Times New Roman" w:cs="Times New Roman" w:eastAsia="Times New Roman" w:hAnsi="Times New Roman"/>
          <w:sz w:val="18"/>
          <w:szCs w:val="18"/>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54" w:lineRule="exact"/>
        <w:rPr>
          <w:sz w:val="20"/>
          <w:szCs w:val="20"/>
          <w:color w:val="auto"/>
        </w:rPr>
      </w:pPr>
    </w:p>
    <w:p>
      <w:pPr>
        <w:ind w:left="440" w:right="60" w:firstLine="423"/>
        <w:spacing w:after="0" w:line="261" w:lineRule="auto"/>
        <w:rPr>
          <w:sz w:val="20"/>
          <w:szCs w:val="20"/>
          <w:color w:val="auto"/>
        </w:rPr>
      </w:pPr>
      <w:r>
        <w:rPr>
          <w:rFonts w:ascii="Times New Roman" w:cs="Times New Roman" w:eastAsia="Times New Roman" w:hAnsi="Times New Roman"/>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93" w:right="459" w:bottom="1440" w:gutter="0" w:footer="0" w:header="0"/>
        </w:sectPr>
      </w:pPr>
    </w:p>
    <w:bookmarkStart w:id="79" w:name="page80"/>
    <w:bookmarkEnd w:id="79"/>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Severance Benefits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majority of accrued severance benefits are for employees in the Company’s Korean subsidiaries. Pursuant to Employee Retirement Benefit Security Act of Korea, eligible employees and executive officers with one or more years of service are entitled to severance benefits upon the termination of their employment based on their length of service and rate of pay. As of December 31, 2024, 95% of all employees of the Company were eligible for severance benefits.</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Beginning in July 2018, the Company began contributing to certain severance insurance deposit accounts a percentage of severance benefits, which may be adjusted from time to time, accrued for eligible employees for their services beginning January 1, 2018 pursuant to Employee Retirement Benefit Security Act of Korea. These accounts consist of time deposits and other guaranteed principal and interest accounts, and are maintained at insurance companies, banks or security companies for the benefit of the Company’s employees.</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National Pension Act of the Republic of Korea, a certain portion of accrued severance benefits was deposited with the National Pension Fund and deducted from the accrued severance benefits. The contributed amount is paid to employees from the National Pension Fund upon their retirement.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176"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sells products manufactured based on the Company’s design. The Company’s products are either standardized with an alternative use or the Company does not have an enforceable right to payment for the related manufacturing services completed to date. Therefore, revenue for the products is recognized when a customer obtains control of the product, which is generally upon product shipment, delivery at the customer’s location or upon customer acceptance, depending on the terms of the arrangement.</w:t>
      </w:r>
    </w:p>
    <w:p>
      <w:pPr>
        <w:spacing w:after="0" w:line="180"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related revenue is presented in the statements of operations on a net basis.</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Company provides warranties under which customers can return defective products. The Company estimates the costs related to warranty claims and repair or replacements, and records them as components of cost of sales.</w:t>
      </w:r>
    </w:p>
    <w:p>
      <w:pPr>
        <w:spacing w:after="0" w:line="162" w:lineRule="exact"/>
        <w:rPr>
          <w:sz w:val="20"/>
          <w:szCs w:val="20"/>
          <w:color w:val="auto"/>
        </w:rPr>
      </w:pPr>
    </w:p>
    <w:p>
      <w:pPr>
        <w:jc w:val="both"/>
        <w:ind w:firstLine="440"/>
        <w:spacing w:after="0" w:line="289" w:lineRule="auto"/>
        <w:rPr>
          <w:sz w:val="20"/>
          <w:szCs w:val="20"/>
          <w:color w:val="auto"/>
        </w:rPr>
      </w:pPr>
      <w:r>
        <w:rPr>
          <w:rFonts w:ascii="Times New Roman" w:cs="Times New Roman" w:eastAsia="Times New Roman" w:hAnsi="Times New Roman"/>
          <w:sz w:val="17"/>
          <w:szCs w:val="17"/>
          <w:color w:val="auto"/>
        </w:rPr>
        <w:t>In addition, the Company offers sales returns (other than those that relate to defective products under warranty), cash discounts for early payments and sales incentives, and certain allowances to the Company’s customers, including the Company’s distributors. The Company records reserves for those returns, discounts, incentives and allowances as a deduction from sales, based on historical experience and other quantitative and qualitative factors.</w:t>
      </w:r>
    </w:p>
    <w:p>
      <w:pPr>
        <w:spacing w:after="0" w:line="158"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93" w:right="459" w:bottom="1440" w:gutter="0" w:footer="0" w:header="0"/>
        </w:sectPr>
      </w:pPr>
    </w:p>
    <w:bookmarkStart w:id="80" w:name="page81"/>
    <w:bookmarkEnd w:id="80"/>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$698 thousand and $768 thousand for the years ended December 31, 2024 and 2023, respectively.</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recorded deferred revenue of $1,120 thousand and $1,036 thousand as other current liabilities as of December 31, 2023 and 2022, respectively. Of the recorded deferred revenue, $1,032 thousand and $1,011 thousand were recognized as revenue during the years ended December 31,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expenses were $27 thousand and $68 thousand for the years ended December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 rates of warranty claims and repair or replacement costs per claim to satisfy the Company’s warranty obligation. The Company periodically assesses the adequacy of those recorded warranty liabilities and adjusts its estimates when necessary.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Company applies the provisions of ASC 815, “Derivatives and Hedging” (“ASC 815”). This statement requires the recognition of all derivative instruments as either assets or liabilities measured at fair value.</w:t>
      </w:r>
    </w:p>
    <w:p>
      <w:pPr>
        <w:spacing w:after="0" w:line="16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 The Company does not offset derivative assets and liabilities within the consolidated balance sheets.</w:t>
      </w:r>
    </w:p>
    <w:p>
      <w:pPr>
        <w:spacing w:after="0" w:line="18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ASC 815, changes in the fair value of derivative instruments that are cash flow hedges are recognized in accumulated other comprehensive income or loss and reclassified into earnings in the period in which the hedged item affects earnings. Derivative instruments that do not qualify, or cease to qualify, as hedges must be adjusted to fair value and the adjustments are recorded through net income or loss.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93" w:right="479" w:bottom="1440" w:gutter="0" w:footer="0" w:header="0"/>
        </w:sectPr>
      </w:pPr>
    </w:p>
    <w:bookmarkStart w:id="81" w:name="page82"/>
    <w:bookmarkEnd w:id="81"/>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cash flows from derivative instruments receiving hedge accounting treatment are classified in the same categories as the hedged items in the consolidated statements of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include wafers, masks, employee expenses, contractor fees, building costs, utilities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Licensed Patents and Technologies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on the balance sheet as a prepaid expense for the current portion and other non-current assets for the non-current portion, and the related liabilities are recorded as other non-current liabilities upon execution of the agreements and the costs are amortized over the contract period using the straight-line method and charged to research and development expenses in the consolidated statements of operations.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Running royalties are paid based on the revenue of related products sold by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ASC 260, “Earnings Per Share”, the Company computes basic earnings per share by dividing net income or loss available to common stockholders by the weighted average number of common 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In determining the hypothetical shares repurchased, the Company uses the average share price for the period. In the case that earnings are negative, any potential common stock equivalents would have the effect of being anti-dilutive in the computation of net loss per share.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basis of assets and liabilities using enacted tax rates in effect in the years in which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93" w:right="479" w:bottom="1440" w:gutter="0" w:footer="0" w:header="0"/>
        </w:sectPr>
      </w:pPr>
    </w:p>
    <w:bookmarkStart w:id="82" w:name="page83"/>
    <w:bookmarkEnd w:id="82"/>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differences are expected to reverse. Income tax expense (benefit) is the tax payable (receivable) for the period and the change during the period in deferred tax assets and liabilities. Valuation allowances are established when it is necessary to reduce deferred tax assets to the amount expected to be realized. The evaluation of the recoverability of the deferred tax assets and the need for a valuation allowance requires management to weigh all positive and negative evidence to reach a conclusion that it is more likely than not that all or some portion of the deferred tax assets will not be realized. Realization of the future tax benefits related to the deferred tax assets is dependent on many factors, including historical operating results, expected timing of the reversals of existing temporary differences, the Company’s ability to generate future taxable income, and tax planning strategies.</w:t>
      </w:r>
    </w:p>
    <w:p>
      <w:pPr>
        <w:spacing w:after="0" w:line="18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and measures uncertain tax positions taken or expected to be taken in a tax return utilizing a two-step process. In the first step, recognition, the Company determines whether it is more likely than not that a tax position will be sustained upon examination, including resolution of any related appeals or litigation processes, based on the technical merits of the position. The second step addresses measurement of a tax position that meets the more likely than not criteria. The tax position is measured at the largest amount of benefit that has a likelihood of greater than 50 percent of being realized upon ultimate settlement.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 performs periodic credit evaluations of its customers’ financial condition and generally does not require collateral for customers on accounts receivable. The Company maintains reserves for potential credit losses, which are periodically reviewed.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which requires an entity to provide more detailed information about its reportable segment expenses that are included within management’s measurement of profit and loss and required certain annual disclosures to be provided on an interim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“Item 8. Financial Statements and Supplementary Data—Notes to Consolidated Financial Statements—Note 18. Geographic and Other Information” for more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ASU 2024-03 requires public companies to disclose, in the notes to the financial statements, specific information about certain costs and expenses at each interim and annual reporting period. This includes disclosing amounts related to purchases of inventory, employee compensation, depreciation, and intangible asset amortization. In addition, public companies will need to provide qualitative description of the amounts remaining in relevant expense captions that are not separately disaggregated quantitatively. ASU 2024-03 is effective for public business entities for annual reporting periods beginning after December 15, 2026, and interim reporting periods beginning after December 15, 2027. Early adoption is permitted and the amendments in this update may be applied prospectively or retrospectively. The Company is currently evaluating the impact of this accounting standard update on its consolidated financial statements and related disclosures.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93" w:right="479" w:bottom="1440" w:gutter="0" w:footer="0" w:header="0"/>
        </w:sectPr>
      </w:pPr>
    </w:p>
    <w:bookmarkStart w:id="83" w:name="page84"/>
    <w:bookmarkEnd w:id="83"/>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w:t>
      </w:r>
    </w:p>
    <w:p>
      <w:pPr>
        <w:spacing w:after="0" w:line="2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(“ASU 2023-09”), which intends to enhance the transparency and decision usefulness of income tax disclosures. It requires public business entities to disclose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 specified threshold. ASU 2023-09 is effective for annual periods beginning after December 15, 2024, though early adoption is permitted. The Company is currently evaluating the impact of this accounting standard update on its consolidated financial statements and related disclosures.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121"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ASC 820 defines fair value, establishes a consistent framework for measuring fair value and expands disclosure requirements about fair value measurements. ASC 820 requires, among other things, the Company’s valuation techniques used to measure fair value to maximize the use of observable inputs and minimize the use of unobservable inputs.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 following table represents the Company’s liabilities measured at fair value on a recurring basis and the basis for that measurement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680" w:type="dxa"/>
            <w:vAlign w:val="bottom"/>
          </w:tcPr>
          <w:p>
            <w:pPr>
              <w:spacing w:after="0"/>
              <w:rPr>
                <w:sz w:val="13"/>
                <w:szCs w:val="13"/>
                <w:color w:val="auto"/>
              </w:rPr>
            </w:pP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5"/>
                <w:szCs w:val="15"/>
                <w:color w:val="auto"/>
              </w:rPr>
            </w:pPr>
          </w:p>
        </w:tc>
        <w:tc>
          <w:tcPr>
            <w:tcW w:w="18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 (Level 1)</w:t>
            </w:r>
          </w:p>
        </w:tc>
        <w:tc>
          <w:tcPr>
            <w:tcW w:w="680" w:type="dxa"/>
            <w:vAlign w:val="bottom"/>
          </w:tcPr>
          <w:p>
            <w:pPr>
              <w:spacing w:after="0"/>
              <w:rPr>
                <w:sz w:val="15"/>
                <w:szCs w:val="15"/>
                <w:color w:val="auto"/>
              </w:rPr>
            </w:pPr>
          </w:p>
        </w:tc>
        <w:tc>
          <w:tcPr>
            <w:tcW w:w="13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 liabilities (other</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1,956</w:t>
            </w: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— </w:t>
            </w: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1,956</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the following table represents the Company’s assets and liabilities measured at fair value on a recurring basis and the basis for that measurement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680" w:type="dxa"/>
            <w:vAlign w:val="bottom"/>
          </w:tcPr>
          <w:p>
            <w:pPr>
              <w:spacing w:after="0"/>
              <w:rPr>
                <w:sz w:val="13"/>
                <w:szCs w:val="13"/>
                <w:color w:val="auto"/>
              </w:rPr>
            </w:pPr>
          </w:p>
        </w:tc>
        <w:tc>
          <w:tcPr>
            <w:tcW w:w="14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9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80" w:type="dxa"/>
            <w:vAlign w:val="bottom"/>
          </w:tcPr>
          <w:p>
            <w:pPr>
              <w:spacing w:after="0"/>
              <w:rPr>
                <w:sz w:val="12"/>
                <w:szCs w:val="12"/>
                <w:color w:val="auto"/>
              </w:rPr>
            </w:pPr>
          </w:p>
        </w:tc>
        <w:tc>
          <w:tcPr>
            <w:tcW w:w="140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Asset/Liability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 assets (other current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152</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152</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 liabilities (other</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6"/>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The carrying value of the Company’s outstanding Term Loan approximates its fair value because its variable interest rate reflect market rate as of December 31, 2024. The fair value of this debt is categorized within Level 2 of the fair value hierarchy.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440" w:top="293" w:right="439" w:bottom="1440" w:gutter="0" w:footer="0" w:header="0"/>
        </w:sectPr>
      </w:pPr>
    </w:p>
    <w:bookmarkStart w:id="84" w:name="page85"/>
    <w:bookmarkEnd w:id="84"/>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Measured on a Non-recurring Basis</w:t>
      </w:r>
    </w:p>
    <w:p>
      <w:pPr>
        <w:spacing w:after="0" w:line="11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 Company’s non-financial assets, such as property, plant and equipment, and intangible assets are recorded at fair value upon acquisition and are remeasured at fair value only if an impairment charge is recognized. As of December 31, 2024, the Company remeasured the fair value of tangible and intangible assets in connection with the impairment assessment for its Display business, which operates under the MSS business line. For the year ended December 31, 2023, the Company did not have any assets or liabilities measured at fair value on a non-recurring basis.</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Data—Notes to Consolidated Financial Statements— Note 14. Impairment and Other Charges”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receivable as of December 31, 2024 and 2023 consisted of the following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$28,818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$33,024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1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(68)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return reserves</w:t>
            </w:r>
          </w:p>
        </w:tc>
        <w:tc>
          <w:tcPr>
            <w:tcW w:w="112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28,402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32,641</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allowance for credit losses for the years ended December 31, 2024 and 2023 are as follows (in thousands):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17"/>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860" w:type="dxa"/>
            <w:vAlign w:val="bottom"/>
            <w:tcBorders>
              <w:top w:val="single" w:sz="8" w:color="auto"/>
            </w:tcBorders>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80" w:type="dxa"/>
            <w:vAlign w:val="bottom"/>
            <w:tcBorders>
              <w:top w:val="single" w:sz="8" w:color="auto"/>
            </w:tcBorders>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740" w:type="dxa"/>
            <w:vAlign w:val="bottom"/>
            <w:gridSpan w:val="4"/>
          </w:tcPr>
          <w:p>
            <w:pPr>
              <w:ind w:left="268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6"/>
              </w:rPr>
              <w:t>(79)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18"/>
                <w:szCs w:val="18"/>
                <w:color w:val="auto"/>
              </w:rPr>
            </w:pPr>
          </w:p>
        </w:tc>
        <w:tc>
          <w:tcPr>
            <w:tcW w:w="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 off</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88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(68)</w:t>
            </w:r>
          </w:p>
        </w:tc>
        <w:tc>
          <w:tcPr>
            <w:tcW w:w="7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sales return reserves for the years ended December 31, 2024 and 2023 are as follows (in thousands):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04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80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320" w:type="dxa"/>
            <w:vAlign w:val="bottom"/>
            <w:tcBorders>
              <w:top w:val="single" w:sz="8" w:color="auto"/>
            </w:tcBorders>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080" w:type="dxa"/>
            <w:vAlign w:val="bottom"/>
            <w:gridSpan w:val="4"/>
          </w:tcPr>
          <w:p>
            <w:pPr>
              <w:ind w:left="410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0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6"/>
              </w:rPr>
              <w:t>(348)</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6"/>
              </w:rPr>
              <w:t>(183)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2"/>
              </w:rPr>
              <w:t>(142)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2"/>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Usage</w:t>
            </w:r>
          </w:p>
        </w:tc>
        <w:tc>
          <w:tcPr>
            <w:tcW w:w="4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280" w:type="dxa"/>
            <w:vAlign w:val="bottom"/>
            <w:gridSpan w:val="2"/>
            <w:shd w:val="clear" w:color="auto" w:fill="CCEEFF"/>
          </w:tcPr>
          <w:p>
            <w:pPr>
              <w:ind w:left="4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2"/>
              </w:rPr>
              <w:t>(425)</w:t>
            </w:r>
          </w:p>
        </w:tc>
        <w:tc>
          <w:tcPr>
            <w:tcW w:w="6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2"/>
              </w:rPr>
              <w:t>(348)</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100" w:type="dxa"/>
            <w:vAlign w:val="bottom"/>
          </w:tcPr>
          <w:p>
            <w:pPr>
              <w:jc w:val="right"/>
              <w:ind w:right="2416"/>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293" w:right="619" w:bottom="1440" w:gutter="0" w:footer="0" w:header="0"/>
        </w:sectPr>
      </w:pPr>
    </w:p>
    <w:bookmarkStart w:id="85" w:name="page86"/>
    <w:bookmarkEnd w:id="85"/>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Commencing in March 2012, the Company has been a party to an agreement to sell selected trade accounts receivable to a financial institution from time to time. After a sale, the Company does not retain any interest in the receivables and the applicable financial institution collects these accounts receivable directly from the customer. There were no sale of accounts receivable for the years ended December 31, 2024 and 2023. Net proceeds of this accounts receivable sale program are recognized in the consolidated statements of cash flows as part of operating cash flows.</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uses receivable discount program with a certain customer. This discount arrangement allows the Company to accelerate collection of customers’ receivables.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as of December 31, 2024 and 2023 consist of the following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 and work-in-process</w:t>
            </w:r>
          </w:p>
        </w:tc>
        <w:tc>
          <w:tcPr>
            <w:tcW w:w="14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 26,797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 29,339</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Materials in-transit</w:t>
            </w: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inventory reserve</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(10,599)</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32,733</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inventory reserve for the years ended December 31, 2024 and 2023 are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17"/>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00" w:type="dxa"/>
            <w:vAlign w:val="bottom"/>
          </w:tcPr>
          <w:p>
            <w:pPr>
              <w:spacing w:after="0"/>
              <w:rPr>
                <w:sz w:val="10"/>
                <w:szCs w:val="10"/>
                <w:color w:val="auto"/>
              </w:rPr>
            </w:pPr>
          </w:p>
        </w:tc>
      </w:t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80" w:type="dxa"/>
            <w:vAlign w:val="bottom"/>
          </w:tcPr>
          <w:p>
            <w:pPr>
              <w:spacing w:after="0"/>
              <w:rPr>
                <w:sz w:val="15"/>
                <w:szCs w:val="15"/>
                <w:color w:val="auto"/>
              </w:rPr>
            </w:pPr>
          </w:p>
        </w:tc>
        <w:tc>
          <w:tcPr>
            <w:tcW w:w="760" w:type="dxa"/>
            <w:vAlign w:val="bottom"/>
            <w:gridSpan w:val="2"/>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(10,599)</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$(14,677)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reserve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reserve charged to costs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(6,979)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previously reserved inventory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5,528</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Write off</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300" w:type="dxa"/>
            <w:vAlign w:val="bottom"/>
          </w:tcPr>
          <w:p>
            <w:pPr>
              <w:spacing w:after="0"/>
              <w:rPr>
                <w:sz w:val="18"/>
                <w:szCs w:val="18"/>
                <w:color w:val="auto"/>
              </w:rPr>
            </w:pPr>
          </w:p>
        </w:tc>
        <w:tc>
          <w:tcPr>
            <w:tcW w:w="10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7,552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358</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(10,599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93" w:right="459" w:bottom="1440" w:gutter="0" w:footer="0" w:header="0"/>
        </w:sectPr>
      </w:pPr>
    </w:p>
    <w:bookmarkStart w:id="86" w:name="page87"/>
    <w:bookmarkEnd w:id="86"/>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plant and equipment as of December 31, 2024 and 2023 are comprised of the following (in thousands):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related structures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182,724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(115,236)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(115,889)</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Aggregate depreciation expenses totaled $15,639 thousand and $16,068 thousand for the years ended December 31,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Pledge Agreement</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in favor of KDB.</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December 16, 2024, MSK executed a Standard Credit Agreement (together with its General Terms and Conditions, the “Equipment Financing Credit Agreement”) with KDB. In connection with the Equipment Financing Credit Agreement, on December 16, 2024, MSK also entered into a Kun-Pledge Agreement (the “Equipment Pledge Agreement”) with KDB with respect to the pledge by MSK in favor of KDB of certain machinery and equipment currently owned by MSK, which are located in its fabrication facility located in Gumi, Korea.</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Data—Notes to Consolidated Financial Statements—Note 10. Long-Term Borrowing”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recorded in its consolidated statement of operations $3,509 thousand of impairment loss associated with its Display business, which operates under MSS business line and was triggered by a decline in expected future cash flows due to changes in market conditions and business outlook.</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40"/>
          </w:cols>
          <w:pgMar w:left="440" w:top="293" w:right="519" w:bottom="1440" w:gutter="0" w:footer="0" w:header="0"/>
        </w:sectPr>
      </w:pPr>
    </w:p>
    <w:bookmarkStart w:id="87" w:name="page88"/>
    <w:bookmarkEnd w:id="87"/>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Data—Notes to Consolidated Financial Statements— Note 14. Impairment and Other Charges”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assets as of December 31, 2024 and 2023 are comprised of the following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5140" w:type="dxa"/>
            <w:vAlign w:val="bottom"/>
          </w:tcPr>
          <w:p>
            <w:pPr>
              <w:spacing w:after="0"/>
              <w:rPr>
                <w:sz w:val="10"/>
                <w:szCs w:val="10"/>
                <w:color w:val="auto"/>
              </w:rPr>
            </w:pPr>
          </w:p>
        </w:tc>
        <w:tc>
          <w:tcPr>
            <w:tcW w:w="600" w:type="dxa"/>
            <w:vAlign w:val="bottom"/>
            <w:gridSpan w:val="5"/>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60" w:type="dxa"/>
            <w:vAlign w:val="bottom"/>
          </w:tcPr>
          <w:p>
            <w:pPr>
              <w:spacing w:after="0"/>
              <w:rPr>
                <w:sz w:val="10"/>
                <w:szCs w:val="10"/>
                <w:color w:val="auto"/>
              </w:rPr>
            </w:pPr>
          </w:p>
        </w:tc>
        <w:tc>
          <w:tcPr>
            <w:tcW w:w="1520" w:type="dxa"/>
            <w:vAlign w:val="bottom"/>
            <w:gridSpan w:val="5"/>
          </w:tcPr>
          <w:p>
            <w:pPr>
              <w:jc w:val="right"/>
              <w:ind w:right="621"/>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40" w:type="dxa"/>
            <w:vAlign w:val="bottom"/>
          </w:tcPr>
          <w:p>
            <w:pPr>
              <w:spacing w:after="0"/>
              <w:rPr>
                <w:sz w:val="10"/>
                <w:szCs w:val="10"/>
                <w:color w:val="auto"/>
              </w:rPr>
            </w:pPr>
          </w:p>
        </w:tc>
      </w:tr>
      <w:tr>
        <w:trPr>
          <w:trHeight w:val="173"/>
        </w:trPr>
        <w:tc>
          <w:tcPr>
            <w:tcW w:w="5140" w:type="dxa"/>
            <w:vAlign w:val="bottom"/>
          </w:tcPr>
          <w:p>
            <w:pPr>
              <w:spacing w:after="0"/>
              <w:rPr>
                <w:sz w:val="15"/>
                <w:szCs w:val="15"/>
                <w:color w:val="auto"/>
              </w:rPr>
            </w:pPr>
          </w:p>
        </w:tc>
        <w:tc>
          <w:tcPr>
            <w:tcW w:w="6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5"/>
                <w:szCs w:val="15"/>
                <w:color w:val="auto"/>
              </w:rPr>
            </w:pP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5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7,599</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700" w:type="dxa"/>
            <w:vAlign w:val="bottom"/>
            <w:tcBorders>
              <w:top w:val="single" w:sz="8" w:color="CCEEFF"/>
            </w:tcBorders>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700" w:type="dxa"/>
            <w:vAlign w:val="bottom"/>
            <w:gridSpan w:val="2"/>
          </w:tcPr>
          <w:p>
            <w:pPr>
              <w:jc w:val="right"/>
              <w:ind w:right="5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8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40" w:type="dxa"/>
            <w:vAlign w:val="bottom"/>
          </w:tcPr>
          <w:p>
            <w:pPr>
              <w:spacing w:after="0"/>
              <w:rPr>
                <w:sz w:val="10"/>
                <w:szCs w:val="10"/>
                <w:color w:val="auto"/>
              </w:rPr>
            </w:pPr>
          </w:p>
        </w:tc>
      </w:tr>
      <w:tr>
        <w:trPr>
          <w:trHeight w:val="173"/>
        </w:trPr>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assets</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9,150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660" w:type="dxa"/>
            <w:vAlign w:val="bottom"/>
            <w:tcBorders>
              <w:top w:val="single" w:sz="8" w:color="CCEEFF"/>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1,537</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9,150</w:t>
            </w:r>
          </w:p>
        </w:tc>
        <w:tc>
          <w:tcPr>
            <w:tcW w:w="20" w:type="dxa"/>
            <w:vAlign w:val="bottom"/>
            <w:tcBorders>
              <w:bottom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66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1,537</w:t>
            </w:r>
          </w:p>
        </w:tc>
        <w:tc>
          <w:tcPr>
            <w:tcW w:w="4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Aggregate amortization expense for intangible assets totaled $522 thousand and $616 thousand for the years ended December 31, 2024 and 2023, respectively.</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of intangible assets for the next five years are estimated to be $219 thousand, $140 thousand, $78 thousand, $47 thousand and $23 thousand for the years ended December 31, 2025, 2026, 2027, 2028 and 2029,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recorded in its consolidated statement of operations $666 thousand of impairment loss associated with its Display business, which operates under MSS business line and was triggered by a decline in expected future cash flows due to changes in market conditions and business outlook.</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Data—Notes to Consolidated Financial Statements— Note 14. Impairment and Other Charges” for more information.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40"/>
          </w:cols>
          <w:pgMar w:left="440" w:top="293" w:right="519" w:bottom="1440" w:gutter="0" w:footer="0" w:header="0"/>
        </w:sectPr>
      </w:pPr>
    </w:p>
    <w:bookmarkStart w:id="88" w:name="page89"/>
    <w:bookmarkEnd w:id="88"/>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has operating and finance leases for buildings and other assets such as vehicles and office equipment. The Company’s leases have remaining lease terms ranging from 1 year to 5 years.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tables below present financial information related to the Company’s leases.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balance sheets information related to leases as of December 31, 2024 and 2023 are as follows (in thousands):</w:t>
      </w:r>
    </w:p>
    <w:p>
      <w:pPr>
        <w:spacing w:after="0" w:line="313"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740" w:type="dxa"/>
            <w:vAlign w:val="bottom"/>
            <w:vMerge w:val="restart"/>
          </w:tcPr>
          <w:p>
            <w:pPr>
              <w:spacing w:after="0"/>
              <w:rPr>
                <w:sz w:val="15"/>
                <w:szCs w:val="15"/>
                <w:color w:val="auto"/>
              </w:rPr>
            </w:pPr>
          </w:p>
        </w:tc>
        <w:tc>
          <w:tcPr>
            <w:tcW w:w="600" w:type="dxa"/>
            <w:vAlign w:val="bottom"/>
          </w:tcPr>
          <w:p>
            <w:pPr>
              <w:spacing w:after="0"/>
              <w:rPr>
                <w:sz w:val="15"/>
                <w:szCs w:val="15"/>
                <w:color w:val="auto"/>
              </w:rPr>
            </w:pPr>
          </w:p>
        </w:tc>
        <w:tc>
          <w:tcPr>
            <w:tcW w:w="50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 w:type="dxa"/>
            <w:vAlign w:val="bottom"/>
          </w:tcPr>
          <w:p>
            <w:pPr>
              <w:spacing w:after="0"/>
              <w:rPr>
                <w:sz w:val="15"/>
                <w:szCs w:val="15"/>
                <w:color w:val="auto"/>
              </w:rPr>
            </w:pPr>
          </w:p>
        </w:tc>
        <w:tc>
          <w:tcPr>
            <w:tcW w:w="14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top w:val="single" w:sz="8" w:color="auto"/>
            </w:tcBorders>
            <w:gridSpan w:val="2"/>
          </w:tcPr>
          <w:p>
            <w:pPr>
              <w:jc w:val="right"/>
              <w:ind w:right="30"/>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Borders>
              <w:top w:val="single" w:sz="8" w:color="CCEEFF"/>
            </w:tcBorders>
            <w:shd w:val="clear" w:color="auto" w:fill="CCEEFF"/>
          </w:tcPr>
          <w:p>
            <w:pPr>
              <w:spacing w:after="0"/>
              <w:rPr>
                <w:sz w:val="16"/>
                <w:szCs w:val="16"/>
                <w:color w:val="auto"/>
              </w:rPr>
            </w:pPr>
          </w:p>
        </w:tc>
        <w:tc>
          <w:tcPr>
            <w:tcW w:w="4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lease</w:t>
            </w:r>
          </w:p>
        </w:tc>
        <w:tc>
          <w:tcPr>
            <w:tcW w:w="56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$3,107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w:t>
            </w:r>
          </w:p>
        </w:tc>
        <w:tc>
          <w:tcPr>
            <w:tcW w:w="5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6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3,497</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6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5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56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6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w:t>
            </w:r>
          </w:p>
        </w:tc>
        <w:tc>
          <w:tcPr>
            <w:tcW w:w="56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w:t>
            </w:r>
          </w:p>
        </w:tc>
        <w:tc>
          <w:tcPr>
            <w:tcW w:w="56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6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3,663</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5,389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220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0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196"/>
        </w:trPr>
        <w:tc>
          <w:tcPr>
            <w:tcW w:w="7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2.5 years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 years</w:t>
            </w: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 years</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cost included in the Company’s consolidated statements of operations, are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8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17"/>
        </w:trPr>
        <w:tc>
          <w:tcPr>
            <w:tcW w:w="348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300" w:type="dxa"/>
            <w:vAlign w:val="bottom"/>
            <w:tcBorders>
              <w:top w:val="single" w:sz="8" w:color="auto"/>
            </w:tcBorders>
            <w:gridSpan w:val="2"/>
          </w:tcPr>
          <w:p>
            <w:pPr>
              <w:jc w:val="right"/>
              <w:ind w:right="98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520" w:type="dxa"/>
            <w:vAlign w:val="bottom"/>
            <w:tcBorders>
              <w:top w:val="single" w:sz="8" w:color="auto"/>
            </w:tcBorders>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3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$2,177</w:t>
            </w:r>
          </w:p>
        </w:tc>
        <w:tc>
          <w:tcPr>
            <w:tcW w:w="8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3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138</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20" w:type="dxa"/>
            <w:vAlign w:val="bottom"/>
          </w:tcPr>
          <w:p>
            <w:pPr>
              <w:spacing w:after="0"/>
              <w:rPr>
                <w:sz w:val="18"/>
                <w:szCs w:val="18"/>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32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2,350</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2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86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440" w:top="293" w:right="619" w:bottom="1440" w:gutter="0" w:footer="0" w:header="0"/>
        </w:sectPr>
      </w:pPr>
    </w:p>
    <w:bookmarkStart w:id="89" w:name="page90"/>
    <w:bookmarkEnd w:id="89"/>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table does not include an immaterial cost of short-term leases for the years ended December 31, 2024 and 2023.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lease information is as follows (in thousands):</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17"/>
        </w:trPr>
        <w:tc>
          <w:tcPr>
            <w:tcW w:w="6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Borders>
              <w:top w:val="single" w:sz="8" w:color="auto"/>
            </w:tcBorders>
          </w:tcPr>
          <w:p>
            <w:pPr>
              <w:jc w:val="right"/>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7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31"/>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60" w:type="dxa"/>
            <w:vAlign w:val="bottom"/>
          </w:tcPr>
          <w:p>
            <w:pPr>
              <w:spacing w:after="0"/>
              <w:rPr>
                <w:sz w:val="10"/>
                <w:szCs w:val="10"/>
                <w:color w:val="auto"/>
              </w:rPr>
            </w:pPr>
          </w:p>
        </w:tc>
      </w:tr>
      <w:tr>
        <w:trPr>
          <w:trHeight w:val="173"/>
        </w:trPr>
        <w:tc>
          <w:tcPr>
            <w:tcW w:w="6420" w:type="dxa"/>
            <w:vAlign w:val="bottom"/>
          </w:tcPr>
          <w:p>
            <w:pPr>
              <w:spacing w:after="0"/>
              <w:rPr>
                <w:sz w:val="15"/>
                <w:szCs w:val="15"/>
                <w:color w:val="auto"/>
              </w:rPr>
            </w:pPr>
          </w:p>
        </w:tc>
        <w:tc>
          <w:tcPr>
            <w:tcW w:w="156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0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$ 2,118</w:t>
            </w: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r>
      <w:tr>
        <w:trPr>
          <w:trHeight w:val="234"/>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Non-cash transaction amounts of lease liabilities arising from obtaining right-of-use assets were $967 thousand and $1,909 thousand for the years ended December 31, 2024 and 2023,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future lease payments for operating and finance leases as of December 31, 2024 are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1,117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711</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(308)</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future payments</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expenses as of December 31, 2024 and 2023 are comprised of the following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benefits and related taxes, excluding severance benefits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$5,518</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 attributable to intercompany interest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service fees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8,648</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10,457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Financial Instruments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Company’s Korean subsidiary, Magnachip Semiconductor, Ltd., from time to time has entered into zero cost collar contracts to hedge the risk of changes in the functional-currency-equivalent cash flows attributable to currency rate changes on U.S. dollar denominated revenues.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0"/>
          </w:cols>
          <w:pgMar w:left="440" w:top="293" w:right="499" w:bottom="1440" w:gutter="0" w:footer="0" w:header="0"/>
        </w:sectPr>
      </w:pPr>
    </w:p>
    <w:bookmarkStart w:id="90" w:name="page91"/>
    <w:bookmarkEnd w:id="90"/>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Details of derivative contracts as of December 31, 2024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354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Type of derivative</w:t>
            </w:r>
          </w:p>
        </w:tc>
        <w:tc>
          <w:tcPr>
            <w:tcW w:w="196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settlement</w:t>
            </w: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05, 2024</w:t>
            </w:r>
          </w:p>
        </w:tc>
        <w:tc>
          <w:tcPr>
            <w:tcW w:w="126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7"/>
              </w:rPr>
              <w:t>Zero cost collar</w:t>
            </w: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w:t>
            </w:r>
          </w:p>
        </w:tc>
        <w:tc>
          <w:tcPr>
            <w:tcW w:w="50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January 2025 to March 2025</w:t>
            </w: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09, 2024</w:t>
            </w: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Zero cost collar</w:t>
            </w: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18,000</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2025 to September 2025</w:t>
            </w: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17, 2024</w:t>
            </w:r>
          </w:p>
        </w:tc>
        <w:tc>
          <w:tcPr>
            <w:tcW w:w="1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Zero cost collar</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9,000</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2025 to December 2025</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Details of derivative contracts as of December 31, 2023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354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Type of derivative</w:t>
            </w: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Total notional amount</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Month of settlement</w:t>
            </w: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03, 2023</w:t>
            </w:r>
          </w:p>
        </w:tc>
        <w:tc>
          <w:tcPr>
            <w:tcW w:w="126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7"/>
              </w:rPr>
              <w:t>Zero cost collar</w:t>
            </w:r>
          </w:p>
        </w:tc>
        <w:tc>
          <w:tcPr>
            <w:tcW w:w="5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2"/>
              </w:rPr>
              <w:t>18,000</w:t>
            </w:r>
          </w:p>
        </w:tc>
        <w:tc>
          <w:tcPr>
            <w:tcW w:w="50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January 2024 to June 2024</w:t>
            </w:r>
          </w:p>
        </w:tc>
      </w:tr>
      <w:tr>
        <w:trPr>
          <w:trHeight w:val="234"/>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09, 2023</w:t>
            </w: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Zero cost collar</w:t>
            </w: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27,000</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2024 to September 2024</w:t>
            </w:r>
          </w:p>
        </w:tc>
      </w:tr>
    </w:tbl>
    <w:p>
      <w:pPr>
        <w:spacing w:after="0" w:line="17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fair values of the Company’s outstanding zero cost collar contracts recorded as liabilities as of December 31, 2024 and 2023 are as follows (in thousands):</w:t>
      </w:r>
    </w:p>
    <w:p>
      <w:pPr>
        <w:spacing w:after="0" w:line="250"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00" w:type="dxa"/>
            <w:vAlign w:val="bottom"/>
            <w:tcBorders>
              <w:bottom w:val="single" w:sz="8" w:color="auto"/>
            </w:tcBorders>
            <w:vMerge w:val="continue"/>
          </w:tcPr>
          <w:p>
            <w:pPr>
              <w:spacing w:after="0"/>
              <w:rPr>
                <w:sz w:val="12"/>
                <w:szCs w:val="12"/>
                <w:color w:val="auto"/>
              </w:rPr>
            </w:pPr>
          </w:p>
        </w:tc>
        <w:tc>
          <w:tcPr>
            <w:tcW w:w="3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 Derivatives:</w:t>
            </w:r>
          </w:p>
        </w:tc>
        <w:tc>
          <w:tcPr>
            <w:tcW w:w="36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Other current assets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152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3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3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1,956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Offsetting of derivative liabilities as of December 31, 2024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2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40" w:type="dxa"/>
            <w:vAlign w:val="bottom"/>
          </w:tcPr>
          <w:p>
            <w:pPr>
              <w:spacing w:after="0"/>
              <w:rPr>
                <w:sz w:val="10"/>
                <w:szCs w:val="10"/>
                <w:color w:val="auto"/>
              </w:rPr>
            </w:pPr>
          </w:p>
        </w:tc>
        <w:tc>
          <w:tcPr>
            <w:tcW w:w="1480" w:type="dxa"/>
            <w:vAlign w:val="bottom"/>
            <w:gridSpan w:val="2"/>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80" w:type="dxa"/>
            <w:vAlign w:val="bottom"/>
          </w:tcPr>
          <w:p>
            <w:pPr>
              <w:spacing w:after="0"/>
              <w:rPr>
                <w:sz w:val="10"/>
                <w:szCs w:val="10"/>
                <w:color w:val="auto"/>
              </w:rPr>
            </w:pPr>
          </w:p>
        </w:tc>
        <w:tc>
          <w:tcPr>
            <w:tcW w:w="13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126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280" w:type="dxa"/>
            <w:vAlign w:val="bottom"/>
          </w:tcPr>
          <w:p>
            <w:pPr>
              <w:spacing w:after="0"/>
              <w:rPr>
                <w:sz w:val="10"/>
                <w:szCs w:val="10"/>
                <w:color w:val="auto"/>
              </w:rPr>
            </w:pPr>
          </w:p>
        </w:tc>
        <w:tc>
          <w:tcPr>
            <w:tcW w:w="128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2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58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60"/>
        </w:trPr>
        <w:tc>
          <w:tcPr>
            <w:tcW w:w="2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4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12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280" w:type="dxa"/>
            <w:vAlign w:val="bottom"/>
          </w:tcPr>
          <w:p>
            <w:pPr>
              <w:spacing w:after="0"/>
              <w:rPr>
                <w:sz w:val="13"/>
                <w:szCs w:val="13"/>
                <w:color w:val="auto"/>
              </w:rPr>
            </w:pPr>
          </w:p>
        </w:tc>
        <w:tc>
          <w:tcPr>
            <w:tcW w:w="12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3"/>
                <w:szCs w:val="13"/>
                <w:color w:val="auto"/>
              </w:rPr>
            </w:pPr>
          </w:p>
        </w:tc>
        <w:tc>
          <w:tcPr>
            <w:tcW w:w="134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Liability Derivatives:</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1,956</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(1,080)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Offsetting of derivative assets and liabilities as of December 31, 2023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540" w:type="dxa"/>
            <w:vAlign w:val="bottom"/>
          </w:tcPr>
          <w:p>
            <w:pPr>
              <w:spacing w:after="0"/>
              <w:rPr>
                <w:sz w:val="13"/>
                <w:szCs w:val="13"/>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 amounts of</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assets/liabilities</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 the balance sheets</w:t>
            </w:r>
          </w:p>
        </w:tc>
        <w:tc>
          <w:tcPr>
            <w:tcW w:w="3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80" w:type="dxa"/>
            <w:vAlign w:val="bottom"/>
          </w:tcPr>
          <w:p>
            <w:pPr>
              <w:spacing w:after="0"/>
              <w:rPr>
                <w:sz w:val="10"/>
                <w:szCs w:val="10"/>
                <w:color w:val="auto"/>
              </w:rPr>
            </w:pPr>
          </w:p>
        </w:tc>
        <w:tc>
          <w:tcPr>
            <w:tcW w:w="8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offset in the</w:t>
            </w:r>
          </w:p>
        </w:tc>
        <w:tc>
          <w:tcPr>
            <w:tcW w:w="540" w:type="dxa"/>
            <w:vAlign w:val="bottom"/>
          </w:tcPr>
          <w:p>
            <w:pPr>
              <w:spacing w:after="0"/>
              <w:rPr>
                <w:sz w:val="10"/>
                <w:szCs w:val="10"/>
                <w:color w:val="auto"/>
              </w:rPr>
            </w:pPr>
          </w:p>
        </w:tc>
        <w:tc>
          <w:tcPr>
            <w:tcW w:w="12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280" w:type="dxa"/>
            <w:vAlign w:val="bottom"/>
          </w:tcPr>
          <w:p>
            <w:pPr>
              <w:spacing w:after="0"/>
              <w:rPr>
                <w:sz w:val="10"/>
                <w:szCs w:val="10"/>
                <w:color w:val="auto"/>
              </w:rPr>
            </w:pPr>
          </w:p>
        </w:tc>
        <w:tc>
          <w:tcPr>
            <w:tcW w:w="128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Financial</w:t>
            </w: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54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0"/>
        </w:trPr>
        <w:tc>
          <w:tcPr>
            <w:tcW w:w="218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gridSpan w:val="3"/>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540" w:type="dxa"/>
            <w:vAlign w:val="bottom"/>
          </w:tcPr>
          <w:p>
            <w:pPr>
              <w:spacing w:after="0"/>
              <w:rPr>
                <w:sz w:val="15"/>
                <w:szCs w:val="15"/>
                <w:color w:val="auto"/>
              </w:rPr>
            </w:pPr>
          </w:p>
        </w:tc>
        <w:tc>
          <w:tcPr>
            <w:tcW w:w="126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balance sheets</w:t>
            </w:r>
          </w:p>
        </w:tc>
        <w:tc>
          <w:tcPr>
            <w:tcW w:w="280" w:type="dxa"/>
            <w:vAlign w:val="bottom"/>
          </w:tcPr>
          <w:p>
            <w:pPr>
              <w:spacing w:after="0"/>
              <w:rPr>
                <w:sz w:val="15"/>
                <w:szCs w:val="15"/>
                <w:color w:val="auto"/>
              </w:rPr>
            </w:pPr>
          </w:p>
        </w:tc>
        <w:tc>
          <w:tcPr>
            <w:tcW w:w="12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94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pledged</w:t>
            </w:r>
          </w:p>
        </w:tc>
        <w:tc>
          <w:tcPr>
            <w:tcW w:w="5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Asset Derivatives:</w:t>
            </w:r>
          </w:p>
        </w:tc>
        <w:tc>
          <w:tcPr>
            <w:tcW w:w="6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Zero cost collars</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46"/>
        </w:trPr>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91" w:name="page92"/>
    <w:bookmarkEnd w:id="91"/>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impact of derivative instruments on the consolidated statements of operations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Derivatives in</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ASC 815</w:t>
            </w:r>
          </w:p>
        </w:tc>
        <w:tc>
          <w:tcPr>
            <w:tcW w:w="1580" w:type="dxa"/>
            <w:vAlign w:val="bottom"/>
            <w:gridSpan w:val="4"/>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Amount of Loss</w:t>
            </w:r>
          </w:p>
        </w:tc>
        <w:tc>
          <w:tcPr>
            <w:tcW w:w="23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Location/Amount of Loss</w:t>
            </w:r>
          </w:p>
        </w:tc>
        <w:tc>
          <w:tcPr>
            <w:tcW w:w="2620" w:type="dxa"/>
            <w:vAlign w:val="bottom"/>
            <w:gridSpan w:val="6"/>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Location/Amount of Gain (Loss)</w:t>
            </w:r>
          </w:p>
        </w:tc>
        <w:tc>
          <w:tcPr>
            <w:tcW w:w="0" w:type="dxa"/>
            <w:vAlign w:val="bottom"/>
          </w:tcPr>
          <w:p>
            <w:pPr>
              <w:spacing w:after="0"/>
              <w:rPr>
                <w:sz w:val="1"/>
                <w:szCs w:val="1"/>
                <w:color w:val="auto"/>
              </w:rPr>
            </w:pPr>
          </w:p>
        </w:tc>
      </w:tr>
      <w:tr>
        <w:trPr>
          <w:trHeight w:val="148"/>
        </w:trPr>
        <w:tc>
          <w:tcPr>
            <w:tcW w:w="4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5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2320" w:type="dxa"/>
            <w:vAlign w:val="bottom"/>
            <w:gridSpan w:val="5"/>
            <w:vMerge w:val="continue"/>
          </w:tcPr>
          <w:p>
            <w:pPr>
              <w:spacing w:after="0"/>
              <w:rPr>
                <w:sz w:val="12"/>
                <w:szCs w:val="12"/>
                <w:color w:val="auto"/>
              </w:rPr>
            </w:pPr>
          </w:p>
        </w:tc>
        <w:tc>
          <w:tcPr>
            <w:tcW w:w="1960" w:type="dxa"/>
            <w:vAlign w:val="bottom"/>
            <w:gridSpan w:val="3"/>
          </w:tcPr>
          <w:p>
            <w:pPr>
              <w:jc w:val="center"/>
              <w:ind w:left="46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58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AOCI on</w:t>
            </w:r>
          </w:p>
        </w:tc>
        <w:tc>
          <w:tcPr>
            <w:tcW w:w="2320" w:type="dxa"/>
            <w:vAlign w:val="bottom"/>
            <w:gridSpan w:val="5"/>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 Into</w:t>
            </w:r>
          </w:p>
        </w:tc>
        <w:tc>
          <w:tcPr>
            <w:tcW w:w="262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 Operations on</w:t>
            </w:r>
          </w:p>
        </w:tc>
        <w:tc>
          <w:tcPr>
            <w:tcW w:w="0" w:type="dxa"/>
            <w:vAlign w:val="bottom"/>
          </w:tcPr>
          <w:p>
            <w:pPr>
              <w:spacing w:after="0"/>
              <w:rPr>
                <w:sz w:val="1"/>
                <w:szCs w:val="1"/>
                <w:color w:val="auto"/>
              </w:rPr>
            </w:pPr>
          </w:p>
        </w:tc>
      </w:tr>
      <w:tr>
        <w:trPr>
          <w:trHeight w:val="169"/>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5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3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1960" w:type="dxa"/>
            <w:vAlign w:val="bottom"/>
            <w:gridSpan w:val="3"/>
          </w:tcPr>
          <w:p>
            <w:pPr>
              <w:jc w:val="center"/>
              <w:ind w:left="465"/>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580" w:type="dxa"/>
            <w:vAlign w:val="bottom"/>
            <w:tcBorders>
              <w:top w:val="single" w:sz="8" w:color="auto"/>
            </w:tcBorders>
          </w:tcPr>
          <w:p>
            <w:pPr>
              <w:jc w:val="right"/>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32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860" w:type="dxa"/>
            <w:vAlign w:val="bottom"/>
            <w:tcBorders>
              <w:top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Zero cost collars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$(2,988)</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$(1,085)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$(868)</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(3,452)</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$ 77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(299)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3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the amount expected to be reclassified from accumulated other comprehensive loss into loss within the next twelve months is $966 thousand.</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set aside cash deposits to the counterparty, Standard Chartered Bank Korea Limited (“SC”), as required for the zero cost collar contracts. This cash deposit is recorded as hedge collateral on the consolidated balance sheets. Cash deposits as of December 31, 2024 and 2023 are as follows (in thousands):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Counterparty</w:t>
            </w:r>
          </w:p>
        </w:tc>
        <w:tc>
          <w:tcPr>
            <w:tcW w:w="6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6020" w:type="dxa"/>
            <w:vAlign w:val="bottom"/>
            <w:gridSpan w:val="2"/>
          </w:tcPr>
          <w:p>
            <w:pPr>
              <w:spacing w:after="0"/>
              <w:rPr>
                <w:sz w:val="12"/>
                <w:szCs w:val="12"/>
                <w:color w:val="auto"/>
              </w:rPr>
            </w:pPr>
          </w:p>
        </w:tc>
        <w:tc>
          <w:tcPr>
            <w:tcW w:w="4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left="368"/>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SC</w:t>
            </w:r>
          </w:p>
        </w:tc>
        <w:tc>
          <w:tcPr>
            <w:tcW w:w="6020" w:type="dxa"/>
            <w:vAlign w:val="bottom"/>
            <w:tcBorders>
              <w:top w:val="single" w:sz="8" w:color="CCEEFF"/>
            </w:tcBorders>
            <w:gridSpan w:val="2"/>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1,000</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is required to deposit additional cash collateral with Nomura Financial Investment (Korea) Co., Ltd. (“NFIK”) and SC for any exposure in excess of $500 thousand. As of December 31, 2024, $1,080 thousand of additional cash collateral were required by NFIK and recorded as hedge collateral on the consolidated balance sheet. There was no such cash collateral required as of December 31, 2023.</w:t>
      </w:r>
    </w:p>
    <w:p>
      <w:pPr>
        <w:spacing w:after="0" w:line="176" w:lineRule="exact"/>
        <w:rPr>
          <w:sz w:val="20"/>
          <w:szCs w:val="20"/>
          <w:color w:val="auto"/>
        </w:rPr>
      </w:pPr>
    </w:p>
    <w:p>
      <w:pPr>
        <w:ind w:right="1000" w:firstLine="440"/>
        <w:spacing w:after="0" w:line="282" w:lineRule="auto"/>
        <w:rPr>
          <w:sz w:val="20"/>
          <w:szCs w:val="20"/>
          <w:color w:val="auto"/>
        </w:rPr>
      </w:pPr>
      <w:r>
        <w:rPr>
          <w:rFonts w:ascii="Times New Roman" w:cs="Times New Roman" w:eastAsia="Times New Roman" w:hAnsi="Times New Roman"/>
          <w:sz w:val="18"/>
          <w:szCs w:val="18"/>
          <w:color w:val="auto"/>
        </w:rPr>
        <w:t>These zero cost collar contracts may be terminated by the counterparties if the Company’s total cash and cash equivalents is less than $30,000 thousand at the end of a fiscal quarter, unless a waiver is obtained.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Borrowing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21" w:lineRule="exact"/>
        <w:rPr>
          <w:sz w:val="20"/>
          <w:szCs w:val="20"/>
          <w:color w:val="auto"/>
        </w:rPr>
      </w:pPr>
    </w:p>
    <w:p>
      <w:pPr>
        <w:ind w:right="200" w:firstLine="440"/>
        <w:spacing w:after="0" w:line="281" w:lineRule="auto"/>
        <w:rPr>
          <w:sz w:val="20"/>
          <w:szCs w:val="20"/>
          <w:color w:val="auto"/>
        </w:rPr>
      </w:pPr>
      <w:r>
        <w:rPr>
          <w:rFonts w:ascii="Times New Roman" w:cs="Times New Roman" w:eastAsia="Times New Roman" w:hAnsi="Times New Roman"/>
          <w:sz w:val="17"/>
          <w:szCs w:val="17"/>
          <w:color w:val="auto"/>
        </w:rPr>
        <w:t>On March 26, 2024, Magnachip Semiconductor, Ltd., a Korean limited liability company (“MSK”) and indirect wholly owned subsidiary of the Company, executed a Standard Credit Agreement (together with its General Terms and Conditions, the “Loan Agreement”) with Korea Development Bank (“KDB”). In connection with the Loan Agreement, on March 26, 2024, MSK entered into a Kun-Pledge (Mortgage) Agreement (the “Pledge Agreement”) with KDB pursuant to which MSK pledged its real property and buildings located in Gumi, Korea (“Fab 3 properties”) in favor of KDB.</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93" w:right="439" w:bottom="1440" w:gutter="0" w:footer="0" w:header="0"/>
        </w:sectPr>
      </w:pPr>
    </w:p>
    <w:bookmarkStart w:id="92" w:name="page93"/>
    <w:bookmarkEnd w:id="92"/>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Loan Agreement provides for a working capital term loan (the “Term Loan”) of KRW 40,000,000,000 (approximately $29,835 thousand based on the KRW/USD exchange rate of 1,340.7:1 as of March 26, 2024 as quoted by KEB Hana Bank), which was funded in full to MSK on March 26, 2024.</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Term Loan bears interest at a variable rate equal to the 3-month CD rate quoted by KDB, plus 1.21%, which rate is adjusted quarterly. The initial interest rate on the Term Loan was 4.86% per annum. The Term Loan requires monthly interest-only payments and matures on March 26, 2027, at which time the full principal balance will be due and payable. All obligations of MSK under the Loan Agreement and the Term Loan are secured by the Fab 3 properties pursuant to the Pledge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approximately $27,211 thousand aggregate principal amount of the Term Loan was outstanding.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CAPEX Loans</w:t>
      </w:r>
    </w:p>
    <w:p>
      <w:pPr>
        <w:spacing w:after="0" w:line="121"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On December 16, 2024, MSK executed a Standard Credit Agreement (together with its General Terms and Conditions, the “Equipment Financing Credit Agreement”) with KDB. In connection with the Equipment Financing Credit Agreement, on December 16, 2024, MSK also entered into a Kun-Pledge Agreement (the “Equipment Pledge Agreement”) with KDB with respect to the pledge by MSK in favor of KDB of certain machinery and equipment currently owned by MSK, which are located in its fabrication facility located in Gumi, Korea (“Fab 3 machinery and equipment”).</w:t>
      </w:r>
    </w:p>
    <w:p>
      <w:pPr>
        <w:spacing w:after="0" w:line="164"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Equipment Financing Credit Agreement provides for loans for MSK’s capital expenditures (the “CAPEX Loans”) up to an aggregate of KRW 38,000,000,000 ($26,523 thousand based on the KRW/USD exchange rate of 1,432.7:1 as of December 16, 2024 as quoted by KEB Hana Bank), which will be funded directly to capital expenditure supply vendors by KDB upon the submission of a request form by MSK with the necessary evidence such as purchase agreement, invoice and other documentation, as applicable.</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CAPEX Loans will bear interest at a variable rate equal to the 3-month CD rate quoted by KDB, plus 0.68%, which rate is adjusted quarterly. The initial interest rate on CAPEX Loans was 3.97% per annum. CAPEX Loans mature in 10 years from the initial loan disbursement date (the “Maturity Date”), with an initial 2-year (measured from the first loan disbursement date) interest-only payment period during which only interest is paid monthly, followed by 8 years of amortizing payments where the principal is repaid in equal installments every 3 months and interest is paid monthly. The Equipment Financing Credit Agreement contains customary representations of MSK in connection with the execution of the agreement and with each borrowing of CAPEX Loans and customary terms and conditions for a secured equipment financing loan of this type in Korea. All obligations of MSK under the Equipment Financing Credit Agreement and CAPEX Loans are secured by certain Fab 3 machinery and equipment pursuant to the Equipment Pledge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there was no CAPEX loan outstanding under the Equipment Financing Credit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Severance Benefits</w:t>
      </w:r>
    </w:p>
    <w:p>
      <w:pPr>
        <w:spacing w:after="0" w:line="12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majority of accrued severance benefits are for employees in the Company’s Korean subsidiaries. Pursuant to Employee Retirement Benefit Security Act of Korea, eligible employees and executive officers with one or more years of service are entitled to severance benefits upon the termination of their employment based 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93" w:right="459" w:bottom="1440" w:gutter="0" w:footer="0" w:header="0"/>
        </w:sectPr>
      </w:pPr>
    </w:p>
    <w:bookmarkStart w:id="93" w:name="page94"/>
    <w:bookmarkEnd w:id="93"/>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length of service and rate of pay. As of December 31, 2024, 95% of all employees of the Company were eligible for severance benefits.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accrued severance benefits are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(5,951)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w:t>
            </w: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45,932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Cumulative contributions to severance insurance deposit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(28,476)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(29,882)</w:t>
            </w:r>
          </w:p>
        </w:tc>
      </w:tr>
      <w:tr>
        <w:trPr>
          <w:trHeight w:val="216"/>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 National Pension Fund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severance benefits funded through the Company’s National Pension Fund have been and will be used exclusively for payment of severance benefits to eligible employees. These amounts have been deducted from the accrued severance benefit balance.</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Company is liable to pay the following future benefits to its non-executive employees upon their normal retirement age (in thousands):</w:t>
      </w:r>
    </w:p>
    <w:p>
      <w:pPr>
        <w:spacing w:after="0" w:line="23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Severance</w:t>
            </w:r>
          </w:p>
        </w:tc>
      </w:tr>
      <w:tr>
        <w:trPr>
          <w:trHeight w:val="173"/>
        </w:trPr>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Benefit</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2,980</w:t>
            </w: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2030 – 2034</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19,680</w:t>
            </w:r>
          </w:p>
        </w:tc>
      </w:tr>
    </w:tbl>
    <w:p>
      <w:pPr>
        <w:spacing w:after="0" w:line="17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76"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Korea’s mandatory retirement age is 60 years of age or older under the Employment Promotion for the Aged Act. The Company sets the retirement age of employees at 60.</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20"/>
          </w:cols>
          <w:pgMar w:left="440" w:top="293" w:right="539" w:bottom="1440" w:gutter="0" w:footer="0" w:header="0"/>
        </w:sectPr>
      </w:pPr>
    </w:p>
    <w:bookmarkStart w:id="94" w:name="page95"/>
    <w:bookmarkEnd w:id="94"/>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Repurchases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Stock Repurchase Program</w:t>
      </w:r>
    </w:p>
    <w:p>
      <w:pPr>
        <w:spacing w:after="0" w:line="121"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color w:val="auto"/>
        </w:rPr>
        <w:t>On August 31, 2022, the Board of Directors authorized an expansion of the Company’s previously announced stock repurchase program from $75 million to $87.5 million of its common stock. The Company has already repurchased shares worth $37.5 million under the program through an accelerated stock repurchase agreement on December 21, 2021 with JPMorgan Chase Bank, National Association. The remaining $50 million of the expanded $87.5 million program was planned to be repurchased in the open market or through privately negotiated transactions.</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From September 2022 to December 2022, the Company repurchased 1,235,650 shares of its common stock in the open market for an aggregate purchase price of $12.5 million and a weighted average price per share of $10.13 under the stock repurchase program.</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During the first half of 2023, the Company repurchased 3,705,443 shares of its common stock in the open market for an aggregate purchase price of $37.4 million and a weighted average price per share of $10.10 under the expanded stock repurchase program. As of the end of June 2023, the Company had completed the repurchase of its common stock under its expanded stock repurchase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Stock Repurchase Program</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July 19, 2023, the Board of Directors authorized a new $50 million stock buyback program. Purchases have been and will be made in the open market or in privately negotiated transactions, depending upon market conditions and other factors.</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From August 2023 to December 2023, the Company repurchased 1,730,173 shares of its common stock in the open market for an aggregate purchase price of $13.6 million and a weighted average price per share of $7.84 under the new stock repurchase program.</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From January 2024 to December 2024, the Company repurchased 2,349,811 shares of its common stock in the open market for an aggregate purchase price of $11.8 million and a weighted average price per share of $5.04 under the new stock repurchase program.</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From January 2025 to February 2025, the Company repurchased 31,254 shares of its common stock in the open market for an aggregate purchase price of $0.1 million and a weighted average price per share of $3.95 under the new stock repurchase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Incentive Plans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Compensation Recovery Policy of the 2011 Plan. The 2011 Plan was amended on April 26, 2018 to amend the tax withholding provisions as they relate to directed sales of shares. At the 2020 Annual Meeting of Stockholders, the Company’s stockholders approved its 2020 Equity and Incentive Compensation Plan, or the 2020 Plan, which is administered by the Compensation Committee. Following the adoption of the 2020 Plan, no further awards may be issued under the 2011 Plan. At the 2023</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0"/>
          </w:cols>
          <w:pgMar w:left="440" w:top="293" w:right="499" w:bottom="1440" w:gutter="0" w:footer="0" w:header="0"/>
        </w:sectPr>
      </w:pPr>
    </w:p>
    <w:bookmarkStart w:id="95" w:name="page96"/>
    <w:bookmarkEnd w:id="95"/>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Annual Meeting of Stockholders held on May 18, 2023, the Company’s stockholders approved an increase of an additional 1,990,000 shares of the Company’s common stock available for issuance under the 2020 Plan.</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stock appreciation rights, restricted 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 As of December 31, 2024 an aggregate maximum of 13,342,919 shares were authorized and 1,107,013 shares were reserved for all future grants.</w:t>
      </w:r>
    </w:p>
    <w:p>
      <w:pPr>
        <w:spacing w:after="0" w:line="187"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Stock options and stock appreciation rights must have exercise prices at least equal to the fair market value of the stock at the time of their grant pursuant to the 2011 Plan and 2020 Plan. Stock options typically vest over one to three years following grant, subject to the participant’s continued service through the applicable vesting dates. As of December 31, 2024, no stock options or stock appreciation rights had been granted under 2020 Plan.</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Restricted stock units granted under the 2011 Plan and 2020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 Restricted stock units typically vest over one to three years following grant, subject to the participant’s continued service through the applicable vesting dates.</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Restricted stock constitutes an immediate transfer of the ownership of shares of the Company’s common stock to the participant in consideration of the performance of services, entitling such participant to voting, dividend and other ownership rights, subject to the substantial risk of forfeiture and restrictions on transfer determined by the Compensation Committee for a period of time determined by the Compensation Committee or until certain management objectives specified by the Compensation Committee are achieved. Each grant of restricted stock may be made without additional consideration or in consideration of a payment by the participant that is less than the fair market value per share of common stock on the grant date. Stock issued pursuant to any 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A grant of restricted stock may require that any and all dividends and distributions paid on restricted stock that remains subject to a substantial risk of forfeiture be automatically deferred and/or reinvested in additional restricted stock, which will be subject to the same restrictions as the underlying restricted stock, but any such dividends or other distributions on restricted stock must be deferred until, and paid contingent upon, the vesting of such restricted stock.</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60"/>
          </w:cols>
          <w:pgMar w:left="440" w:top="293" w:right="499" w:bottom="1440" w:gutter="0" w:footer="0" w:header="0"/>
        </w:sectPr>
      </w:pPr>
    </w:p>
    <w:bookmarkStart w:id="96" w:name="page97"/>
    <w:bookmarkEnd w:id="96"/>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restricted stock unit activities for the year ended December 31, 2024.</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7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1,006,367</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1,635,014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(527,113)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(160,526)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1,953,742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compensation expenses recorded for the restricted stock units were $6,214 thousand and $7,223 thousand for the years ended December 31,</w:t>
      </w:r>
    </w:p>
    <w:p>
      <w:pPr>
        <w:spacing w:after="0" w:line="27"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2024 and 2023, respectively. As of December 31, 2024, there was $5,425 thousand of total unrecognized compensation cost related to unvested restricted stock units, which is expected to be recognized over a weighted average future period of 1.4 year. Total fair value of restricted stock units vested were $4,603 thousand and $6,634 thousand for the years ended December 31, 2024 and 2023, respectively.</w:t>
      </w:r>
    </w:p>
    <w:p>
      <w:pPr>
        <w:spacing w:after="0" w:line="18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summarizes stock option activities for the year ended December 31, 2024. At the date of grant, all options had an exercise price not less than the fair value of common stock (aggregate intrinsic value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8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Life of</w:t>
            </w: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802,858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459</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2.0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(45,000)</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(29,066)</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728,792</w:t>
            </w:r>
          </w:p>
        </w:tc>
        <w:tc>
          <w:tcPr>
            <w:tcW w:w="24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2024</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728,792</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compensation expenses recorded for the stock options for the years ended December 31, 2024 and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Impairment and Other Charges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reviews property, plant and equipment and other long-lived assets for impairment whenever events or changes in circumstances indicate that the carrying amount may not be recoverable in accordance with ASC 360, “Property, Plant and Equipment.”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93" w:right="4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the Company identified impairment indicators for certain assets within its Display business, which operates under the Mixed-Signal Solutions (“MSS”) business line. The Company operates as a single reportable segment, standard products business, consisting of two business lines: MSS business line and the Power Analog Solutions (“PAS”) business line. The MSS business line included Power IC and Display businesses, with the impairment assessment focused solely on the Display business.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Factors considered in the impairment analysis include: (i) a sharp decline in actual performance compared to historical results, (ii) significantly lower-than-expected future performance projections, (iii) a sustained decrease in market capitalization below net book value, and (iv) significant negative industry or economic trends. Based on these factors, the Company determined that the recoverability of the Display business asset group should be assessed.</w:t>
      </w:r>
    </w:p>
    <w:p>
      <w:pPr>
        <w:spacing w:after="0" w:line="180"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ASC 360-10, the Company evaluated the impairment at the asset group level, which is the lowest level for which identifiable cash flows are largely independent of other assets and liabilities. The recoverability test was performed by comparing the carrying amount of the asset group to its estimated future undiscounted pre-tax cash flows over the remaining useful life of the primary long-lived asset. As a result of this analysis, the Company concluded that the carrying value of the Display business asset group was not fully recoverable and determined its fair value using the discounted cash flow (DCF) method, which led to the recognition of an impairment charge of $4,637 thousand. This charge has been included in impairment and other charges in the consolidated statements of operations for the year ended December 31, 2024.</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Charges</w:t>
      </w:r>
    </w:p>
    <w:p>
      <w:pPr>
        <w:spacing w:after="0" w:line="121"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recorded a one-time cumulative financial impact of $2,017 thousand in its consolidated statement of operations in connection with certain employee benefits.</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Company recorded in its consolidated statement of operations $802 thousand of one-time employee incentives, which were paid during the third quarter of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Early Termination Charges</w:t>
      </w:r>
    </w:p>
    <w:p>
      <w:pPr>
        <w:spacing w:after="0" w:line="121"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For the year ended December 31, 2023, the Company recorded in its consolidated statement of operations $8,449 thousand of termination related charges as “early termination charges” in connection with the Program, which was available for the employees with more than 20 years of service.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Foreign Currency Gain (Loss), Net</w:t>
      </w:r>
    </w:p>
    <w:p>
      <w:pPr>
        <w:spacing w:after="0" w:line="121"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MSK, one of the Company’s Korean subsidiaries. The loans are denominated in U.S. dollars and are affected by changes in the exchange rate between the Korean won and the U.S. dollar. As of December 31, 2024 and 2023, the outstanding intercompany loan balances including accrued interest between MSK and the Dutch subsidiary were $257,670 thousand and $285,136 thousand, respectively. The Korean won to U.S. dollar exchange rates were 1,470.0:1 and 1,289.4:1 using the first base rate as of December 31, 2024 and 2023, respectively, as quoted by the KEB Hana Bank.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93" w:right="459" w:bottom="1440" w:gutter="0" w:footer="0" w:header="0"/>
        </w:sectPr>
      </w:pPr>
    </w:p>
    <w:bookmarkStart w:id="98" w:name="page99"/>
    <w:bookmarkEnd w:id="98"/>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Company’s income tax expense (benefit) is composed of domestic and foreign income taxes depending on the relevant tax jurisdictions.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 income (loss) before income tax expense (benefit) is generated or incurred in the United States, where the parent company resides.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 (in thousands):</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386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2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(51,688)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(50,250)</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(62,643)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(47,559)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Uncertain tax position liability (foreign)</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2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(12,876)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(13,929)</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2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(10,937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56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440" w:top="293" w:right="919" w:bottom="1440" w:gutter="0" w:footer="0" w:header="0"/>
        </w:sectPr>
      </w:pPr>
    </w:p>
    <w:bookmarkStart w:id="99" w:name="page100"/>
    <w:bookmarkEnd w:id="99"/>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provision for domestic and foreign income taxes (benefit) incurred is different from the amount calculated by applying the statutory tax rate to the income (loss) before income tax expense (benefit). The significant items causing this difference are as follows (in thousands):</w:t>
      </w:r>
    </w:p>
    <w:p>
      <w:pPr>
        <w:spacing w:after="0" w:line="182"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478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computed at statutory rates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(13,155)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statutory tax rates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foreign tax rates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assets/liabilities adjustment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TPECs, hybrid and other interest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Permanent foreign currency loss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Penalty</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Subpart F income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Intercompany debt restructuring</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Disallowed tax attributes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Tax credits claimed</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liability</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operating loss carry-forwards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local taxes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(10,937)</w:t>
            </w:r>
          </w:p>
        </w:tc>
      </w:tr>
      <w:tr>
        <w:trPr>
          <w:trHeight w:val="20"/>
        </w:trPr>
        <w:tc>
          <w:tcPr>
            <w:tcW w:w="4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permanent tax benefit of $4,147 thousand was related to disallowed tax attributes associated with assets of MSS business line which were transferred as an in-kind contribution between two Korean subsidiaries in January, 2024. The permanent tax expense of $3,125 thousand related to intercompany debt restructuring recorded for the year ended December 31, 2024 was derived from the waiver and release of unpaid interests of the intercompany loans granted to one of the Company’s Korean subsidiaries by the Dutch subsidiary. In connection with the waiver of unpaid interests, the related withholding tax was reversed, resulting in the recognition of income tax benefit of $172 thousand.</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the withholding tax expense of $1,594 thousand and the permanent tax benefit of $2,003 thousand recorded were related to the intercompany loans granted to the Korean subsidiary by the Dutch subsidiary. The permanent tax benefit of $910 thousand related to foreign currency gain was mainly derived from the unrealized foreign translation gain associated with the intercompany loan granted to the Luxembourg subsidiary by the U.S. parent company. The Company did not have a permanent difference related to Global intangible low-taxed income (“GILTI”) in the U.S., mainly due to the Korean subsidiary’s current year loss.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93" w:right="459" w:bottom="1440" w:gutter="0" w:footer="0" w:header="0"/>
        </w:sectPr>
      </w:pPr>
    </w:p>
    <w:bookmarkStart w:id="100" w:name="page101"/>
    <w:bookmarkEnd w:id="100"/>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composition of net deferred income tax assets (liabilities) as of December 31, 2024 and 2023 are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severance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19,049</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NOL carry-forwards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96,358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96,361</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deduction limitation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164,121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154,540</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(81,653)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(87,201)</w:t>
            </w:r>
          </w:p>
        </w:tc>
      </w:tr>
      <w:tr>
        <w:trPr>
          <w:trHeight w:val="230"/>
        </w:trPr>
        <w:tc>
          <w:tcPr>
            <w:tcW w:w="6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67,339</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benefit deposits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13,090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16,506</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50,833</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has not recognized a deferred tax liability related to outside basis differences inherent in its foreign subsidiaries because the investments in those foreign subsidiaries within the group are essentially permanent in duration or earnings in foreign subsidiaries are intended to be indefinitely reinvested. It is not practicable to estimate the amount of deferred income taxes not recorded that are associated with those outside basis differences. If circumstances change and it becomes apparent that the undistributed earnings from foreign subsidiaries will be remitted or the parent entity will dispose of its interest in the subsidiaries in the foreseeable future, and related income taxes have not been recognized by the parent entity, the parent entity will accrue as an expense of the current period income taxes attributable to that remittance or disposition.</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20"/>
          </w:cols>
          <w:pgMar w:left="440" w:top="293" w:right="539" w:bottom="1440" w:gutter="0" w:footer="0" w:header="0"/>
        </w:sectPr>
      </w:pPr>
    </w:p>
    <w:bookmarkStart w:id="101" w:name="page102"/>
    <w:bookmarkEnd w:id="101"/>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valuation allowance for deferred tax assets for the years ended December 31, 2024 and 2023 are as follows (in thousands):</w:t>
      </w:r>
    </w:p>
    <w:p>
      <w:pPr>
        <w:spacing w:after="0" w:line="24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$87,201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$84,563</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Reductions</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(5,510)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3,066</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81,653</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87,201</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respectively, the Company recorded a valuation allowance of $81,653 thousand and $87,201 thousand on its deferred tax assets related to temporary differences, net operating loss carry-forwards and tax credits of domestic and foreign subsidiaries.</w:t>
      </w:r>
    </w:p>
    <w:p>
      <w:pPr>
        <w:spacing w:after="0" w:line="162"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has recorded a full valuation allowance against one of Korean subsidiaries and certain foreign subsidiaries’ deferred tax assets pertaining to its related tax loss carry-forwards that are not anticipated to generate a tax benefit. The valuation allowances at December 31, 2024 and 2023 were primarily attributable to its Luxembourg subsidiary.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net operating loss carry-forwards balance as of December 31, 2024 and 2023 are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9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tcBorders>
              <w:top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NOL carry-forwards</w:t>
            </w:r>
          </w:p>
        </w:tc>
        <w:tc>
          <w:tcPr>
            <w:tcW w:w="2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$418,102</w:t>
            </w: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$ 403,989</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$418,102 thousand of net operating loss carry-forwards available to offset future taxable income, of which $265,295 thousand is associated with the Company’s Luxembourg subsidiary, mainly attributable to certain expenses incurred in connection with its shareholding in the Company’s Dutch subsidiary. Of the $265,295 thousand net operating loss carry-forwards, $257,036 thousand is carried forward indefinitely and the remaining $8,259 thousand expires from 2034 through 2041. The net operating loss carry-forwards retained by the Company’s U.S. parent amounts to $53,440 thousand, $3,063 thousand is carried forward indefinitely and the remaining $50,377 thousand expires at various dates through 2037. The total net operating loss carry-forwards retained by the Company’s Korean subsidiaries amounts to $99,367 thousand, in which $58,837 thousand expires in 2038, and the remaining $40,530 thousand expires in 2039.</w:t>
      </w:r>
    </w:p>
    <w:p>
      <w:pPr>
        <w:spacing w:after="0" w:line="189"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The Company utilized net operating loss of $402 and $1,886 thousand for the years ended December 31, 2024 and 2023, respectively. The Company also has Dutch tax credit carry-forwards of approximately $13,010 thousand as of December 31, 2024. The Dutch tax credits are carried forward to be used for an indefinite period of time.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in Income Taxes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Korea, Japan, Taiwan, and the U.S. and in various other jurisdictions. The Company is subject to income- or non-income tax examinations by tax authorities of these jurisdictions for all open tax years.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93" w:right="459" w:bottom="1440" w:gutter="0" w:footer="0" w:header="0"/>
        </w:sectPr>
      </w:pPr>
    </w:p>
    <w:bookmarkStart w:id="102" w:name="page103"/>
    <w:bookmarkEnd w:id="102"/>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2024 and 2023, the Company recorded $253 thousand and $274 thousand of unrecognized tax benefits, respectively.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tabular reconciliation of the total amounts of unrecognized tax benefits at the beginning and end of each period is as follows (in thousands):</w:t>
      </w:r>
    </w:p>
    <w:p>
      <w:pPr>
        <w:spacing w:after="0" w:line="246"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70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balance at the beginning</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$274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0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balance at the ending</w:t>
            </w: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253</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274</w:t>
            </w:r>
          </w:p>
        </w:tc>
      </w:tr>
      <w:tr>
        <w:trPr>
          <w:trHeight w:val="20"/>
        </w:trPr>
        <w:tc>
          <w:tcPr>
            <w:tcW w:w="7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interest and penalties related to unrecognized tax benefits were recognized as of December 31, 2024 and 2023.</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is currently unaware of any uncertain tax positions that could result in significant additional payments, accruals, or other material deviations from this estimate over the next 12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Geographic and Other Information</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operates within a single operating segment, standard products business, and also separately reports Transitional Fab 3 Foundry Services revenue and cost of sales.</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Chief Executive Officer, as the chief operating decision maker (“CODM”), organizes the Company and measures performance of two business lines of MSS and PAS in the standard products business at the level of revenue and gross profit margin by comparing actual results against previously forecasted targets.</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Company’s CODM does not evaluate the performance of each business line using any information, such as asset or liability, other than revenue and gross profit margin.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previous reporting periods, the Company categorized revenues from two business lines in its standard products business: the Display Solutions business line and the Power Solutions business line. As part of the Reorganization, the Company regrouped its standard products business into the Mixed-Signal Solutions business line and the Power Analog Solutions business line. Accordingly, effective as of the first quarter of fiscal 2024, the Company categorizes its standard product business revenue by those two regrouped business lines. See “Note 1. Business, Basis of Presentation and Significant Accounting Policies—Business” for additional information regarding the Reorganization.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20"/>
          </w:cols>
          <w:pgMar w:left="440" w:top="293" w:right="539" w:bottom="1440" w:gutter="0" w:footer="0" w:header="0"/>
        </w:sectPr>
      </w:pPr>
    </w:p>
    <w:bookmarkStart w:id="103" w:name="page104"/>
    <w:bookmarkEnd w:id="103"/>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Revenues for the year ended December 31, 2023 from its previous product categories have been reclassified in order to conform to the current period presentation as follows (in thousands):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MSS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PAS</w:t>
            </w:r>
          </w:p>
        </w:tc>
        <w:tc>
          <w:tcPr>
            <w:tcW w:w="500" w:type="dxa"/>
            <w:vAlign w:val="bottom"/>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w:t>
            </w:r>
          </w:p>
        </w:tc>
      </w:tr>
      <w:tr>
        <w:trPr>
          <w:trHeight w:val="196"/>
        </w:trPr>
        <w:tc>
          <w:tcPr>
            <w:tcW w:w="3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Display Solutions</w:t>
            </w:r>
          </w:p>
        </w:tc>
        <w:tc>
          <w:tcPr>
            <w:tcW w:w="25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32,134</w:t>
            </w:r>
          </w:p>
        </w:tc>
        <w:tc>
          <w:tcPr>
            <w:tcW w:w="5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8"/>
              </w:rPr>
              <w:t>$32,134</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20"/>
                <w:szCs w:val="20"/>
                <w:color w:val="auto"/>
                <w:w w:val="97"/>
              </w:rPr>
              <w:t>$ 32,134</w:t>
            </w:r>
          </w:p>
        </w:tc>
        <w:tc>
          <w:tcPr>
            <w:tcW w:w="80" w:type="dxa"/>
            <w:vAlign w:val="bottom"/>
            <w:tcBorders>
              <w:top w:val="single" w:sz="8" w:color="CCEEFF"/>
            </w:tcBorders>
            <w:shd w:val="clear" w:color="auto" w:fill="CCEEFF"/>
          </w:tcPr>
          <w:p>
            <w:pPr>
              <w:spacing w:after="0"/>
              <w:rPr>
                <w:sz w:val="17"/>
                <w:szCs w:val="17"/>
                <w:color w:val="auto"/>
              </w:rPr>
            </w:pPr>
          </w:p>
        </w:tc>
      </w:tr>
      <w:tr>
        <w:trPr>
          <w:trHeight w:val="22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Power Solutions</w:t>
            </w:r>
          </w:p>
        </w:tc>
        <w:tc>
          <w:tcPr>
            <w:tcW w:w="18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163,556</w:t>
            </w: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151,324</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163,556</w:t>
            </w:r>
          </w:p>
        </w:tc>
        <w:tc>
          <w:tcPr>
            <w:tcW w:w="80" w:type="dxa"/>
            <w:vAlign w:val="bottom"/>
          </w:tcPr>
          <w:p>
            <w:pPr>
              <w:spacing w:after="0"/>
              <w:rPr>
                <w:sz w:val="19"/>
                <w:szCs w:val="19"/>
                <w:color w:val="auto"/>
              </w:rPr>
            </w:pPr>
          </w:p>
        </w:tc>
      </w:tr>
      <w:tr>
        <w:trPr>
          <w:trHeight w:val="216"/>
        </w:trPr>
        <w:tc>
          <w:tcPr>
            <w:tcW w:w="30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195,690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$ 44,366</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151,324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$ 195,690</w:t>
            </w:r>
          </w:p>
        </w:tc>
        <w:tc>
          <w:tcPr>
            <w:tcW w:w="80" w:type="dxa"/>
            <w:vAlign w:val="bottom"/>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relating to the operating segment, standard products business, as well as the Transitional Fab 3 Foundry Services (in thousands). For financial information below gross profit, including operating income and expenses as well as other income and expenses, please refer to the Company’s consolidated statement of operations.</w:t>
      </w:r>
    </w:p>
    <w:p>
      <w:pPr>
        <w:spacing w:after="0" w:line="19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$ 54,336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44,366</w:t>
            </w:r>
          </w:p>
        </w:tc>
        <w:tc>
          <w:tcPr>
            <w:tcW w:w="0" w:type="dxa"/>
            <w:vAlign w:val="bottom"/>
          </w:tcPr>
          <w:p>
            <w:pPr>
              <w:spacing w:after="0"/>
              <w:rPr>
                <w:sz w:val="1"/>
                <w:szCs w:val="1"/>
                <w:color w:val="auto"/>
              </w:rPr>
            </w:pPr>
          </w:p>
        </w:tc>
      </w:tr>
      <w:tr>
        <w:trPr>
          <w:trHeight w:val="216"/>
        </w:trPr>
        <w:tc>
          <w:tcPr>
            <w:tcW w:w="3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166,804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151,324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221,140</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195,690</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10,597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34,361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231,737</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$ 230,051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4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Cost of Sales</w:t>
            </w:r>
          </w:p>
        </w:tc>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$ 32,706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29,397</w:t>
            </w:r>
          </w:p>
        </w:tc>
        <w:tc>
          <w:tcPr>
            <w:tcW w:w="0" w:type="dxa"/>
            <w:vAlign w:val="bottom"/>
          </w:tcPr>
          <w:p>
            <w:pPr>
              <w:spacing w:after="0"/>
              <w:rPr>
                <w:sz w:val="1"/>
                <w:szCs w:val="1"/>
                <w:color w:val="auto"/>
              </w:rPr>
            </w:pPr>
          </w:p>
        </w:tc>
      </w:tr>
      <w:tr>
        <w:trPr>
          <w:trHeight w:val="216"/>
        </w:trPr>
        <w:tc>
          <w:tcPr>
            <w:tcW w:w="3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135,302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114,365</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168,008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143,762</w:t>
            </w: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11,814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34,649</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179,822</w:t>
            </w:r>
          </w:p>
        </w:tc>
        <w:tc>
          <w:tcPr>
            <w:tcW w:w="10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$ 178,411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6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2023 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Standard products business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Mixed-Signal Solutions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21,630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31,502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standard products business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53,132</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Transitional Fab 3 foundry services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28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$ 51,915</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80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440" w:top="293" w:right="679" w:bottom="1440" w:gutter="0" w:footer="0" w:header="0"/>
        </w:sectPr>
      </w:pPr>
    </w:p>
    <w:bookmarkStart w:id="104" w:name="page105"/>
    <w:bookmarkEnd w:id="104"/>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summary of net sales—standard products business (which does not include the Transitional Fab 3 Foundry Services) by geographic region, based on the location to which the products are billed (in thousands):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3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85,991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66,817</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(other than Korea)</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127,967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119,244</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2,830</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6,799</w:t>
            </w:r>
          </w:p>
        </w:tc>
      </w:tr>
      <w:tr>
        <w:trPr>
          <w:trHeight w:val="27"/>
        </w:trPr>
        <w:tc>
          <w:tcPr>
            <w:tcW w:w="4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221,140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195,690</w:t>
            </w:r>
          </w:p>
        </w:tc>
      </w:tr>
      <w:tr>
        <w:trPr>
          <w:trHeight w:val="20"/>
        </w:trPr>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of the Company’s net sales—standard products business in Asia Pacific (other than Korea), net sales—standard products business in Greater China (China and Hong Kong) represented 74.8% and 67.0%, respectively, and net sales—standard products business in Japan represented 10.1% and 11.5%, respectively.</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Net sales from the Company’s top ten largest customers in the standard products business (which does not include the Transitional Fab 3 Foundry Services) accounted for 74% and 69% for the years ended December 31, 2024 and 2023, respectively.</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the Company had two customers that represented 21.4% and 14.7% of its net sales—standard products business, and for the year ended December 31, 2023, the Company had two customers that represented 16.7% and 13.4% of its net sales—standard products business.</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2024, one customer of the Company’s standard products business accounted for 34.8% of its accounts receivable – standard products business (which does not include the Transitional Fab 3 Foundry Services). As of December 31, 2023, three customers of the Company’s standard products business accounted for 34.9%, 14.4% and 13.9% of its accounts receivable – standard products business (which does not include the Transitional Fab 3 Foundry Services), respectively.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97% of the Company’s property, plant and equipment are located in Korea as of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Accumulated Other Comprehensive Loss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 at December 31, 2024 and 2023, respectively (in thousands):</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20" w:type="dxa"/>
        <w:tblCellMar>
          <w:top w:w="0" w:type="dxa"/>
          <w:left w:w="0" w:type="dxa"/>
          <w:bottom w:w="0" w:type="dxa"/>
          <w:right w:w="0" w:type="dxa"/>
        </w:tblCellMar>
      </w:tblPr>
      <w:tr>
        <w:trPr>
          <w:trHeight w:val="142"/>
        </w:trPr>
        <w:tc>
          <w:tcPr>
            <w:tcW w:w="35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9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$(20,927)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$(15,348)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adjustments</w:t>
            </w:r>
          </w:p>
        </w:tc>
        <w:tc>
          <w:tcPr>
            <w:tcW w:w="29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(21,893)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92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93" w:right="519" w:bottom="1440" w:gutter="0" w:footer="0" w:header="0"/>
        </w:sectPr>
      </w:pPr>
    </w:p>
    <w:bookmarkStart w:id="105" w:name="page106"/>
    <w:bookmarkEnd w:id="105"/>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accumulated other comprehensive loss for the years ended December 31, 2024 and 2023 are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5"/>
          </w:tcPr>
          <w:p>
            <w:pPr>
              <w:jc w:val="center"/>
              <w:ind w:right="521"/>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5"/>
          </w:tcPr>
          <w:p>
            <w:pPr>
              <w:jc w:val="center"/>
              <w:ind w:right="52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1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780" w:type="dxa"/>
            <w:vAlign w:val="bottom"/>
            <w:vMerge w:val="restart"/>
          </w:tcPr>
          <w:p>
            <w:pPr>
              <w:spacing w:after="0"/>
              <w:rPr>
                <w:sz w:val="12"/>
                <w:szCs w:val="12"/>
                <w:color w:val="auto"/>
              </w:rPr>
            </w:pPr>
          </w:p>
        </w:tc>
        <w:tc>
          <w:tcPr>
            <w:tcW w:w="1260" w:type="dxa"/>
            <w:vAlign w:val="bottom"/>
            <w:gridSpan w:val="6"/>
          </w:tcPr>
          <w:p>
            <w:pPr>
              <w:jc w:val="center"/>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10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auto"/>
            </w:tcBorders>
            <w:vMerge w:val="continue"/>
          </w:tcPr>
          <w:p>
            <w:pPr>
              <w:spacing w:after="0"/>
              <w:rPr>
                <w:sz w:val="15"/>
                <w:szCs w:val="15"/>
                <w:color w:val="auto"/>
              </w:rPr>
            </w:pPr>
          </w:p>
        </w:tc>
        <w:tc>
          <w:tcPr>
            <w:tcW w:w="5780" w:type="dxa"/>
            <w:vAlign w:val="bottom"/>
            <w:vMerge w:val="continue"/>
          </w:tcPr>
          <w:p>
            <w:pPr>
              <w:spacing w:after="0"/>
              <w:rPr>
                <w:sz w:val="15"/>
                <w:szCs w:val="15"/>
                <w:color w:val="auto"/>
              </w:rPr>
            </w:pPr>
          </w:p>
        </w:tc>
        <w:tc>
          <w:tcPr>
            <w:tcW w:w="1260" w:type="dxa"/>
            <w:vAlign w:val="bottom"/>
            <w:gridSpan w:val="6"/>
          </w:tcPr>
          <w:p>
            <w:pPr>
              <w:jc w:val="center"/>
              <w:ind w:right="441"/>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100" w:type="dxa"/>
            <w:vAlign w:val="bottom"/>
            <w:gridSpan w:val="5"/>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(15,348</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(14,657</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(5,579)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8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(5,579)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(20,927)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(21,893)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9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2"/>
                <w:szCs w:val="12"/>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7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auto"/>
            </w:tcBorders>
            <w:vMerge w:val="continue"/>
          </w:tcPr>
          <w:p>
            <w:pPr>
              <w:spacing w:after="0"/>
              <w:rPr>
                <w:sz w:val="15"/>
                <w:szCs w:val="15"/>
                <w:color w:val="auto"/>
              </w:rPr>
            </w:pPr>
          </w:p>
        </w:tc>
        <w:tc>
          <w:tcPr>
            <w:tcW w:w="5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4"/>
          </w:tcPr>
          <w:p>
            <w:pPr>
              <w:jc w:val="center"/>
              <w:ind w:right="261"/>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5"/>
                <w:szCs w:val="15"/>
                <w:color w:val="auto"/>
              </w:rPr>
            </w:pPr>
          </w:p>
        </w:tc>
        <w:tc>
          <w:tcPr>
            <w:tcW w:w="100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(11,328</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(1,225</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(12,553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3,452</w:t>
            </w: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(15,348)</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691</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(14,657)</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was an income tax benefit of $463 thousand related to changes in accumulated other comprehensive loss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There was an income tax expense of $452 thousand related to changes in accumulated other comprehensive loss for the year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Loss Per Share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computation of basic and diluted loss per common share for the years ended December 31, 2024 and 2023:</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gridSpan w:val="5"/>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2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except share data)</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per share</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(54,308)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(36,622)</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37,774,280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41,013,069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loss per share</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(54,308)</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(36,622)</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stock outstanding</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37,774,280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41,013,069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effect of dilutive equity awards</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stock outstanding</w:t>
            </w:r>
          </w:p>
        </w:tc>
        <w:tc>
          <w:tcPr>
            <w:tcW w:w="2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37,774,280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41,013,069</w:t>
            </w:r>
          </w:p>
        </w:tc>
        <w:tc>
          <w:tcPr>
            <w:tcW w:w="1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(1.44)</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r>
      <w:tr>
        <w:trPr>
          <w:trHeight w:val="34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tcPr>
          <w:p>
            <w:pPr>
              <w:jc w:val="right"/>
              <w:ind w:right="169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106" w:name="page107"/>
    <w:bookmarkEnd w:id="106"/>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82"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Diluted earnings (loss) per share adjusts basic earnings (loss) per share for the potentially dilutive impact of stock options and restricted stock units. As the Company has reported loss for the years ended December 31, 2024 and 2023, all potentially dilutive securities are antidilutive and accordingly not considered, therefore basic net loss per share equals diluted net loss per share.</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outstanding instruments were excluded from the computation of diluted loss per share, as they have an anti-dilutive effect on the calculation:</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2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728,792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802,858</w:t>
            </w:r>
          </w:p>
        </w:tc>
        <w:tc>
          <w:tcPr>
            <w:tcW w:w="80" w:type="dxa"/>
            <w:vAlign w:val="bottom"/>
            <w:shd w:val="clear" w:color="auto" w:fill="CCEEFF"/>
          </w:tcPr>
          <w:p>
            <w:pPr>
              <w:spacing w:after="0"/>
              <w:rPr>
                <w:sz w:val="18"/>
                <w:szCs w:val="18"/>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1,953,742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1,006,367</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contracts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February 2025, the Company and NFIK entered into derivative contracts of zero cost collars for the period from January 2026 to March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notional amounts are $9,000 thousand.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to Pure-Play Power Company</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March 7, 2025, the Company’s Board of Directors authorized a new strategy to transition into a pure-play Power company, focusing its investments on the Power discrete and Power IC businesses to enhance profitability and maximize shareholder value. As part of this strategy, the Company has initiated a strategic process for its Display business. The goal is to complete this process by the end of the second quarter of 2025, the Display business is expected to be classified as discontinued operations in accordance with U.S. GAAP. Accordingly, beginning with the Company’s Q1 2025 financial statements, the Display business will be reported separately from continuing operations, which will consist of Power discrete and Power IC business lines.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2024. Based on this evaluation, our Principal Executive Officer and our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60"/>
          </w:cols>
          <w:pgMar w:left="440" w:top="293" w:right="499" w:bottom="1440" w:gutter="0" w:footer="0" w:header="0"/>
        </w:sectPr>
      </w:pPr>
    </w:p>
    <w:bookmarkStart w:id="107" w:name="page108"/>
    <w:bookmarkEnd w:id="107"/>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have concluded that our disclosure controls and procedures were effective as of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Management’s Annual Report on Internal Control Over Financial Reporting</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Principal Executive Officer and our Principal Financial Officer, we conducted an evaluation of the effectiveness of the Company’s internal control over financial reporting as of December 31, 2024, based on the criteria set forth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(2013) issued by the Committee of Sponsoring Organizations of the Treadway Commission (“COSO”).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assessment, we concluded that our internal control over financial reporting was effective as of December 31, 2024.</w:t>
      </w:r>
    </w:p>
    <w:p>
      <w:pPr>
        <w:spacing w:after="0" w:line="180" w:lineRule="exact"/>
        <w:rPr>
          <w:sz w:val="20"/>
          <w:szCs w:val="20"/>
          <w:color w:val="auto"/>
        </w:rPr>
      </w:pPr>
    </w:p>
    <w:p>
      <w:pPr>
        <w:ind w:right="940" w:firstLine="440"/>
        <w:spacing w:after="0" w:line="312"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2024 has been audited by Samil PricewaterhouseCoopers, an independent registered public accounting firm, as stated in their report which appears in Item 8 of this Report.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Changes in Internal Control Over Financial Reporting</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December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as defined in Rule 16a-1(f), adopted or terminated a “Rule 10b5-1 trading arrangement” or a “non-Rule 10b5-1 trading arrangement,” each as defined in Regulation S-K Item 408.</w:t>
      </w:r>
    </w:p>
    <w:p>
      <w:pPr>
        <w:spacing w:after="0" w:line="266" w:lineRule="exact"/>
        <w:rPr>
          <w:sz w:val="20"/>
          <w:szCs w:val="20"/>
          <w:color w:val="auto"/>
        </w:rPr>
      </w:pPr>
    </w:p>
    <w:p>
      <w:pPr>
        <w:ind w:right="500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940"/>
          </w:cols>
          <w:pgMar w:left="440" w:top="293" w:right="519" w:bottom="1440" w:gutter="0" w:footer="0" w:header="0"/>
        </w:sectPr>
      </w:pPr>
    </w:p>
    <w:bookmarkStart w:id="108" w:name="page109"/>
    <w:bookmarkEnd w:id="108"/>
    <w:p>
      <w:pPr>
        <w:ind w:left="2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MAGNACHIP SEMICONDUCTOR CORPORATION AND SUBSIDIARIES</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SHARE DATA)</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The information required by this item relating to our executive officers is included in “Item 1. Business—Executive Officers of the Company.” The other information required by this item is incorporated by reference to our definitive proxy statement relating to our 2024 annual meeting of stockholders or will be included by amendment to this Report within 120 days after the end of the fiscal year to which this Report relates.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(“Securities Trading Policy”) governing the purchase, sale and/or other dispositions of the Company’s securities by the Company’s directors, officers and employees, among other covered persons. The Company believes this policy is reasonably designed to promote and enforce compliance by such covered persons with applicable insider trading laws, rules and regulations, and the listing standards applicable to the Company. A copy of our Securities Trading Policy is filed as Exhibit 19.1 to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relating to our 2024 annual meeting of stockholders or will be included by amendment to this Report within 120 days after the end of the fiscal year to which this Report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relating to our 2024 annual meeting of stockholders or will be included by amendment to this Report within 120 days after the end of the fiscal year to which this Report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relating to our 2024 annual meeting of stockholders or will be included by amendment to this Report within 120 days after the end of the fiscal year to which this Report relates.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relating to our 2024 annual meeting of stockholders or will be included by amendment to this Report within 120 days after the end of the fiscal year to which this Report relates.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880"/>
          </w:cols>
          <w:pgMar w:left="440" w:top="293" w:right="5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included in Item 8 of Part II of this Report.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67"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120"/>
          </w:cols>
          <w:pgMar w:left="320" w:top="482" w:right="459" w:bottom="1440" w:gutter="0" w:footer="0" w:header="0"/>
        </w:sect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-3175</wp:posOffset>
            </wp:positionV>
            <wp:extent cx="325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p>
      <w:pPr>
        <w:spacing w:after="0" w:line="115" w:lineRule="exact"/>
        <w:rPr>
          <w:sz w:val="20"/>
          <w:szCs w:val="20"/>
          <w:color w:val="auto"/>
        </w:rPr>
      </w:pPr>
    </w:p>
    <w:p>
      <w:pPr>
        <w:jc w:val="both"/>
        <w:ind w:right="760"/>
        <w:spacing w:after="0" w:line="266" w:lineRule="auto"/>
        <w:rPr>
          <w:rFonts w:ascii="Times New Roman" w:cs="Times New Roman" w:eastAsia="Times New Roman" w:hAnsi="Times New Roman"/>
          <w:sz w:val="18"/>
          <w:szCs w:val="18"/>
          <w:u w:val="single" w:color="auto"/>
          <w:color w:val="0000EE"/>
        </w:rPr>
      </w:pPr>
      <w:hyperlink r:id="rId132">
        <w:r>
          <w:rPr>
            <w:rFonts w:ascii="Times New Roman" w:cs="Times New Roman" w:eastAsia="Times New Roman" w:hAnsi="Times New Roman"/>
            <w:sz w:val="18"/>
            <w:szCs w:val="18"/>
            <w:u w:val="single" w:color="auto"/>
            <w:color w:val="0000EE"/>
          </w:rPr>
          <w:t>Business Transfer Agreement, dated as of March 31, 2020 among by and among Magnus Semiconductor, LLC, MagnaChip</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Semiconductor S.A. and MagnaChip Semiconductor, Ltd. (incorporated by reference to Exhibit 10.1 to our Current Report</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on Form 8-K filed on March 31, 2020).</w:t>
        </w:r>
      </w:hyperlink>
    </w:p>
    <w:p>
      <w:pPr>
        <w:spacing w:after="0" w:line="55"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40" w:space="600"/>
            <w:col w:w="9680"/>
          </w:cols>
          <w:pgMar w:left="320" w:top="482" w:right="45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9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Certificate of Conversion of MagnaChip Semiconductor LLC (incorporated by reference to Exhibit 3.1 to our Current Report on Form</w:t>
              </w:r>
            </w:hyperlink>
          </w:p>
        </w:tc>
      </w:tr>
      <w:tr>
        <w:trPr>
          <w:trHeight w:val="196"/>
        </w:trPr>
        <w:tc>
          <w:tcPr>
            <w:tcW w:w="1320" w:type="dxa"/>
            <w:vAlign w:val="bottom"/>
          </w:tcPr>
          <w:p>
            <w:pPr>
              <w:spacing w:after="0"/>
              <w:rPr>
                <w:sz w:val="17"/>
                <w:szCs w:val="17"/>
                <w:color w:val="auto"/>
              </w:rPr>
            </w:pPr>
          </w:p>
        </w:tc>
        <w:tc>
          <w:tcPr>
            <w:tcW w:w="2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8-K filed on March 11, 2011).</w:t>
              </w:r>
            </w:hyperlink>
          </w:p>
        </w:tc>
        <w:tc>
          <w:tcPr>
            <w:tcW w:w="7520" w:type="dxa"/>
            <w:vAlign w:val="bottom"/>
            <w:gridSpan w:val="14"/>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9680" w:type="dxa"/>
            <w:vAlign w:val="bottom"/>
            <w:gridSpan w:val="15"/>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Certificate of Incorporation of MagnaChip Semiconductor Corporation (incorporated by reference to Exhibit 3.2 to our Current</w:t>
              </w:r>
            </w:hyperlink>
          </w:p>
        </w:tc>
      </w:tr>
      <w:tr>
        <w:trPr>
          <w:trHeight w:val="196"/>
        </w:trPr>
        <w:tc>
          <w:tcPr>
            <w:tcW w:w="132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Report on Form 8-K filed on March 11, 2011).</w:t>
              </w:r>
            </w:hyperlink>
          </w:p>
        </w:tc>
        <w:tc>
          <w:tcPr>
            <w:tcW w:w="5800" w:type="dxa"/>
            <w:vAlign w:val="bottom"/>
            <w:tcBorders>
              <w:top w:val="single" w:sz="8" w:color="0000EE"/>
            </w:tcBorders>
            <w:gridSpan w:val="5"/>
          </w:tcPr>
          <w:p>
            <w:pPr>
              <w:spacing w:after="0"/>
              <w:rPr>
                <w:sz w:val="17"/>
                <w:szCs w:val="17"/>
                <w:color w:val="auto"/>
              </w:rPr>
            </w:pPr>
          </w:p>
        </w:tc>
        <w:tc>
          <w:tcPr>
            <w:tcW w:w="520" w:type="dxa"/>
            <w:vAlign w:val="bottom"/>
            <w:gridSpan w:val="7"/>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9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Certificate of Amendment to the Certificate of Incorporation of Magnachip Semiconductor Corporation (incorporated by reference to</w:t>
              </w:r>
            </w:hyperlink>
          </w:p>
        </w:tc>
        <w:tc>
          <w:tcPr>
            <w:tcW w:w="80" w:type="dxa"/>
            <w:vAlign w:val="bottom"/>
            <w:gridSpan w:val="3"/>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Exhibit 3.1 to our Current report on Form 8-K filed on December 30, 2020).</w:t>
              </w:r>
            </w:hyperlink>
          </w:p>
        </w:tc>
      </w:tr>
      <w:tr>
        <w:trPr>
          <w:trHeight w:val="20"/>
        </w:trPr>
        <w:tc>
          <w:tcPr>
            <w:tcW w:w="13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94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Amended and Restated Bylaws of MagnaChip Semiconductor Corporation (incorporated by reference to Exhibit 3.1 to our Current</w:t>
              </w:r>
            </w:hyperlink>
          </w:p>
        </w:tc>
        <w:tc>
          <w:tcPr>
            <w:tcW w:w="240" w:type="dxa"/>
            <w:vAlign w:val="bottom"/>
            <w:gridSpan w:val="4"/>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Report on Form 8-K filed on May 6, 2016).</w:t>
              </w:r>
            </w:hyperlink>
          </w:p>
        </w:tc>
        <w:tc>
          <w:tcPr>
            <w:tcW w:w="6540" w:type="dxa"/>
            <w:vAlign w:val="bottom"/>
            <w:gridSpan w:val="13"/>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3.5</w:t>
            </w:r>
          </w:p>
        </w:tc>
        <w:tc>
          <w:tcPr>
            <w:tcW w:w="9680" w:type="dxa"/>
            <w:vAlign w:val="bottom"/>
            <w:gridSpan w:val="15"/>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Plan of Conversion of MagnaChip Semiconductor LLC (incorporated by reference to Exhibit 3.6 to our Amendment No. 2 to</w:t>
              </w:r>
            </w:hyperlink>
          </w:p>
        </w:tc>
      </w:tr>
      <w:tr>
        <w:trPr>
          <w:trHeight w:val="196"/>
        </w:trPr>
        <w:tc>
          <w:tcPr>
            <w:tcW w:w="132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Registration Statement on Form S-1 filed on May 11, 2010 (Registration No. 333-165467)).</w:t>
              </w:r>
            </w:hyperlink>
          </w:p>
        </w:tc>
        <w:tc>
          <w:tcPr>
            <w:tcW w:w="3020" w:type="dxa"/>
            <w:vAlign w:val="bottom"/>
            <w:tcBorders>
              <w:top w:val="single" w:sz="8" w:color="0000EE"/>
            </w:tcBorders>
            <w:gridSpan w:val="7"/>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3.6</w:t>
            </w:r>
          </w:p>
        </w:tc>
        <w:tc>
          <w:tcPr>
            <w:tcW w:w="9680" w:type="dxa"/>
            <w:vAlign w:val="bottom"/>
            <w:gridSpan w:val="15"/>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Certificate of Designation, Preferences and Rights of Series A Junior Participating Preferred Stock of MagnaChip Semiconductor</w:t>
              </w:r>
            </w:hyperlink>
          </w:p>
        </w:tc>
      </w:tr>
      <w:tr>
        <w:trPr>
          <w:trHeight w:val="20"/>
        </w:trPr>
        <w:tc>
          <w:tcPr>
            <w:tcW w:w="1320" w:type="dxa"/>
            <w:vAlign w:val="bottom"/>
          </w:tcPr>
          <w:p>
            <w:pPr>
              <w:spacing w:after="0" w:line="20" w:lineRule="exact"/>
              <w:rPr>
                <w:sz w:val="1"/>
                <w:szCs w:val="1"/>
                <w:color w:val="auto"/>
              </w:rPr>
            </w:pPr>
          </w:p>
        </w:tc>
        <w:tc>
          <w:tcPr>
            <w:tcW w:w="38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Corporation, as filed with the Secretary of the State of Delaware on March 6, 2015 (incorporated by reference to Exhibit 3.1 to our</w:t>
              </w:r>
            </w:hyperlink>
          </w:p>
        </w:tc>
      </w:tr>
      <w:tr>
        <w:trPr>
          <w:trHeight w:val="196"/>
        </w:trPr>
        <w:tc>
          <w:tcPr>
            <w:tcW w:w="13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Current Report on Form 8-K filed on March 6, 2015).</w:t>
              </w:r>
            </w:hyperlink>
          </w:p>
        </w:tc>
        <w:tc>
          <w:tcPr>
            <w:tcW w:w="5520" w:type="dxa"/>
            <w:vAlign w:val="bottom"/>
            <w:tcBorders>
              <w:top w:val="single" w:sz="8" w:color="0000EE"/>
            </w:tcBorders>
            <w:gridSpan w:val="6"/>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0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    3.7</w:t>
            </w:r>
          </w:p>
        </w:tc>
        <w:tc>
          <w:tcPr>
            <w:tcW w:w="9680" w:type="dxa"/>
            <w:vAlign w:val="bottom"/>
            <w:gridSpan w:val="15"/>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Certificate of Designation of Series A-1, Junior Participating Preferred Stock of Magnachip Semiconductor Corporation, as filed with</w:t>
              </w:r>
            </w:hyperlink>
          </w:p>
        </w:tc>
      </w:tr>
      <w:tr>
        <w:trPr>
          <w:trHeight w:val="196"/>
        </w:trPr>
        <w:tc>
          <w:tcPr>
            <w:tcW w:w="1320" w:type="dxa"/>
            <w:vAlign w:val="bottom"/>
          </w:tcPr>
          <w:p>
            <w:pPr>
              <w:spacing w:after="0"/>
              <w:rPr>
                <w:sz w:val="17"/>
                <w:szCs w:val="17"/>
                <w:color w:val="auto"/>
              </w:rPr>
            </w:pPr>
          </w:p>
        </w:tc>
        <w:tc>
          <w:tcPr>
            <w:tcW w:w="96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Secretary of State of Delaware on December 13, 2021.</w:t>
              </w:r>
            </w:hyperlink>
          </w:p>
        </w:tc>
        <w:tc>
          <w:tcPr>
            <w:tcW w:w="60" w:type="dxa"/>
            <w:vAlign w:val="bottom"/>
            <w:gridSpan w:val="2"/>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4200" w:type="dxa"/>
            <w:vAlign w:val="bottom"/>
            <w:gridSpan w:val="5"/>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320" w:type="dxa"/>
            <w:vAlign w:val="bottom"/>
          </w:tcPr>
          <w:p>
            <w:pPr>
              <w:spacing w:after="0"/>
              <w:rPr>
                <w:sz w:val="24"/>
                <w:szCs w:val="24"/>
                <w:color w:val="auto"/>
              </w:rPr>
            </w:pPr>
          </w:p>
        </w:tc>
        <w:tc>
          <w:tcPr>
            <w:tcW w:w="5480" w:type="dxa"/>
            <w:vAlign w:val="bottom"/>
            <w:gridSpan w:val="6"/>
          </w:tcPr>
          <w:p>
            <w:pPr>
              <w:ind w:left="4040"/>
              <w:spacing w:after="0"/>
              <w:rPr>
                <w:sz w:val="20"/>
                <w:szCs w:val="20"/>
                <w:color w:val="auto"/>
              </w:rPr>
            </w:pPr>
            <w:r>
              <w:rPr>
                <w:rFonts w:ascii="Times New Roman" w:cs="Times New Roman" w:eastAsia="Times New Roman" w:hAnsi="Times New Roman"/>
                <w:sz w:val="18"/>
                <w:szCs w:val="18"/>
                <w:color w:val="auto"/>
              </w:rPr>
              <w:t>107</w:t>
            </w:r>
          </w:p>
        </w:tc>
        <w:tc>
          <w:tcPr>
            <w:tcW w:w="1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00"/>
          </w:cols>
          <w:pgMar w:left="320" w:top="482" w:right="479" w:bottom="1440" w:gutter="0" w:footer="0" w:header="0"/>
        </w:sect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-3175</wp:posOffset>
            </wp:positionV>
            <wp:extent cx="325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4" w:lineRule="exact"/>
        <w:rPr>
          <w:sz w:val="20"/>
          <w:szCs w:val="20"/>
          <w:color w:val="auto"/>
        </w:rPr>
      </w:pPr>
    </w:p>
    <w:p>
      <w:pPr>
        <w:ind w:left="200" w:hanging="84"/>
        <w:spacing w:after="0"/>
        <w:tabs>
          <w:tab w:leader="none" w:pos="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4.1#</w:t>
      </w:r>
    </w:p>
    <w:p>
      <w:pPr>
        <w:spacing w:after="0" w:line="140"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Description of Securities</w:t>
      </w:r>
    </w:p>
    <w:p>
      <w:pPr>
        <w:spacing w:after="0" w:line="117" w:lineRule="exact"/>
        <w:rPr>
          <w:sz w:val="20"/>
          <w:szCs w:val="20"/>
          <w:color w:val="auto"/>
        </w:rPr>
      </w:pPr>
    </w:p>
    <w:p>
      <w:pPr>
        <w:ind w:right="60"/>
        <w:spacing w:after="0" w:line="266" w:lineRule="auto"/>
        <w:rPr>
          <w:rFonts w:ascii="Times New Roman" w:cs="Times New Roman" w:eastAsia="Times New Roman" w:hAnsi="Times New Roman"/>
          <w:sz w:val="18"/>
          <w:szCs w:val="18"/>
          <w:u w:val="single" w:color="auto"/>
          <w:color w:val="0000EE"/>
        </w:rPr>
      </w:pPr>
      <w:hyperlink r:id="rId142">
        <w:r>
          <w:rPr>
            <w:rFonts w:ascii="Times New Roman" w:cs="Times New Roman" w:eastAsia="Times New Roman" w:hAnsi="Times New Roman"/>
            <w:sz w:val="18"/>
            <w:szCs w:val="18"/>
            <w:u w:val="single" w:color="auto"/>
            <w:color w:val="0000EE"/>
          </w:rPr>
          <w:t>Intellectual Property License Agreement, dated as of October 6, 2004, by and between Hynix Semiconductor Inc. and MagnaChip</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Semiconductor, Ltd. (Korea) (incorporated by reference to Exhibit 10.2 to our Amendment No. 1 to Registration Statement on Form S-1</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filed on April 20, 2010 (Registration No. 333-165467)).</w:t>
        </w:r>
      </w:hyperlink>
    </w:p>
    <w:p>
      <w:pPr>
        <w:spacing w:after="0" w:line="55"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40" w:space="380"/>
            <w:col w:w="9880"/>
          </w:cols>
          <w:pgMar w:left="320" w:top="482" w:right="47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9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MagnaChip Semiconductor Corporation 2011 Equity Incentive Plan (as amended on April 26, 2018) (incorporated by reference to</w:t>
              </w:r>
            </w:hyperlink>
          </w:p>
        </w:tc>
        <w:tc>
          <w:tcPr>
            <w:tcW w:w="50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5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Exhibit 10.24 to our Annual Report on Form 10-K filed on February 22, 2019).</w:t>
              </w:r>
            </w:hyperlink>
          </w:p>
        </w:tc>
        <w:tc>
          <w:tcPr>
            <w:tcW w:w="4160" w:type="dxa"/>
            <w:vAlign w:val="bottom"/>
            <w:gridSpan w:val="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9880" w:type="dxa"/>
            <w:vAlign w:val="bottom"/>
            <w:gridSpan w:val="10"/>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MagnaChip Semiconductor Corporation 2020 Equity and Incentive Compensation Plan (incorporated by reference to Exhibit 10.1 to the</w:t>
              </w:r>
            </w:hyperlink>
          </w:p>
        </w:tc>
      </w:tr>
      <w:tr>
        <w:trPr>
          <w:trHeight w:val="196"/>
        </w:trPr>
        <w:tc>
          <w:tcPr>
            <w:tcW w:w="1100" w:type="dxa"/>
            <w:vAlign w:val="bottom"/>
          </w:tcPr>
          <w:p>
            <w:pPr>
              <w:spacing w:after="0"/>
              <w:rPr>
                <w:sz w:val="17"/>
                <w:szCs w:val="17"/>
                <w:color w:val="auto"/>
              </w:rPr>
            </w:pPr>
          </w:p>
        </w:tc>
        <w:tc>
          <w:tcPr>
            <w:tcW w:w="4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Registrant’s Current Report on Form 8-K filed on June 17, 2020).</w:t>
              </w:r>
            </w:hyperlink>
          </w:p>
        </w:tc>
        <w:tc>
          <w:tcPr>
            <w:tcW w:w="5080" w:type="dxa"/>
            <w:vAlign w:val="bottom"/>
            <w:tcBorders>
              <w:top w:val="single" w:sz="8" w:color="0000EE"/>
            </w:tcBorders>
            <w:gridSpan w:val="8"/>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9880" w:type="dxa"/>
            <w:vAlign w:val="bottom"/>
            <w:gridSpan w:val="10"/>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MagnaChip Semiconductor Corporation 2011 Employee Stock Purchase Plan (incorporated by reference to Exhibit 10.26 to our</w:t>
              </w:r>
            </w:hyperlink>
          </w:p>
        </w:tc>
      </w:tr>
      <w:tr>
        <w:trPr>
          <w:trHeight w:val="196"/>
        </w:trPr>
        <w:tc>
          <w:tcPr>
            <w:tcW w:w="1100" w:type="dxa"/>
            <w:vAlign w:val="bottom"/>
          </w:tcPr>
          <w:p>
            <w:pPr>
              <w:spacing w:after="0"/>
              <w:rPr>
                <w:sz w:val="17"/>
                <w:szCs w:val="17"/>
                <w:color w:val="auto"/>
              </w:rPr>
            </w:pPr>
          </w:p>
        </w:tc>
        <w:tc>
          <w:tcPr>
            <w:tcW w:w="92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Amendment No. 9 to the Registration Statement on Form S-1 filed on February 18, 2011 (Registration No. 333-165467)).</w:t>
              </w:r>
            </w:hyperlink>
          </w:p>
        </w:tc>
        <w:tc>
          <w:tcPr>
            <w:tcW w:w="66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600" w:type="dxa"/>
            <w:vAlign w:val="bottom"/>
            <w:gridSpan w:val="3"/>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10.5*</w:t>
            </w:r>
          </w:p>
        </w:tc>
        <w:tc>
          <w:tcPr>
            <w:tcW w:w="9880" w:type="dxa"/>
            <w:vAlign w:val="bottom"/>
            <w:gridSpan w:val="10"/>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MagnaChip Semiconductor Corporation Form of Indemnification Agreement with Directors and Officers (incorporated by reference to</w:t>
              </w:r>
            </w:hyperlink>
          </w:p>
        </w:tc>
      </w:tr>
      <w:tr>
        <w:trPr>
          <w:trHeight w:val="196"/>
        </w:trPr>
        <w:tc>
          <w:tcPr>
            <w:tcW w:w="110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Exhibit 10.49 to our Registration Statement on Form S-1 filed on March 15, 2010 (Registration No. 333-165467)).</w:t>
              </w:r>
            </w:hyperlink>
          </w:p>
        </w:tc>
        <w:tc>
          <w:tcPr>
            <w:tcW w:w="1460" w:type="dxa"/>
            <w:vAlign w:val="bottom"/>
            <w:tcBorders>
              <w:top w:val="single" w:sz="8" w:color="0000EE"/>
            </w:tcBorders>
            <w:gridSpan w:val="4"/>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98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Offer Letter, dated as of April 15, 2013, by and between MagnaChip Semiconductor, Ltd. (Korea) and Young-Joon Kim (incorporated by</w:t>
              </w:r>
            </w:hyperlink>
          </w:p>
        </w:tc>
      </w:tr>
      <w:tr>
        <w:trPr>
          <w:trHeight w:val="196"/>
        </w:trPr>
        <w:tc>
          <w:tcPr>
            <w:tcW w:w="1100" w:type="dxa"/>
            <w:vAlign w:val="bottom"/>
          </w:tcPr>
          <w:p>
            <w:pPr>
              <w:spacing w:after="0"/>
              <w:rPr>
                <w:sz w:val="17"/>
                <w:szCs w:val="17"/>
                <w:color w:val="auto"/>
              </w:rPr>
            </w:pPr>
          </w:p>
        </w:tc>
        <w:tc>
          <w:tcPr>
            <w:tcW w:w="9880" w:type="dxa"/>
            <w:vAlign w:val="bottom"/>
            <w:gridSpan w:val="10"/>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reference to Exhibit 10.36 to our Annual Report on Form 10-K filed on February 12, 2015).</w:t>
              </w:r>
            </w:hyperlink>
          </w:p>
        </w:tc>
      </w:tr>
      <w:tr>
        <w:trPr>
          <w:trHeight w:val="20"/>
        </w:trPr>
        <w:tc>
          <w:tcPr>
            <w:tcW w:w="1100" w:type="dxa"/>
            <w:vAlign w:val="bottom"/>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20" w:right="240" w:hanging="1104"/>
        <w:spacing w:after="0" w:line="282" w:lineRule="auto"/>
        <w:tabs>
          <w:tab w:leader="none" w:pos="203" w:val="left"/>
        </w:tabs>
        <w:numPr>
          <w:ilvl w:val="0"/>
          <w:numId w:val="4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10.6-1*</w:t>
      </w:r>
      <w:hyperlink r:id="rId148">
        <w:r>
          <w:rPr>
            <w:rFonts w:ascii="Times New Roman" w:cs="Times New Roman" w:eastAsia="Times New Roman" w:hAnsi="Times New Roman"/>
            <w:sz w:val="18"/>
            <w:szCs w:val="18"/>
            <w:u w:val="single" w:color="auto"/>
            <w:color w:val="0000EE"/>
          </w:rPr>
          <w:t>Amendment of Offer Letter, dated July 27, 2015, from MagnaChip Semiconductor, Ltd. (Korea) to Young-Joon Kim (incorporated by</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reference to Exhibit 10.1 to our Quarterly Report on Form 10-Q filed on November 6, 2015).</w:t>
        </w:r>
      </w:hyperlink>
    </w:p>
    <w:p>
      <w:pPr>
        <w:spacing w:after="0" w:line="53" w:lineRule="exact"/>
        <w:rPr>
          <w:rFonts w:ascii="Times New Roman" w:cs="Times New Roman" w:eastAsia="Times New Roman" w:hAnsi="Times New Roman"/>
          <w:sz w:val="18"/>
          <w:szCs w:val="18"/>
          <w:u w:val="single" w:color="auto"/>
          <w:color w:val="0000EE"/>
        </w:rPr>
      </w:pPr>
    </w:p>
    <w:p>
      <w:pPr>
        <w:ind w:left="1220" w:right="80" w:hanging="1104"/>
        <w:spacing w:after="0" w:line="266" w:lineRule="auto"/>
        <w:tabs>
          <w:tab w:leader="none" w:pos="203" w:val="left"/>
        </w:tabs>
        <w:numPr>
          <w:ilvl w:val="0"/>
          <w:numId w:val="4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10.6-2*</w:t>
      </w:r>
      <w:hyperlink r:id="rId149">
        <w:r>
          <w:rPr>
            <w:rFonts w:ascii="Times New Roman" w:cs="Times New Roman" w:eastAsia="Times New Roman" w:hAnsi="Times New Roman"/>
            <w:sz w:val="18"/>
            <w:szCs w:val="18"/>
            <w:u w:val="single" w:color="auto"/>
            <w:color w:val="0000EE"/>
          </w:rPr>
          <w:t>Severance Agreement, dated November 3, 2015, from MagnaChip Semiconductor, Ltd. (Korea) and MagnaChip Semiconductor</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Corporation to Young-Joon Kim (incorporated by reference to Exhibit 10.2 to our Quarterly Report on Form 10-Q filed on November 6,</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2015).</w:t>
        </w:r>
      </w:hyperlink>
    </w:p>
    <w:p>
      <w:pPr>
        <w:spacing w:after="0" w:line="67" w:lineRule="exact"/>
        <w:rPr>
          <w:rFonts w:ascii="Times New Roman" w:cs="Times New Roman" w:eastAsia="Times New Roman" w:hAnsi="Times New Roman"/>
          <w:sz w:val="18"/>
          <w:szCs w:val="18"/>
          <w:u w:val="single" w:color="auto"/>
          <w:color w:val="0000EE"/>
        </w:rPr>
      </w:pPr>
    </w:p>
    <w:p>
      <w:pPr>
        <w:ind w:left="1220" w:right="380" w:hanging="1104"/>
        <w:spacing w:after="0" w:line="282" w:lineRule="auto"/>
        <w:tabs>
          <w:tab w:leader="none" w:pos="203" w:val="left"/>
        </w:tabs>
        <w:numPr>
          <w:ilvl w:val="0"/>
          <w:numId w:val="4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10.6-3*</w:t>
      </w:r>
      <w:hyperlink r:id="rId150">
        <w:r>
          <w:rPr>
            <w:rFonts w:ascii="Times New Roman" w:cs="Times New Roman" w:eastAsia="Times New Roman" w:hAnsi="Times New Roman"/>
            <w:sz w:val="18"/>
            <w:szCs w:val="18"/>
            <w:u w:val="single" w:color="auto"/>
            <w:color w:val="0000EE"/>
          </w:rPr>
          <w:t>Employment Agreement, dated as of April 26, 2018, by and between MagnaChip Semiconductor Corporation and Young-Joon Kim</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(incorporated by reference to Exhibit 10.1 to our Current Report on Form 8-K filed on April 27, 2018).</w:t>
        </w:r>
      </w:hyperlink>
    </w:p>
    <w:p>
      <w:pPr>
        <w:spacing w:after="0" w:line="53" w:lineRule="exact"/>
        <w:rPr>
          <w:rFonts w:ascii="Times New Roman" w:cs="Times New Roman" w:eastAsia="Times New Roman" w:hAnsi="Times New Roman"/>
          <w:sz w:val="18"/>
          <w:szCs w:val="18"/>
          <w:u w:val="single" w:color="auto"/>
          <w:color w:val="0000EE"/>
        </w:rPr>
      </w:pPr>
    </w:p>
    <w:p>
      <w:pPr>
        <w:ind w:left="1220" w:right="420" w:hanging="1104"/>
        <w:spacing w:after="0" w:line="312" w:lineRule="auto"/>
        <w:tabs>
          <w:tab w:leader="none" w:pos="203" w:val="left"/>
        </w:tabs>
        <w:numPr>
          <w:ilvl w:val="0"/>
          <w:numId w:val="4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10.6-4*</w:t>
      </w:r>
      <w:hyperlink r:id="rId151">
        <w:r>
          <w:rPr>
            <w:rFonts w:ascii="Times New Roman" w:cs="Times New Roman" w:eastAsia="Times New Roman" w:hAnsi="Times New Roman"/>
            <w:sz w:val="17"/>
            <w:szCs w:val="17"/>
            <w:u w:val="single" w:color="auto"/>
            <w:color w:val="0000EE"/>
          </w:rPr>
          <w:t>Amendment to Employment Agreement by and between MagnaChip Semiconductor Corporation and Young-Joon Kim, dated as of</w:t>
        </w:r>
      </w:hyperlink>
      <w:r>
        <w:rPr>
          <w:rFonts w:ascii="Times New Roman" w:cs="Times New Roman" w:eastAsia="Times New Roman" w:hAnsi="Times New Roman"/>
          <w:sz w:val="17"/>
          <w:szCs w:val="17"/>
          <w:u w:val="single" w:color="auto"/>
          <w:color w:val="0000EE"/>
        </w:rPr>
        <w:t xml:space="preserve"> </w:t>
      </w:r>
      <w:hyperlink r:id="rId151">
        <w:r>
          <w:rPr>
            <w:rFonts w:ascii="Times New Roman" w:cs="Times New Roman" w:eastAsia="Times New Roman" w:hAnsi="Times New Roman"/>
            <w:sz w:val="17"/>
            <w:szCs w:val="17"/>
            <w:u w:val="single" w:color="auto"/>
            <w:color w:val="0000EE"/>
          </w:rPr>
          <w:t>September 3, 2018 (incorporated by reference to Exhibit 10.29-4 to our Annual Report on Form 10-K filed on February 22, 2019).</w:t>
        </w:r>
      </w:hyperlink>
    </w:p>
    <w:p>
      <w:pPr>
        <w:spacing w:after="0" w:line="19"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98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Offer Letter, dated as of September 27, 2013, by and between MagnaChip Semiconductor, Ltd. (Korea) and Theodore Kim (incorporated</w:t>
              </w:r>
            </w:hyperlink>
          </w:p>
        </w:tc>
      </w:tr>
      <w:tr>
        <w:trPr>
          <w:trHeight w:val="196"/>
        </w:trPr>
        <w:tc>
          <w:tcPr>
            <w:tcW w:w="1100" w:type="dxa"/>
            <w:vAlign w:val="bottom"/>
          </w:tcPr>
          <w:p>
            <w:pPr>
              <w:spacing w:after="0"/>
              <w:rPr>
                <w:sz w:val="17"/>
                <w:szCs w:val="17"/>
                <w:color w:val="auto"/>
              </w:rPr>
            </w:pPr>
          </w:p>
        </w:tc>
        <w:tc>
          <w:tcPr>
            <w:tcW w:w="68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by reference to Exhibit 10.37 to our Annual Report on Form 10-K filed on February 12, 2015).</w:t>
              </w:r>
            </w:hyperlink>
          </w:p>
        </w:tc>
        <w:tc>
          <w:tcPr>
            <w:tcW w:w="3020" w:type="dxa"/>
            <w:vAlign w:val="bottom"/>
          </w:tcPr>
          <w:p>
            <w:pPr>
              <w:spacing w:after="0"/>
              <w:rPr>
                <w:sz w:val="17"/>
                <w:szCs w:val="17"/>
                <w:color w:val="auto"/>
              </w:rPr>
            </w:pPr>
          </w:p>
        </w:tc>
      </w:tr>
    </w:tbl>
    <w:p>
      <w:pPr>
        <w:spacing w:after="0" w:line="117" w:lineRule="exact"/>
        <w:rPr>
          <w:sz w:val="20"/>
          <w:szCs w:val="20"/>
          <w:color w:val="auto"/>
        </w:rPr>
      </w:pPr>
    </w:p>
    <w:p>
      <w:pPr>
        <w:ind w:left="1220" w:right="60" w:hanging="1104"/>
        <w:spacing w:after="0" w:line="266" w:lineRule="auto"/>
        <w:tabs>
          <w:tab w:leader="none" w:pos="203" w:val="left"/>
        </w:tabs>
        <w:numPr>
          <w:ilvl w:val="0"/>
          <w:numId w:val="4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10.7-1*</w:t>
      </w:r>
      <w:hyperlink r:id="rId153">
        <w:r>
          <w:rPr>
            <w:rFonts w:ascii="Times New Roman" w:cs="Times New Roman" w:eastAsia="Times New Roman" w:hAnsi="Times New Roman"/>
            <w:sz w:val="18"/>
            <w:szCs w:val="18"/>
            <w:u w:val="single" w:color="auto"/>
            <w:color w:val="0000EE"/>
          </w:rPr>
          <w:t>Severance Agreement, dated November 3, 2015, from MagnaChip Semiconductor, Ltd. (Korea) and MagnaChip Semiconductor</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Corporation to Theodore S. Kim (incorporated by reference to Exhibit 10.4 to our Quarterly Report on Form 10-Q filed on November 6,</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2015).</w:t>
        </w:r>
      </w:hyperlink>
    </w:p>
    <w:p>
      <w:pPr>
        <w:spacing w:after="0" w:line="67" w:lineRule="exact"/>
        <w:rPr>
          <w:rFonts w:ascii="Times New Roman" w:cs="Times New Roman" w:eastAsia="Times New Roman" w:hAnsi="Times New Roman"/>
          <w:sz w:val="18"/>
          <w:szCs w:val="18"/>
          <w:u w:val="single" w:color="auto"/>
          <w:color w:val="0000EE"/>
        </w:rPr>
      </w:pPr>
    </w:p>
    <w:p>
      <w:pPr>
        <w:ind w:left="1220" w:right="360" w:hanging="1104"/>
        <w:spacing w:after="0" w:line="282" w:lineRule="auto"/>
        <w:tabs>
          <w:tab w:leader="none" w:pos="203" w:val="left"/>
        </w:tabs>
        <w:numPr>
          <w:ilvl w:val="0"/>
          <w:numId w:val="4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10.7-2*</w:t>
      </w:r>
      <w:hyperlink r:id="rId154">
        <w:r>
          <w:rPr>
            <w:rFonts w:ascii="Times New Roman" w:cs="Times New Roman" w:eastAsia="Times New Roman" w:hAnsi="Times New Roman"/>
            <w:sz w:val="18"/>
            <w:szCs w:val="18"/>
            <w:u w:val="single" w:color="auto"/>
            <w:color w:val="0000EE"/>
          </w:rPr>
          <w:t>Employment Agreement, dated as of October 22, 2018, by and between MagnaChip Semiconductor Corporation and Theodore Kim</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(incorporated by reference to Exhibit 10.1 to our Current Report on Form 8-K filed on October 26, 2018).</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98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Offer Letter, dated as of October 16, 2013, by and between MagnaChip Semiconductor, Ltd. (Korea) and Woung Moo Lee (incorporated</w:t>
              </w:r>
            </w:hyperlink>
          </w:p>
        </w:tc>
      </w:tr>
      <w:tr>
        <w:trPr>
          <w:trHeight w:val="196"/>
        </w:trPr>
        <w:tc>
          <w:tcPr>
            <w:tcW w:w="1100" w:type="dxa"/>
            <w:vAlign w:val="bottom"/>
          </w:tcPr>
          <w:p>
            <w:pPr>
              <w:spacing w:after="0"/>
              <w:rPr>
                <w:sz w:val="17"/>
                <w:szCs w:val="17"/>
                <w:color w:val="auto"/>
              </w:rPr>
            </w:pPr>
          </w:p>
        </w:tc>
        <w:tc>
          <w:tcPr>
            <w:tcW w:w="9840" w:type="dxa"/>
            <w:vAlign w:val="bottom"/>
            <w:gridSpan w:val="2"/>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by reference to Exhibit 10.36 to our Annual Report on Form 10-K filed on February 22, 2016).</w:t>
              </w:r>
            </w:hyperlink>
          </w:p>
        </w:tc>
      </w:tr>
      <w:tr>
        <w:trPr>
          <w:trHeight w:val="385"/>
        </w:trPr>
        <w:tc>
          <w:tcPr>
            <w:tcW w:w="1100" w:type="dxa"/>
            <w:vAlign w:val="bottom"/>
          </w:tcPr>
          <w:p>
            <w:pPr>
              <w:spacing w:after="0"/>
              <w:rPr>
                <w:sz w:val="24"/>
                <w:szCs w:val="24"/>
                <w:color w:val="auto"/>
              </w:rPr>
            </w:pPr>
          </w:p>
        </w:tc>
        <w:tc>
          <w:tcPr>
            <w:tcW w:w="6840" w:type="dxa"/>
            <w:vAlign w:val="bottom"/>
            <w:tcBorders>
              <w:top w:val="single" w:sz="8" w:color="0000EE"/>
            </w:tcBorders>
          </w:tcPr>
          <w:p>
            <w:pPr>
              <w:jc w:val="right"/>
              <w:ind w:right="2210"/>
              <w:spacing w:after="0"/>
              <w:rPr>
                <w:sz w:val="20"/>
                <w:szCs w:val="20"/>
                <w:color w:val="auto"/>
              </w:rPr>
            </w:pPr>
            <w:r>
              <w:rPr>
                <w:rFonts w:ascii="Times New Roman" w:cs="Times New Roman" w:eastAsia="Times New Roman" w:hAnsi="Times New Roman"/>
                <w:sz w:val="18"/>
                <w:szCs w:val="18"/>
                <w:color w:val="auto"/>
              </w:rPr>
              <w:t>108</w:t>
            </w:r>
          </w:p>
        </w:tc>
        <w:tc>
          <w:tcPr>
            <w:tcW w:w="300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 xml:space="preserv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-3175</wp:posOffset>
            </wp:positionV>
            <wp:extent cx="325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10.8-1*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p>
      <w:pPr>
        <w:spacing w:after="0" w:line="115" w:lineRule="exact"/>
        <w:rPr>
          <w:sz w:val="20"/>
          <w:szCs w:val="20"/>
          <w:color w:val="auto"/>
        </w:rPr>
      </w:pPr>
    </w:p>
    <w:p>
      <w:pPr>
        <w:ind w:right="120"/>
        <w:spacing w:after="0" w:line="266" w:lineRule="auto"/>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Severance Agreement, dated November 3, 2015, from MagnaChip Semiconductor, Ltd. (Korea) and MagnaChip Semiconductor</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Corporation to Woung Moo Lee (incorporated by reference to Exhibit 10.6 to our Quarterly Report on Form 10-Q filed on November 6,</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2015).</w:t>
        </w:r>
      </w:hyperlink>
    </w:p>
    <w:p>
      <w:pPr>
        <w:spacing w:after="0" w:line="6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40" w:space="380"/>
            <w:col w:w="9900"/>
          </w:cols>
          <w:pgMar w:left="320" w:top="482" w:right="459" w:bottom="1440" w:gutter="0" w:footer="0" w:header="0"/>
          <w:type w:val="continuous"/>
        </w:sectPr>
      </w:pPr>
    </w:p>
    <w:p>
      <w:pPr>
        <w:ind w:left="1220" w:right="220" w:hanging="1104"/>
        <w:spacing w:after="0" w:line="282" w:lineRule="auto"/>
        <w:tabs>
          <w:tab w:leader="none" w:pos="203" w:val="left"/>
        </w:tabs>
        <w:numPr>
          <w:ilvl w:val="0"/>
          <w:numId w:val="4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10.8-2*</w:t>
      </w:r>
      <w:hyperlink r:id="rId159">
        <w:r>
          <w:rPr>
            <w:rFonts w:ascii="Times New Roman" w:cs="Times New Roman" w:eastAsia="Times New Roman" w:hAnsi="Times New Roman"/>
            <w:sz w:val="18"/>
            <w:szCs w:val="18"/>
            <w:u w:val="single" w:color="auto"/>
            <w:color w:val="0000EE"/>
          </w:rPr>
          <w:t>Employment Agreement, dated as of October 22, 2018, by and between MagnaChip Semiconductor Corporation and Woung Moo Lee</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(incorporated by reference to Exhibit 10.2 to our Current Report on Form 8-K filed on October 26, 2018).</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9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Executive Service Agreement, dated as of June 1, 2020, by and between Chan Ho Park, MagnaChip Semiconductor Corporation and</w:t>
              </w:r>
            </w:hyperlink>
          </w:p>
        </w:tc>
        <w:tc>
          <w:tcPr>
            <w:tcW w:w="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MagnaChip Semiconductor, Ltd. (incorporated by reference to Exhibit 10.9 to our Quarterly Report on Form 10-Q filed on August 7,</w:t>
              </w:r>
            </w:hyperlink>
          </w:p>
        </w:tc>
      </w:tr>
      <w:tr>
        <w:trPr>
          <w:trHeight w:val="196"/>
        </w:trPr>
        <w:tc>
          <w:tcPr>
            <w:tcW w:w="11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60">
              <w:r>
                <w:rPr>
                  <w:rFonts w:ascii="Times New Roman" w:cs="Times New Roman" w:eastAsia="Times New Roman" w:hAnsi="Times New Roman"/>
                  <w:sz w:val="18"/>
                  <w:szCs w:val="18"/>
                  <w:color w:val="0000EE"/>
                  <w:w w:val="94"/>
                </w:rPr>
                <w:t>2020).</w:t>
              </w:r>
            </w:hyperlink>
          </w:p>
        </w:tc>
        <w:tc>
          <w:tcPr>
            <w:tcW w:w="910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117" w:lineRule="exact"/>
        <w:rPr>
          <w:sz w:val="20"/>
          <w:szCs w:val="20"/>
          <w:color w:val="auto"/>
        </w:rPr>
      </w:pPr>
    </w:p>
    <w:p>
      <w:pPr>
        <w:ind w:left="1220" w:right="160" w:hanging="1104"/>
        <w:spacing w:after="0" w:line="266"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hyperlink r:id="rId161">
        <w:r>
          <w:rPr>
            <w:rFonts w:ascii="Times New Roman" w:cs="Times New Roman" w:eastAsia="Times New Roman" w:hAnsi="Times New Roman"/>
            <w:sz w:val="18"/>
            <w:szCs w:val="18"/>
            <w:u w:val="single" w:color="auto"/>
            <w:color w:val="0000EE"/>
          </w:rPr>
          <w:t>Executive Service Agreement, effective as of February 23, 2022, by and between Shin Young Park, Magnachip Semiconductor</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Corporation and Magnachip Semiconductor, Ltd. (incorporated by reference to Exhibit 10.30 to our Annual Report on Form 10-K filed</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on February 23, 2022).</w:t>
        </w:r>
      </w:hyperlink>
    </w:p>
    <w:p>
      <w:pPr>
        <w:spacing w:after="0" w:line="67" w:lineRule="exact"/>
        <w:rPr>
          <w:rFonts w:ascii="Times New Roman" w:cs="Times New Roman" w:eastAsia="Times New Roman" w:hAnsi="Times New Roman"/>
          <w:sz w:val="18"/>
          <w:szCs w:val="18"/>
          <w:u w:val="single" w:color="auto"/>
          <w:color w:val="0000EE"/>
        </w:rPr>
      </w:pPr>
    </w:p>
    <w:p>
      <w:pPr>
        <w:ind w:left="1220" w:hanging="1104"/>
        <w:spacing w:after="0" w:line="282"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162">
        <w:r>
          <w:rPr>
            <w:rFonts w:ascii="Times New Roman" w:cs="Times New Roman" w:eastAsia="Times New Roman" w:hAnsi="Times New Roman"/>
            <w:sz w:val="18"/>
            <w:szCs w:val="18"/>
            <w:u w:val="single" w:color="auto"/>
            <w:color w:val="0000EE"/>
          </w:rPr>
          <w:t>MagnaChip Semiconductor LLC Profit Sharing Plan as adopted on December 31, 2009 and amended on February 15, 2010 (incorporated</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by reference to Exhibit 10.54 to our Quarterly Report on Form 10-Q filed on August 5, 2011).</w:t>
        </w:r>
      </w:hyperlink>
    </w:p>
    <w:p>
      <w:pPr>
        <w:spacing w:after="0" w:line="53" w:lineRule="exact"/>
        <w:rPr>
          <w:rFonts w:ascii="Times New Roman" w:cs="Times New Roman" w:eastAsia="Times New Roman" w:hAnsi="Times New Roman"/>
          <w:sz w:val="18"/>
          <w:szCs w:val="18"/>
          <w:u w:val="single" w:color="auto"/>
          <w:color w:val="0000EE"/>
        </w:rPr>
      </w:pPr>
    </w:p>
    <w:p>
      <w:pPr>
        <w:ind w:left="1220" w:right="40" w:hanging="1104"/>
        <w:spacing w:after="0" w:line="312" w:lineRule="auto"/>
        <w:tabs>
          <w:tab w:leader="none" w:pos="203" w:val="left"/>
        </w:tabs>
        <w:numPr>
          <w:ilvl w:val="0"/>
          <w:numId w:val="4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hyperlink r:id="rId163">
        <w:r>
          <w:rPr>
            <w:rFonts w:ascii="Times New Roman" w:cs="Times New Roman" w:eastAsia="Times New Roman" w:hAnsi="Times New Roman"/>
            <w:sz w:val="17"/>
            <w:szCs w:val="17"/>
            <w:u w:val="single" w:color="auto"/>
            <w:color w:val="0000EE"/>
          </w:rPr>
          <w:t>MagnaChip Semiconductor Corporation 2011 Form of Stock Option Agreement (U.S. Participants) (incorporated by reference to Exhibit</w:t>
        </w:r>
      </w:hyperlink>
      <w:r>
        <w:rPr>
          <w:rFonts w:ascii="Times New Roman" w:cs="Times New Roman" w:eastAsia="Times New Roman" w:hAnsi="Times New Roman"/>
          <w:sz w:val="17"/>
          <w:szCs w:val="17"/>
          <w:u w:val="single" w:color="auto"/>
          <w:color w:val="0000EE"/>
        </w:rPr>
        <w:t xml:space="preserve"> </w:t>
      </w:r>
      <w:hyperlink r:id="rId163">
        <w:r>
          <w:rPr>
            <w:rFonts w:ascii="Times New Roman" w:cs="Times New Roman" w:eastAsia="Times New Roman" w:hAnsi="Times New Roman"/>
            <w:sz w:val="17"/>
            <w:szCs w:val="17"/>
            <w:u w:val="single" w:color="auto"/>
            <w:color w:val="0000EE"/>
          </w:rPr>
          <w:t>10.55 to our Amendment No. 9 to the Registration Statement on Form S-1 filed on February 18, 2011 (Registration No. 333-165467)).</w:t>
        </w:r>
      </w:hyperlink>
    </w:p>
    <w:p>
      <w:pPr>
        <w:spacing w:after="0" w:line="31" w:lineRule="exact"/>
        <w:rPr>
          <w:rFonts w:ascii="Times New Roman" w:cs="Times New Roman" w:eastAsia="Times New Roman" w:hAnsi="Times New Roman"/>
          <w:sz w:val="17"/>
          <w:szCs w:val="17"/>
          <w:u w:val="single" w:color="auto"/>
          <w:color w:val="0000EE"/>
        </w:rPr>
      </w:pPr>
    </w:p>
    <w:p>
      <w:pPr>
        <w:ind w:left="1220" w:right="240" w:hanging="1104"/>
        <w:spacing w:after="0" w:line="261"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hyperlink r:id="rId164">
        <w:r>
          <w:rPr>
            <w:rFonts w:ascii="Times New Roman" w:cs="Times New Roman" w:eastAsia="Times New Roman" w:hAnsi="Times New Roman"/>
            <w:sz w:val="18"/>
            <w:szCs w:val="18"/>
            <w:u w:val="single" w:color="auto"/>
            <w:color w:val="0000EE"/>
          </w:rPr>
          <w:t>MagnaChip Semiconductor Corporation 2011 Form of Stock Option Agreement (Non-U.S. Participants) (incorporated by reference to</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Exhibit 10.56 to our Amendment No. 9 to the Registration Statement on Form S-1 filed on February 18, 2011 (Registration</w:t>
        </w:r>
      </w:hyperlink>
    </w:p>
    <w:p>
      <w:pPr>
        <w:ind w:left="1220"/>
        <w:spacing w:after="0"/>
        <w:rPr>
          <w:rFonts w:ascii="Times New Roman" w:cs="Times New Roman" w:eastAsia="Times New Roman" w:hAnsi="Times New Roman"/>
          <w:sz w:val="18"/>
          <w:szCs w:val="18"/>
          <w:u w:val="single" w:color="auto"/>
          <w:color w:val="0000EE"/>
        </w:rPr>
      </w:pPr>
      <w:hyperlink r:id="rId164">
        <w:r>
          <w:rPr>
            <w:rFonts w:ascii="Times New Roman" w:cs="Times New Roman" w:eastAsia="Times New Roman" w:hAnsi="Times New Roman"/>
            <w:sz w:val="18"/>
            <w:szCs w:val="18"/>
            <w:u w:val="single" w:color="auto"/>
            <w:color w:val="0000EE"/>
          </w:rPr>
          <w:t>No. 333-165467)).</w:t>
        </w:r>
      </w:hyperlink>
    </w:p>
    <w:p>
      <w:pPr>
        <w:spacing w:after="0" w:line="98" w:lineRule="exact"/>
        <w:rPr>
          <w:rFonts w:ascii="Times New Roman" w:cs="Times New Roman" w:eastAsia="Times New Roman" w:hAnsi="Times New Roman"/>
          <w:sz w:val="18"/>
          <w:szCs w:val="18"/>
          <w:u w:val="single" w:color="auto"/>
          <w:color w:val="0000EE"/>
        </w:rPr>
      </w:pPr>
    </w:p>
    <w:p>
      <w:pPr>
        <w:ind w:left="1220" w:right="120" w:hanging="1104"/>
        <w:spacing w:after="0" w:line="261"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hyperlink r:id="rId165">
        <w:r>
          <w:rPr>
            <w:rFonts w:ascii="Times New Roman" w:cs="Times New Roman" w:eastAsia="Times New Roman" w:hAnsi="Times New Roman"/>
            <w:sz w:val="18"/>
            <w:szCs w:val="18"/>
            <w:u w:val="single" w:color="auto"/>
            <w:color w:val="0000EE"/>
          </w:rPr>
          <w:t>MagnaChip Semiconductor Corporation 2011 Form of Restricted Stock Units Agreement (U.S. Participants) (incorporated by reference</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to Exhibit 10.57 to our Amendment No. 9 to the Registration Statement on Form S-1 filed on February 18, 2011 (Registration</w:t>
        </w:r>
      </w:hyperlink>
    </w:p>
    <w:p>
      <w:pPr>
        <w:ind w:left="1220"/>
        <w:spacing w:after="0"/>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No. 333-165467)).</w:t>
        </w:r>
      </w:hyperlink>
    </w:p>
    <w:p>
      <w:pPr>
        <w:spacing w:after="0" w:line="98" w:lineRule="exact"/>
        <w:rPr>
          <w:rFonts w:ascii="Times New Roman" w:cs="Times New Roman" w:eastAsia="Times New Roman" w:hAnsi="Times New Roman"/>
          <w:sz w:val="18"/>
          <w:szCs w:val="18"/>
          <w:u w:val="single" w:color="auto"/>
          <w:color w:val="0000EE"/>
        </w:rPr>
      </w:pPr>
    </w:p>
    <w:p>
      <w:pPr>
        <w:ind w:left="1220" w:right="120" w:hanging="1104"/>
        <w:spacing w:after="0" w:line="266"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hyperlink r:id="rId166">
        <w:r>
          <w:rPr>
            <w:rFonts w:ascii="Times New Roman" w:cs="Times New Roman" w:eastAsia="Times New Roman" w:hAnsi="Times New Roman"/>
            <w:sz w:val="18"/>
            <w:szCs w:val="18"/>
            <w:u w:val="single" w:color="auto"/>
            <w:color w:val="0000EE"/>
          </w:rPr>
          <w:t>MagnaChip Semiconductor Corporation 2011 Form of Restricted Stock Units Agreement (Non-U.S. Participants) (incorporated by</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reference to Exhibit 10.58 to our Amendment No. 9 to the Registration Statement on Form S-1 filed on February 18, 2011 (Registration</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No. 333-165467)).</w:t>
        </w:r>
      </w:hyperlink>
    </w:p>
    <w:p>
      <w:pPr>
        <w:spacing w:after="0" w:line="67" w:lineRule="exact"/>
        <w:rPr>
          <w:rFonts w:ascii="Times New Roman" w:cs="Times New Roman" w:eastAsia="Times New Roman" w:hAnsi="Times New Roman"/>
          <w:sz w:val="18"/>
          <w:szCs w:val="18"/>
          <w:u w:val="single" w:color="auto"/>
          <w:color w:val="0000EE"/>
        </w:rPr>
      </w:pPr>
    </w:p>
    <w:p>
      <w:pPr>
        <w:ind w:left="1220" w:right="380" w:hanging="1104"/>
        <w:spacing w:after="0" w:line="261"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hyperlink r:id="rId167">
        <w:r>
          <w:rPr>
            <w:rFonts w:ascii="Times New Roman" w:cs="Times New Roman" w:eastAsia="Times New Roman" w:hAnsi="Times New Roman"/>
            <w:sz w:val="18"/>
            <w:szCs w:val="18"/>
            <w:u w:val="single" w:color="auto"/>
            <w:color w:val="0000EE"/>
          </w:rPr>
          <w:t>MagnaChip Semiconductor Corporation 2011 Form of Restricted Stock Agreement (U.S. Participants) (incorporated by reference to</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Exhibit 10.59 to our Amendment No. 9 to the Registration Statement on Form S-1 filed on February 18, 2011 (Registration</w:t>
        </w:r>
      </w:hyperlink>
    </w:p>
    <w:p>
      <w:pPr>
        <w:ind w:left="1220"/>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No. 333-165467)).</w:t>
        </w:r>
      </w:hyperlink>
    </w:p>
    <w:p>
      <w:pPr>
        <w:spacing w:after="0" w:line="98"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4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10.17*</w:t>
      </w:r>
      <w:hyperlink r:id="rId168">
        <w:r>
          <w:rPr>
            <w:rFonts w:ascii="Times New Roman" w:cs="Times New Roman" w:eastAsia="Times New Roman" w:hAnsi="Times New Roman"/>
            <w:sz w:val="17"/>
            <w:szCs w:val="17"/>
            <w:u w:val="single" w:color="auto"/>
            <w:color w:val="0000EE"/>
          </w:rPr>
          <w:t>MagnaChip Semiconductor Corporation 2011 Form of Restricted Stock Agreement (Non-U.S. Participants) (incorporated by reference to</w:t>
        </w:r>
      </w:hyperlink>
    </w:p>
    <w:p>
      <w:pPr>
        <w:spacing w:after="0" w:line="38" w:lineRule="exact"/>
        <w:rPr>
          <w:rFonts w:ascii="Times New Roman" w:cs="Times New Roman" w:eastAsia="Times New Roman" w:hAnsi="Times New Roman"/>
          <w:sz w:val="17"/>
          <w:szCs w:val="17"/>
          <w:u w:val="single" w:color="auto"/>
          <w:color w:val="0000EE"/>
        </w:rPr>
      </w:pPr>
    </w:p>
    <w:p>
      <w:pPr>
        <w:ind w:left="1220" w:right="1020"/>
        <w:spacing w:after="0" w:line="260" w:lineRule="auto"/>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Exhibit 10.60 to our Amendment No. 9 to the Registration Statement on Form S-1 filed on February 18, 2011 (Registration</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No. 333-165467)).</w:t>
        </w:r>
      </w:hyperlink>
    </w:p>
    <w:p>
      <w:pPr>
        <w:spacing w:after="0" w:line="73" w:lineRule="exact"/>
        <w:rPr>
          <w:rFonts w:ascii="Times New Roman" w:cs="Times New Roman" w:eastAsia="Times New Roman" w:hAnsi="Times New Roman"/>
          <w:sz w:val="18"/>
          <w:szCs w:val="18"/>
          <w:u w:val="single" w:color="auto"/>
          <w:color w:val="0000EE"/>
        </w:rPr>
      </w:pPr>
    </w:p>
    <w:p>
      <w:pPr>
        <w:ind w:left="1220" w:right="400" w:hanging="1104"/>
        <w:spacing w:after="0" w:line="282"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hyperlink r:id="rId169">
        <w:r>
          <w:rPr>
            <w:rFonts w:ascii="Times New Roman" w:cs="Times New Roman" w:eastAsia="Times New Roman" w:hAnsi="Times New Roman"/>
            <w:sz w:val="18"/>
            <w:szCs w:val="18"/>
            <w:u w:val="single" w:color="auto"/>
            <w:color w:val="0000EE"/>
          </w:rPr>
          <w:t>MagnaChip Semiconductor Corporation 2011 Form of Restricted Stock Units Agreement (Nonemployee Director) (incorporated by</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reference to Exhibit 10.1 to our Quarterly Report on Form 10-Q filed on May 6, 2016).</w:t>
        </w:r>
      </w:hyperlink>
    </w:p>
    <w:p>
      <w:pPr>
        <w:spacing w:after="0" w:line="53" w:lineRule="exact"/>
        <w:rPr>
          <w:rFonts w:ascii="Times New Roman" w:cs="Times New Roman" w:eastAsia="Times New Roman" w:hAnsi="Times New Roman"/>
          <w:sz w:val="18"/>
          <w:szCs w:val="18"/>
          <w:u w:val="single" w:color="auto"/>
          <w:color w:val="0000EE"/>
        </w:rPr>
      </w:pPr>
    </w:p>
    <w:p>
      <w:pPr>
        <w:ind w:left="1220" w:right="540" w:hanging="1104"/>
        <w:spacing w:after="0" w:line="282"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hyperlink r:id="rId170">
        <w:r>
          <w:rPr>
            <w:rFonts w:ascii="Times New Roman" w:cs="Times New Roman" w:eastAsia="Times New Roman" w:hAnsi="Times New Roman"/>
            <w:sz w:val="18"/>
            <w:szCs w:val="18"/>
            <w:u w:val="single" w:color="auto"/>
            <w:color w:val="0000EE"/>
          </w:rPr>
          <w:t>Form of Restricted Stock Units Agreement (incorporated by reference to Exhibit 10.3 to our Current Report on Form 8-K filed on</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October 26, 2018).</w:t>
        </w:r>
      </w:hyperlink>
    </w:p>
    <w:p>
      <w:pPr>
        <w:spacing w:after="0" w:line="53" w:lineRule="exact"/>
        <w:rPr>
          <w:rFonts w:ascii="Times New Roman" w:cs="Times New Roman" w:eastAsia="Times New Roman" w:hAnsi="Times New Roman"/>
          <w:sz w:val="18"/>
          <w:szCs w:val="18"/>
          <w:u w:val="single" w:color="auto"/>
          <w:color w:val="0000EE"/>
        </w:rPr>
      </w:pPr>
    </w:p>
    <w:p>
      <w:pPr>
        <w:ind w:left="1220" w:right="20" w:hanging="1104"/>
        <w:spacing w:after="0" w:line="282"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hyperlink r:id="rId171">
        <w:r>
          <w:rPr>
            <w:rFonts w:ascii="Times New Roman" w:cs="Times New Roman" w:eastAsia="Times New Roman" w:hAnsi="Times New Roman"/>
            <w:sz w:val="18"/>
            <w:szCs w:val="18"/>
            <w:u w:val="single" w:color="auto"/>
            <w:color w:val="0000EE"/>
          </w:rPr>
          <w:t>Form of Restricted Stock Units Agreement (TSR Performance) (incorporated by reference to Exhibit 10.4 to our Current Report on Form</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8-K filed on October 26, 2018).</w:t>
        </w:r>
      </w:hyperlink>
    </w:p>
    <w:p>
      <w:pPr>
        <w:spacing w:after="0" w:line="53" w:lineRule="exact"/>
        <w:rPr>
          <w:rFonts w:ascii="Times New Roman" w:cs="Times New Roman" w:eastAsia="Times New Roman" w:hAnsi="Times New Roman"/>
          <w:sz w:val="18"/>
          <w:szCs w:val="18"/>
          <w:u w:val="single" w:color="auto"/>
          <w:color w:val="0000EE"/>
        </w:rPr>
      </w:pPr>
    </w:p>
    <w:p>
      <w:pPr>
        <w:ind w:left="1220" w:right="420" w:hanging="1104"/>
        <w:spacing w:after="0" w:line="282" w:lineRule="auto"/>
        <w:tabs>
          <w:tab w:leader="none" w:pos="203" w:val="left"/>
        </w:tabs>
        <w:numPr>
          <w:ilvl w:val="0"/>
          <w:numId w:val="4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hyperlink r:id="rId172">
        <w:r>
          <w:rPr>
            <w:rFonts w:ascii="Times New Roman" w:cs="Times New Roman" w:eastAsia="Times New Roman" w:hAnsi="Times New Roman"/>
            <w:sz w:val="18"/>
            <w:szCs w:val="18"/>
            <w:u w:val="single" w:color="auto"/>
            <w:color w:val="0000EE"/>
          </w:rPr>
          <w:t>Form of Restricted Stock Units Agreement (AOP Performance) (incorporated by reference to Exhibit 10.5 to our Current Report on</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Form 8-K filed on October 26, 2018).</w:t>
        </w:r>
      </w:hyperlink>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tcPr>
          <w:p>
            <w:pPr>
              <w:spacing w:after="0"/>
              <w:rPr>
                <w:sz w:val="13"/>
                <w:szCs w:val="13"/>
                <w:color w:val="auto"/>
              </w:rPr>
            </w:pPr>
          </w:p>
        </w:tc>
      </w:tr>
      <w:tr>
        <w:trPr>
          <w:trHeight w:val="21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    No.   </w:t>
            </w:r>
          </w:p>
        </w:tc>
        <w:tc>
          <w:tcPr>
            <w:tcW w:w="360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-27305</wp:posOffset>
            </wp:positionV>
            <wp:extent cx="325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66" w:lineRule="exact"/>
        <w:rPr>
          <w:sz w:val="20"/>
          <w:szCs w:val="20"/>
          <w:color w:val="auto"/>
        </w:rPr>
      </w:pPr>
    </w:p>
    <w:p>
      <w:pPr>
        <w:ind w:left="1220" w:right="26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hyperlink r:id="rId175">
        <w:r>
          <w:rPr>
            <w:rFonts w:ascii="Times New Roman" w:cs="Times New Roman" w:eastAsia="Times New Roman" w:hAnsi="Times New Roman"/>
            <w:sz w:val="18"/>
            <w:szCs w:val="18"/>
            <w:u w:val="single" w:color="auto"/>
            <w:color w:val="0000EE"/>
          </w:rPr>
          <w:t>MagnaChip Semiconductor Corporation 2020 Form of Restricted Stock Units Agreement (Non-employee Directors) (incorporated by</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reference to Exhibit 99.2 to our Registration Statement on Form S-8 filed on July 15, 2020).</w:t>
        </w:r>
      </w:hyperlink>
    </w:p>
    <w:p>
      <w:pPr>
        <w:spacing w:after="0" w:line="53" w:lineRule="exact"/>
        <w:rPr>
          <w:rFonts w:ascii="Times New Roman" w:cs="Times New Roman" w:eastAsia="Times New Roman" w:hAnsi="Times New Roman"/>
          <w:sz w:val="18"/>
          <w:szCs w:val="18"/>
          <w:u w:val="single" w:color="auto"/>
          <w:color w:val="0000EE"/>
        </w:rPr>
      </w:pPr>
    </w:p>
    <w:p>
      <w:pPr>
        <w:ind w:left="1220" w:right="66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hyperlink r:id="rId176">
        <w:r>
          <w:rPr>
            <w:rFonts w:ascii="Times New Roman" w:cs="Times New Roman" w:eastAsia="Times New Roman" w:hAnsi="Times New Roman"/>
            <w:sz w:val="18"/>
            <w:szCs w:val="18"/>
            <w:u w:val="single" w:color="auto"/>
            <w:color w:val="0000EE"/>
          </w:rPr>
          <w:t>MagnaChip Semiconductor Corporation 2020 Form of Restricted Stock Units Agreement (Section 16 Officers) (incorporated by</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reference to Exhibit 99.3 to our Registration Statement on Form S-8 filed on July 15, 2020).</w:t>
        </w:r>
      </w:hyperlink>
    </w:p>
    <w:p>
      <w:pPr>
        <w:spacing w:after="0" w:line="53" w:lineRule="exact"/>
        <w:rPr>
          <w:rFonts w:ascii="Times New Roman" w:cs="Times New Roman" w:eastAsia="Times New Roman" w:hAnsi="Times New Roman"/>
          <w:sz w:val="18"/>
          <w:szCs w:val="18"/>
          <w:u w:val="single" w:color="auto"/>
          <w:color w:val="0000EE"/>
        </w:rPr>
      </w:pPr>
    </w:p>
    <w:p>
      <w:pPr>
        <w:ind w:left="1220" w:right="10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hyperlink r:id="rId177">
        <w:r>
          <w:rPr>
            <w:rFonts w:ascii="Times New Roman" w:cs="Times New Roman" w:eastAsia="Times New Roman" w:hAnsi="Times New Roman"/>
            <w:sz w:val="18"/>
            <w:szCs w:val="18"/>
            <w:u w:val="single" w:color="auto"/>
            <w:color w:val="0000EE"/>
          </w:rPr>
          <w:t>MagnaChip Semiconductor Corporation 2020 Form of Restricted Stock Units Agreement—Financial Performance (CEO) (incorporated</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by reference to Exhibit 99.4 to our Registration Statement on Form S-8 filed on July 15, 2020).</w:t>
        </w:r>
      </w:hyperlink>
    </w:p>
    <w:p>
      <w:pPr>
        <w:spacing w:after="0" w:line="53" w:lineRule="exact"/>
        <w:rPr>
          <w:rFonts w:ascii="Times New Roman" w:cs="Times New Roman" w:eastAsia="Times New Roman" w:hAnsi="Times New Roman"/>
          <w:sz w:val="18"/>
          <w:szCs w:val="18"/>
          <w:u w:val="single" w:color="auto"/>
          <w:color w:val="0000EE"/>
        </w:rPr>
      </w:pPr>
    </w:p>
    <w:p>
      <w:pPr>
        <w:ind w:left="122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hyperlink r:id="rId178">
        <w:r>
          <w:rPr>
            <w:rFonts w:ascii="Times New Roman" w:cs="Times New Roman" w:eastAsia="Times New Roman" w:hAnsi="Times New Roman"/>
            <w:sz w:val="18"/>
            <w:szCs w:val="18"/>
            <w:u w:val="single" w:color="auto"/>
            <w:color w:val="0000EE"/>
          </w:rPr>
          <w:t>MagnaChip Semiconductor Corporation 2020 Form of Restricted Stock Units Agreement—Financial Performance (Non-CEO Section 16</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Officers) (incorporated by reference to Exhibit 99.5 to our Registration Statement on Form S-8 filed on July 15, 2020).</w:t>
        </w:r>
      </w:hyperlink>
    </w:p>
    <w:p>
      <w:pPr>
        <w:spacing w:after="0" w:line="53" w:lineRule="exact"/>
        <w:rPr>
          <w:rFonts w:ascii="Times New Roman" w:cs="Times New Roman" w:eastAsia="Times New Roman" w:hAnsi="Times New Roman"/>
          <w:sz w:val="18"/>
          <w:szCs w:val="18"/>
          <w:u w:val="single" w:color="auto"/>
          <w:color w:val="0000EE"/>
        </w:rPr>
      </w:pPr>
    </w:p>
    <w:p>
      <w:pPr>
        <w:ind w:left="1220" w:right="22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hyperlink r:id="rId179">
        <w:r>
          <w:rPr>
            <w:rFonts w:ascii="Times New Roman" w:cs="Times New Roman" w:eastAsia="Times New Roman" w:hAnsi="Times New Roman"/>
            <w:sz w:val="18"/>
            <w:szCs w:val="18"/>
            <w:u w:val="single" w:color="auto"/>
            <w:color w:val="0000EE"/>
          </w:rPr>
          <w:t>MagnaChip Semiconductor Corporation 2020 Form of Restricted Stock Units Agreement—TSR Performance (CEO) (incorporated by</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reference to Exhibit 99.6 to our Registration Statement on Form S-8 filed on July 15, 2020).</w:t>
        </w:r>
      </w:hyperlink>
    </w:p>
    <w:p>
      <w:pPr>
        <w:spacing w:after="0" w:line="53" w:lineRule="exact"/>
        <w:rPr>
          <w:rFonts w:ascii="Times New Roman" w:cs="Times New Roman" w:eastAsia="Times New Roman" w:hAnsi="Times New Roman"/>
          <w:sz w:val="18"/>
          <w:szCs w:val="18"/>
          <w:u w:val="single" w:color="auto"/>
          <w:color w:val="0000EE"/>
        </w:rPr>
      </w:pPr>
    </w:p>
    <w:p>
      <w:pPr>
        <w:ind w:left="200" w:hanging="84"/>
        <w:spacing w:after="0"/>
        <w:tabs>
          <w:tab w:leader="none" w:pos="200" w:val="left"/>
        </w:tabs>
        <w:numPr>
          <w:ilvl w:val="0"/>
          <w:numId w:val="4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10.27*</w:t>
      </w:r>
      <w:hyperlink r:id="rId180">
        <w:r>
          <w:rPr>
            <w:rFonts w:ascii="Times New Roman" w:cs="Times New Roman" w:eastAsia="Times New Roman" w:hAnsi="Times New Roman"/>
            <w:sz w:val="17"/>
            <w:szCs w:val="17"/>
            <w:u w:val="single" w:color="auto"/>
            <w:color w:val="0000EE"/>
          </w:rPr>
          <w:t>MagnaChip Semiconductor Corporation 2020 Form of Restricted Stock Units Agreement—TSR Performance (Non-CEO Section 16</w:t>
        </w:r>
      </w:hyperlink>
    </w:p>
    <w:p>
      <w:pPr>
        <w:spacing w:after="0" w:line="38" w:lineRule="exact"/>
        <w:rPr>
          <w:rFonts w:ascii="Times New Roman" w:cs="Times New Roman" w:eastAsia="Times New Roman" w:hAnsi="Times New Roman"/>
          <w:sz w:val="17"/>
          <w:szCs w:val="17"/>
          <w:u w:val="single" w:color="auto"/>
          <w:color w:val="0000EE"/>
        </w:rPr>
      </w:pPr>
    </w:p>
    <w:p>
      <w:pPr>
        <w:ind w:left="1220"/>
        <w:spacing w:after="0"/>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Officers) (incorporated by reference to Exhibit 99.7 to our Registration Statement on Form S-8 filed on July 15, 2020).</w:t>
        </w:r>
      </w:hyperlink>
    </w:p>
    <w:p>
      <w:pPr>
        <w:spacing w:after="0" w:line="98" w:lineRule="exact"/>
        <w:rPr>
          <w:rFonts w:ascii="Times New Roman" w:cs="Times New Roman" w:eastAsia="Times New Roman" w:hAnsi="Times New Roman"/>
          <w:sz w:val="18"/>
          <w:szCs w:val="18"/>
          <w:u w:val="single" w:color="auto"/>
          <w:color w:val="0000EE"/>
        </w:rPr>
      </w:pPr>
    </w:p>
    <w:p>
      <w:pPr>
        <w:ind w:left="1220" w:right="100" w:hanging="1104"/>
        <w:spacing w:after="0" w:line="312" w:lineRule="auto"/>
        <w:tabs>
          <w:tab w:leader="none" w:pos="203" w:val="left"/>
        </w:tabs>
        <w:numPr>
          <w:ilvl w:val="0"/>
          <w:numId w:val="44"/>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10.28*</w:t>
      </w:r>
      <w:hyperlink r:id="rId181">
        <w:r>
          <w:rPr>
            <w:rFonts w:ascii="Times New Roman" w:cs="Times New Roman" w:eastAsia="Times New Roman" w:hAnsi="Times New Roman"/>
            <w:sz w:val="17"/>
            <w:szCs w:val="17"/>
            <w:u w:val="single" w:color="auto"/>
            <w:color w:val="0000EE"/>
          </w:rPr>
          <w:t>Patent Cross-License Agreement, with an effective date as of June 15, 2017, by and between Infineon Technologies AG and Magnachip</w:t>
        </w:r>
      </w:hyperlink>
      <w:r>
        <w:rPr>
          <w:rFonts w:ascii="Times New Roman" w:cs="Times New Roman" w:eastAsia="Times New Roman" w:hAnsi="Times New Roman"/>
          <w:sz w:val="17"/>
          <w:szCs w:val="17"/>
          <w:u w:val="single" w:color="auto"/>
          <w:color w:val="0000EE"/>
        </w:rPr>
        <w:t xml:space="preserve"> </w:t>
      </w:r>
      <w:hyperlink r:id="rId181">
        <w:r>
          <w:rPr>
            <w:rFonts w:ascii="Times New Roman" w:cs="Times New Roman" w:eastAsia="Times New Roman" w:hAnsi="Times New Roman"/>
            <w:sz w:val="17"/>
            <w:szCs w:val="17"/>
            <w:u w:val="single" w:color="auto"/>
            <w:color w:val="0000EE"/>
          </w:rPr>
          <w:t>Semiconductor, Ltd. (incorporated by reference to Exhibit 10.8 to our Quarterly Report on Form 10-Q filed on November 4, 2022).</w:t>
        </w:r>
      </w:hyperlink>
    </w:p>
    <w:p>
      <w:pPr>
        <w:spacing w:after="0" w:line="31" w:lineRule="exact"/>
        <w:rPr>
          <w:rFonts w:ascii="Times New Roman" w:cs="Times New Roman" w:eastAsia="Times New Roman" w:hAnsi="Times New Roman"/>
          <w:sz w:val="17"/>
          <w:szCs w:val="17"/>
          <w:u w:val="single" w:color="auto"/>
          <w:color w:val="0000EE"/>
        </w:rPr>
      </w:pPr>
    </w:p>
    <w:p>
      <w:pPr>
        <w:ind w:left="1220" w:right="80" w:hanging="1104"/>
        <w:spacing w:after="0" w:line="266"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hyperlink r:id="rId182">
        <w:r>
          <w:rPr>
            <w:rFonts w:ascii="Times New Roman" w:cs="Times New Roman" w:eastAsia="Times New Roman" w:hAnsi="Times New Roman"/>
            <w:sz w:val="18"/>
            <w:szCs w:val="18"/>
            <w:u w:val="single" w:color="auto"/>
            <w:color w:val="0000EE"/>
          </w:rPr>
          <w:t>First Amendment to the Patent Cross-License Agreement, with an effective date as of January 1, 2022, by and between Infineon</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Technologies AG and Magnachip Semiconductor, Ltd. (incorporated by reference to Exhibit 10.9 to our Quarterly Report on Form 10-Q</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filed on November 4, 2022).</w:t>
        </w:r>
      </w:hyperlink>
    </w:p>
    <w:p>
      <w:pPr>
        <w:spacing w:after="0" w:line="67" w:lineRule="exact"/>
        <w:rPr>
          <w:rFonts w:ascii="Times New Roman" w:cs="Times New Roman" w:eastAsia="Times New Roman" w:hAnsi="Times New Roman"/>
          <w:sz w:val="18"/>
          <w:szCs w:val="18"/>
          <w:u w:val="single" w:color="auto"/>
          <w:color w:val="0000EE"/>
        </w:rPr>
      </w:pPr>
    </w:p>
    <w:p>
      <w:pPr>
        <w:ind w:left="1220" w:right="54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hyperlink r:id="rId183">
        <w:r>
          <w:rPr>
            <w:rFonts w:ascii="Times New Roman" w:cs="Times New Roman" w:eastAsia="Times New Roman" w:hAnsi="Times New Roman"/>
            <w:sz w:val="18"/>
            <w:szCs w:val="18"/>
            <w:u w:val="single" w:color="auto"/>
            <w:color w:val="0000EE"/>
          </w:rPr>
          <w:t>Form of 2020 Plan Restricted Stock Units Agreement (Non-employee Directors) (incorporated by reference to Exhibit 10.1 to our</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Quarterly Report on Form 10-Q filed on November 4, 2022).</w:t>
        </w:r>
      </w:hyperlink>
    </w:p>
    <w:p>
      <w:pPr>
        <w:spacing w:after="0" w:line="53" w:lineRule="exact"/>
        <w:rPr>
          <w:rFonts w:ascii="Times New Roman" w:cs="Times New Roman" w:eastAsia="Times New Roman" w:hAnsi="Times New Roman"/>
          <w:sz w:val="18"/>
          <w:szCs w:val="18"/>
          <w:u w:val="single" w:color="auto"/>
          <w:color w:val="0000EE"/>
        </w:rPr>
      </w:pPr>
    </w:p>
    <w:p>
      <w:pPr>
        <w:ind w:left="1220" w:right="10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hyperlink r:id="rId184">
        <w:r>
          <w:rPr>
            <w:rFonts w:ascii="Times New Roman" w:cs="Times New Roman" w:eastAsia="Times New Roman" w:hAnsi="Times New Roman"/>
            <w:sz w:val="18"/>
            <w:szCs w:val="18"/>
            <w:u w:val="single" w:color="auto"/>
            <w:color w:val="0000EE"/>
          </w:rPr>
          <w:t>Form of 2020 Plan Restricted Stock Units Agreement (CEO and other Section 16 Officers) (incorporated by reference to Exhibit 10.2 to</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our Quarterly Report on Form 10-Q filed on November 4, 2022).</w:t>
        </w:r>
      </w:hyperlink>
    </w:p>
    <w:p>
      <w:pPr>
        <w:spacing w:after="0" w:line="53" w:lineRule="exact"/>
        <w:rPr>
          <w:rFonts w:ascii="Times New Roman" w:cs="Times New Roman" w:eastAsia="Times New Roman" w:hAnsi="Times New Roman"/>
          <w:sz w:val="18"/>
          <w:szCs w:val="18"/>
          <w:u w:val="single" w:color="auto"/>
          <w:color w:val="0000EE"/>
        </w:rPr>
      </w:pPr>
    </w:p>
    <w:p>
      <w:pPr>
        <w:ind w:left="1220" w:right="16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hyperlink r:id="rId185">
        <w:r>
          <w:rPr>
            <w:rFonts w:ascii="Times New Roman" w:cs="Times New Roman" w:eastAsia="Times New Roman" w:hAnsi="Times New Roman"/>
            <w:sz w:val="18"/>
            <w:szCs w:val="18"/>
            <w:u w:val="single" w:color="auto"/>
            <w:color w:val="0000EE"/>
          </w:rPr>
          <w:t>Form of 2020 Plan Restricted Stock Units Agreement—Financial Performance (CEO) (incorporated by reference to Exhibit 10.3 to our</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Quarterly Report on Form 10-Q filed on November 4, 2022).</w:t>
        </w:r>
      </w:hyperlink>
    </w:p>
    <w:p>
      <w:pPr>
        <w:spacing w:after="0" w:line="53" w:lineRule="exact"/>
        <w:rPr>
          <w:rFonts w:ascii="Times New Roman" w:cs="Times New Roman" w:eastAsia="Times New Roman" w:hAnsi="Times New Roman"/>
          <w:sz w:val="18"/>
          <w:szCs w:val="18"/>
          <w:u w:val="single" w:color="auto"/>
          <w:color w:val="0000EE"/>
        </w:rPr>
      </w:pPr>
    </w:p>
    <w:p>
      <w:pPr>
        <w:ind w:left="1220" w:right="64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hyperlink r:id="rId186">
        <w:r>
          <w:rPr>
            <w:rFonts w:ascii="Times New Roman" w:cs="Times New Roman" w:eastAsia="Times New Roman" w:hAnsi="Times New Roman"/>
            <w:sz w:val="18"/>
            <w:szCs w:val="18"/>
            <w:u w:val="single" w:color="auto"/>
            <w:color w:val="0000EE"/>
          </w:rPr>
          <w:t>Form of 2020 Plan Restricted Stock Units Agreement—Financial Performance (Non-CEO Section 16 Officers) (incorporated by</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reference to Exhibit 10.4 to our Quarterly Report on Form 10-Q filed on November 4, 2022).</w:t>
        </w:r>
      </w:hyperlink>
    </w:p>
    <w:p>
      <w:pPr>
        <w:spacing w:after="0" w:line="53" w:lineRule="exact"/>
        <w:rPr>
          <w:rFonts w:ascii="Times New Roman" w:cs="Times New Roman" w:eastAsia="Times New Roman" w:hAnsi="Times New Roman"/>
          <w:sz w:val="18"/>
          <w:szCs w:val="18"/>
          <w:u w:val="single" w:color="auto"/>
          <w:color w:val="0000EE"/>
        </w:rPr>
      </w:pPr>
    </w:p>
    <w:p>
      <w:pPr>
        <w:ind w:left="1220" w:right="50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hyperlink r:id="rId187">
        <w:r>
          <w:rPr>
            <w:rFonts w:ascii="Times New Roman" w:cs="Times New Roman" w:eastAsia="Times New Roman" w:hAnsi="Times New Roman"/>
            <w:sz w:val="18"/>
            <w:szCs w:val="18"/>
            <w:u w:val="single" w:color="auto"/>
            <w:color w:val="0000EE"/>
          </w:rPr>
          <w:t>Form of 2020 Plan Restricted Stock Units Agreement—TSR Performance (CEO) (incorporated by reference to Exhibit 10.5 to our</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Quarterly Report on Form 10-Q filed on November 4, 2022).</w:t>
        </w:r>
      </w:hyperlink>
    </w:p>
    <w:p>
      <w:pPr>
        <w:spacing w:after="0" w:line="53" w:lineRule="exact"/>
        <w:rPr>
          <w:rFonts w:ascii="Times New Roman" w:cs="Times New Roman" w:eastAsia="Times New Roman" w:hAnsi="Times New Roman"/>
          <w:sz w:val="18"/>
          <w:szCs w:val="18"/>
          <w:u w:val="single" w:color="auto"/>
          <w:color w:val="0000EE"/>
        </w:rPr>
      </w:pPr>
    </w:p>
    <w:p>
      <w:pPr>
        <w:ind w:left="1220" w:right="80" w:hanging="1104"/>
        <w:spacing w:after="0" w:line="282" w:lineRule="auto"/>
        <w:tabs>
          <w:tab w:leader="none" w:pos="203"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hyperlink r:id="rId188">
        <w:r>
          <w:rPr>
            <w:rFonts w:ascii="Times New Roman" w:cs="Times New Roman" w:eastAsia="Times New Roman" w:hAnsi="Times New Roman"/>
            <w:sz w:val="18"/>
            <w:szCs w:val="18"/>
            <w:u w:val="single" w:color="auto"/>
            <w:color w:val="0000EE"/>
          </w:rPr>
          <w:t>Form of 2020 Plan Restricted Stock Units Agreement—TSR Performance (Non-CEO Section 16 Officers) (incorporated by reference to</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Exhibit 10.6 to our Quarterly Report on Form 10-Q filed on November 4, 2022).</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10.36</w:t>
            </w:r>
          </w:p>
        </w:tc>
        <w:tc>
          <w:tcPr>
            <w:tcW w:w="94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Agreement, dated as of April 11, 2023, by and among Magnachip Semiconductor Corporation, Jackson Square Advisors LLC, GT</w:t>
              </w:r>
            </w:hyperlink>
          </w:p>
        </w:tc>
        <w:tc>
          <w:tcPr>
            <w:tcW w:w="380" w:type="dxa"/>
            <w:vAlign w:val="bottom"/>
          </w:tcPr>
          <w:p>
            <w:pPr>
              <w:spacing w:after="0"/>
              <w:rPr>
                <w:sz w:val="18"/>
                <w:szCs w:val="18"/>
                <w:color w:val="auto"/>
              </w:rPr>
            </w:pPr>
          </w:p>
        </w:tc>
      </w:tr>
      <w:tr>
        <w:trPr>
          <w:trHeight w:val="196"/>
        </w:trPr>
        <w:tc>
          <w:tcPr>
            <w:tcW w:w="1100" w:type="dxa"/>
            <w:vAlign w:val="bottom"/>
          </w:tcPr>
          <w:p>
            <w:pPr>
              <w:spacing w:after="0"/>
              <w:rPr>
                <w:sz w:val="17"/>
                <w:szCs w:val="17"/>
                <w:color w:val="auto"/>
              </w:rPr>
            </w:pPr>
          </w:p>
        </w:tc>
        <w:tc>
          <w:tcPr>
            <w:tcW w:w="9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Investments II Corp and Gilbert Nathan (incorporated by reference to Exhibit 10.1 to our Current Report on form 8-K filed on April 13,</w:t>
              </w:r>
            </w:hyperlink>
          </w:p>
        </w:tc>
      </w:tr>
      <w:tr>
        <w:trPr>
          <w:trHeight w:val="196"/>
        </w:trPr>
        <w:tc>
          <w:tcPr>
            <w:tcW w:w="1100" w:type="dxa"/>
            <w:vAlign w:val="bottom"/>
          </w:tcPr>
          <w:p>
            <w:pPr>
              <w:spacing w:after="0"/>
              <w:rPr>
                <w:sz w:val="17"/>
                <w:szCs w:val="17"/>
                <w:color w:val="auto"/>
              </w:rPr>
            </w:pPr>
          </w:p>
        </w:tc>
        <w:tc>
          <w:tcPr>
            <w:tcW w:w="9400" w:type="dxa"/>
            <w:vAlign w:val="bottom"/>
            <w:gridSpan w:val="2"/>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2023).</w:t>
              </w:r>
            </w:hyperlink>
          </w:p>
        </w:tc>
        <w:tc>
          <w:tcPr>
            <w:tcW w:w="380" w:type="dxa"/>
            <w:vAlign w:val="bottom"/>
          </w:tcPr>
          <w:p>
            <w:pPr>
              <w:spacing w:after="0"/>
              <w:rPr>
                <w:sz w:val="17"/>
                <w:szCs w:val="17"/>
                <w:color w:val="auto"/>
              </w:rPr>
            </w:pPr>
          </w:p>
        </w:tc>
      </w:tr>
      <w:tr>
        <w:trPr>
          <w:trHeight w:val="385"/>
        </w:trPr>
        <w:tc>
          <w:tcPr>
            <w:tcW w:w="11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940" w:type="dxa"/>
            <w:vAlign w:val="bottom"/>
          </w:tcPr>
          <w:p>
            <w:pPr>
              <w:jc w:val="right"/>
              <w:ind w:right="4770"/>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wp:posOffset>
            </wp:positionV>
            <wp:extent cx="3257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10.37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Description</w:t>
      </w:r>
    </w:p>
    <w:p>
      <w:pPr>
        <w:spacing w:after="0" w:line="115" w:lineRule="exact"/>
        <w:rPr>
          <w:sz w:val="20"/>
          <w:szCs w:val="20"/>
          <w:color w:val="auto"/>
        </w:rPr>
      </w:pPr>
    </w:p>
    <w:p>
      <w:pPr>
        <w:ind w:right="260"/>
        <w:spacing w:after="0" w:line="282" w:lineRule="auto"/>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Separation Agreement, dated as of March 22, 2024, by and among Magnachip Semiconductor Corporation, Magnachip Semiconductor,</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Ltd. and Chan Ho Park (incorporated by reference to our Current Report on Form 8-K filed on March 26, 2024).</w:t>
        </w:r>
      </w:hyperlink>
    </w:p>
    <w:p>
      <w:pPr>
        <w:spacing w:after="0" w:line="54" w:lineRule="exact"/>
        <w:rPr>
          <w:sz w:val="20"/>
          <w:szCs w:val="20"/>
          <w:color w:val="auto"/>
        </w:rPr>
      </w:pPr>
    </w:p>
    <w:p>
      <w:pPr>
        <w:sectPr>
          <w:pgSz w:w="11900" w:h="16838" w:orient="portrait"/>
          <w:cols w:equalWidth="0" w:num="2">
            <w:col w:w="780" w:space="340"/>
            <w:col w:w="10020"/>
          </w:cols>
          <w:pgMar w:left="320" w:top="482" w:right="439" w:bottom="1440" w:gutter="0" w:footer="0" w:header="0"/>
          <w:type w:val="continuous"/>
        </w:sectPr>
      </w:pPr>
    </w:p>
    <w:p>
      <w:pPr>
        <w:ind w:left="1120" w:right="120" w:hanging="1004"/>
        <w:spacing w:after="0" w:line="282" w:lineRule="auto"/>
        <w:tabs>
          <w:tab w:leader="none" w:pos="211" w:val="left"/>
        </w:tabs>
        <w:numPr>
          <w:ilvl w:val="0"/>
          <w:numId w:val="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hyperlink r:id="rId189">
        <w:r>
          <w:rPr>
            <w:rFonts w:ascii="Times New Roman" w:cs="Times New Roman" w:eastAsia="Times New Roman" w:hAnsi="Times New Roman"/>
            <w:sz w:val="18"/>
            <w:szCs w:val="18"/>
            <w:u w:val="single" w:color="auto"/>
            <w:color w:val="0000EE"/>
          </w:rPr>
          <w:t>Standard Credit Agreement, dated as of March 26, 2024, by and between Magnachip Semiconductor, Ltd. and Korea Development Bank.</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(English Translation).</w:t>
        </w:r>
      </w:hyperlink>
    </w:p>
    <w:p>
      <w:pPr>
        <w:spacing w:after="0" w:line="53" w:lineRule="exact"/>
        <w:rPr>
          <w:rFonts w:ascii="Times New Roman" w:cs="Times New Roman" w:eastAsia="Times New Roman" w:hAnsi="Times New Roman"/>
          <w:sz w:val="18"/>
          <w:szCs w:val="18"/>
          <w:u w:val="single" w:color="auto"/>
          <w:color w:val="0000EE"/>
        </w:rPr>
      </w:pPr>
    </w:p>
    <w:p>
      <w:pPr>
        <w:ind w:left="1120" w:hanging="1004"/>
        <w:spacing w:after="0" w:line="282" w:lineRule="auto"/>
        <w:tabs>
          <w:tab w:leader="none" w:pos="211" w:val="left"/>
        </w:tabs>
        <w:numPr>
          <w:ilvl w:val="0"/>
          <w:numId w:val="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hyperlink r:id="rId189">
        <w:r>
          <w:rPr>
            <w:rFonts w:ascii="Times New Roman" w:cs="Times New Roman" w:eastAsia="Times New Roman" w:hAnsi="Times New Roman"/>
            <w:sz w:val="18"/>
            <w:szCs w:val="18"/>
            <w:u w:val="single" w:color="auto"/>
            <w:color w:val="0000EE"/>
          </w:rPr>
          <w:t>Kun-Pledge (Mortgage) Agreement, dated as of March 26, 2024, by and between Magnachip Semiconductor, Ltd. and Korea Development</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Bank. (English Translation).</w:t>
        </w:r>
      </w:hyperlink>
    </w:p>
    <w:p>
      <w:pPr>
        <w:spacing w:after="0" w:line="53" w:lineRule="exact"/>
        <w:rPr>
          <w:rFonts w:ascii="Times New Roman" w:cs="Times New Roman" w:eastAsia="Times New Roman" w:hAnsi="Times New Roman"/>
          <w:sz w:val="18"/>
          <w:szCs w:val="18"/>
          <w:u w:val="single" w:color="auto"/>
          <w:color w:val="0000EE"/>
        </w:rPr>
      </w:pPr>
    </w:p>
    <w:p>
      <w:pPr>
        <w:ind w:left="1120" w:right="60" w:hanging="1004"/>
        <w:spacing w:after="0" w:line="266" w:lineRule="auto"/>
        <w:tabs>
          <w:tab w:leader="none" w:pos="211" w:val="left"/>
        </w:tabs>
        <w:numPr>
          <w:ilvl w:val="0"/>
          <w:numId w:val="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hyperlink r:id="rId193">
        <w:r>
          <w:rPr>
            <w:rFonts w:ascii="Times New Roman" w:cs="Times New Roman" w:eastAsia="Times New Roman" w:hAnsi="Times New Roman"/>
            <w:sz w:val="18"/>
            <w:szCs w:val="18"/>
            <w:u w:val="single" w:color="auto"/>
            <w:color w:val="0000EE"/>
          </w:rPr>
          <w:t>Separation Agreement, dated as of July 29, 2024, by and among Magnachip Semiconductor Corporation, Magnachip Semiconductor, Ltd.,</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Magnachip Mixed-Signal, Ltd. and Woung Moo Lee (incorporated by reference to our Current Report on Form 8-K filed on July 31,</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2024).</w:t>
        </w:r>
      </w:hyperlink>
    </w:p>
    <w:p>
      <w:pPr>
        <w:spacing w:after="0" w:line="67" w:lineRule="exact"/>
        <w:rPr>
          <w:rFonts w:ascii="Times New Roman" w:cs="Times New Roman" w:eastAsia="Times New Roman" w:hAnsi="Times New Roman"/>
          <w:sz w:val="18"/>
          <w:szCs w:val="18"/>
          <w:u w:val="single" w:color="auto"/>
          <w:color w:val="0000EE"/>
        </w:rPr>
      </w:pPr>
    </w:p>
    <w:p>
      <w:pPr>
        <w:ind w:left="1120" w:right="80" w:hanging="1004"/>
        <w:spacing w:after="0" w:line="282" w:lineRule="auto"/>
        <w:tabs>
          <w:tab w:leader="none" w:pos="211" w:val="left"/>
        </w:tabs>
        <w:numPr>
          <w:ilvl w:val="0"/>
          <w:numId w:val="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hyperlink r:id="rId194">
        <w:r>
          <w:rPr>
            <w:rFonts w:ascii="Times New Roman" w:cs="Times New Roman" w:eastAsia="Times New Roman" w:hAnsi="Times New Roman"/>
            <w:sz w:val="18"/>
            <w:szCs w:val="18"/>
            <w:u w:val="single" w:color="auto"/>
            <w:color w:val="0000EE"/>
          </w:rPr>
          <w:t>Consulting Agreement, dated as of August 1, 2024, by and between Magnachip Mixed-Signal, Ltd. and Woung Moo Lee (incorporated by</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reference to our Current Report on Form 8-K filed on July 31, 2024).</w:t>
        </w:r>
      </w:hyperlink>
    </w:p>
    <w:p>
      <w:pPr>
        <w:spacing w:after="0" w:line="53" w:lineRule="exact"/>
        <w:rPr>
          <w:rFonts w:ascii="Times New Roman" w:cs="Times New Roman" w:eastAsia="Times New Roman" w:hAnsi="Times New Roman"/>
          <w:sz w:val="18"/>
          <w:szCs w:val="18"/>
          <w:u w:val="single" w:color="auto"/>
          <w:color w:val="0000EE"/>
        </w:rPr>
      </w:pPr>
    </w:p>
    <w:p>
      <w:pPr>
        <w:ind w:left="1120" w:right="200" w:hanging="1004"/>
        <w:spacing w:after="0" w:line="282" w:lineRule="auto"/>
        <w:tabs>
          <w:tab w:leader="none" w:pos="2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10.42#</w:t>
      </w:r>
      <w:r>
        <w:rPr>
          <w:rFonts w:ascii="Times New Roman" w:cs="Times New Roman" w:eastAsia="Times New Roman" w:hAnsi="Times New Roman"/>
          <w:sz w:val="18"/>
          <w:szCs w:val="18"/>
          <w:u w:val="single" w:color="auto"/>
          <w:color w:val="0000EE"/>
        </w:rPr>
        <w:t>Amendment to Kun-Pledge (Mortgage) Agreement, dated as of December 8, 2024, by and between Magnachip Semiconductor, Ltd. and Korea Development Bank. (English Translation).</w:t>
      </w:r>
    </w:p>
    <w:p>
      <w:pPr>
        <w:spacing w:after="0" w:line="53" w:lineRule="exact"/>
        <w:rPr>
          <w:rFonts w:ascii="Times New Roman" w:cs="Times New Roman" w:eastAsia="Times New Roman" w:hAnsi="Times New Roman"/>
          <w:sz w:val="18"/>
          <w:szCs w:val="18"/>
          <w:color w:val="auto"/>
        </w:rPr>
      </w:pPr>
    </w:p>
    <w:p>
      <w:pPr>
        <w:ind w:left="1120" w:right="200" w:hanging="1004"/>
        <w:spacing w:after="0" w:line="282" w:lineRule="auto"/>
        <w:tabs>
          <w:tab w:leader="none" w:pos="2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10.43#^ </w:t>
      </w:r>
      <w:r>
        <w:rPr>
          <w:rFonts w:ascii="Times New Roman" w:cs="Times New Roman" w:eastAsia="Times New Roman" w:hAnsi="Times New Roman"/>
          <w:sz w:val="18"/>
          <w:szCs w:val="18"/>
          <w:u w:val="single" w:color="auto"/>
          <w:color w:val="0000EE"/>
        </w:rPr>
        <w:t>Amendment to Kun-Pledge (Mortgage) Agreement, dated as of December 8, 2024, by and between Magnachip Semiconductor, Ltd.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Korea Development Bank. (English Translation).</w:t>
      </w:r>
    </w:p>
    <w:p>
      <w:pPr>
        <w:spacing w:after="0" w:line="53" w:lineRule="exact"/>
        <w:rPr>
          <w:rFonts w:ascii="Times New Roman" w:cs="Times New Roman" w:eastAsia="Times New Roman" w:hAnsi="Times New Roman"/>
          <w:sz w:val="18"/>
          <w:szCs w:val="18"/>
          <w:color w:val="auto"/>
        </w:rPr>
      </w:pPr>
    </w:p>
    <w:p>
      <w:pPr>
        <w:ind w:left="1120" w:right="320" w:hanging="1004"/>
        <w:spacing w:after="0" w:line="282" w:lineRule="auto"/>
        <w:tabs>
          <w:tab w:leader="none" w:pos="2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10.44#</w:t>
      </w:r>
      <w:r>
        <w:rPr>
          <w:rFonts w:ascii="Times New Roman" w:cs="Times New Roman" w:eastAsia="Times New Roman" w:hAnsi="Times New Roman"/>
          <w:sz w:val="18"/>
          <w:szCs w:val="18"/>
          <w:u w:val="single" w:color="auto"/>
          <w:color w:val="0000EE"/>
        </w:rPr>
        <w:t>Standard Credit Agreement, dated as of December 16, 2024, by and between Magnachip Semiconductor, Ltd. and Korea Development Bank. (English Translation).</w:t>
      </w:r>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 16.1</w:t>
            </w:r>
          </w:p>
        </w:tc>
        <w:tc>
          <w:tcPr>
            <w:tcW w:w="96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Letter from Samil PricewaterhouseCoopers dated as of March 14, 2025 (incorporated by reference to our Current Report on Form 8-K</w:t>
              </w:r>
            </w:hyperlink>
          </w:p>
        </w:tc>
      </w:tr>
      <w:tr>
        <w:trPr>
          <w:trHeight w:val="196"/>
        </w:trPr>
        <w:tc>
          <w:tcPr>
            <w:tcW w:w="1000" w:type="dxa"/>
            <w:vAlign w:val="bottom"/>
          </w:tcPr>
          <w:p>
            <w:pPr>
              <w:spacing w:after="0"/>
              <w:rPr>
                <w:sz w:val="17"/>
                <w:szCs w:val="17"/>
                <w:color w:val="auto"/>
              </w:rPr>
            </w:pPr>
          </w:p>
        </w:tc>
        <w:tc>
          <w:tcPr>
            <w:tcW w:w="9660" w:type="dxa"/>
            <w:vAlign w:val="bottom"/>
            <w:gridSpan w:val="2"/>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filed on March 14, 2025).</w:t>
              </w:r>
            </w:hyperlink>
          </w:p>
        </w:tc>
      </w:tr>
      <w:tr>
        <w:trPr>
          <w:trHeight w:val="20"/>
        </w:trPr>
        <w:tc>
          <w:tcPr>
            <w:tcW w:w="10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0" w:hanging="84"/>
        <w:spacing w:after="0"/>
        <w:tabs>
          <w:tab w:leader="none" w:pos="2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19.1#</w:t>
      </w:r>
      <w:r>
        <w:rPr>
          <w:rFonts w:ascii="Times New Roman" w:cs="Times New Roman" w:eastAsia="Times New Roman" w:hAnsi="Times New Roman"/>
          <w:sz w:val="17"/>
          <w:szCs w:val="17"/>
          <w:u w:val="single" w:color="auto"/>
          <w:color w:val="0000EE"/>
        </w:rPr>
        <w:t>Securities Trading Policy</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21.1#</w:t>
      </w:r>
      <w:r>
        <w:rPr>
          <w:rFonts w:ascii="Times New Roman" w:cs="Times New Roman" w:eastAsia="Times New Roman" w:hAnsi="Times New Roman"/>
          <w:sz w:val="17"/>
          <w:szCs w:val="17"/>
          <w:u w:val="single" w:color="auto"/>
          <w:color w:val="0000EE"/>
        </w:rPr>
        <w:t>Subsidiaries of the Registrant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Samil PricewaterhouseCoopers</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31.1#</w:t>
      </w:r>
      <w:r>
        <w:rPr>
          <w:rFonts w:ascii="Times New Roman" w:cs="Times New Roman" w:eastAsia="Times New Roman" w:hAnsi="Times New Roman"/>
          <w:sz w:val="17"/>
          <w:szCs w:val="17"/>
          <w:u w:val="single" w:color="auto"/>
          <w:color w:val="0000EE"/>
        </w:rPr>
        <w:t>Certification of Chief Executive Officer required by Rule 13(a)-14(a), as adopted pursuant to § 302 of the Sarbanes-Oxley Act of 2002</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31.2#</w:t>
      </w:r>
      <w:r>
        <w:rPr>
          <w:rFonts w:ascii="Times New Roman" w:cs="Times New Roman" w:eastAsia="Times New Roman" w:hAnsi="Times New Roman"/>
          <w:sz w:val="17"/>
          <w:szCs w:val="17"/>
          <w:u w:val="single" w:color="auto"/>
          <w:color w:val="0000EE"/>
        </w:rPr>
        <w:t>Certification of Chief Financial Officer required by Rule 13(a)-14(a), as adopted pursuant to § 302 of the Sarbanes-Oxley Act of 2002</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32.1†</w:t>
      </w:r>
      <w:r>
        <w:rPr>
          <w:rFonts w:ascii="Times New Roman" w:cs="Times New Roman" w:eastAsia="Times New Roman" w:hAnsi="Times New Roman"/>
          <w:sz w:val="17"/>
          <w:szCs w:val="17"/>
          <w:u w:val="single" w:color="auto"/>
          <w:color w:val="0000EE"/>
        </w:rPr>
        <w:t>Certification of Chief Executive Officer required by 18 U.S.C § 1350, as adopted pursuant to § 906 of the Sarbanes-Oxley Act of 2002</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32.2†</w:t>
      </w:r>
      <w:r>
        <w:rPr>
          <w:rFonts w:ascii="Times New Roman" w:cs="Times New Roman" w:eastAsia="Times New Roman" w:hAnsi="Times New Roman"/>
          <w:sz w:val="17"/>
          <w:szCs w:val="17"/>
          <w:u w:val="single" w:color="auto"/>
          <w:color w:val="0000EE"/>
        </w:rPr>
        <w:t>Certification of Chief Financial Officer required by 18 U.S.C. § 1350, as adopted pursuant to § 906 of the Sarbanes-Oxley Act of 2002</w:t>
      </w:r>
    </w:p>
    <w:p>
      <w:pPr>
        <w:spacing w:after="0" w:line="128" w:lineRule="exact"/>
        <w:rPr>
          <w:rFonts w:ascii="Times New Roman" w:cs="Times New Roman" w:eastAsia="Times New Roman" w:hAnsi="Times New Roman"/>
          <w:sz w:val="16"/>
          <w:szCs w:val="16"/>
          <w:color w:val="auto"/>
        </w:rPr>
      </w:pPr>
    </w:p>
    <w:p>
      <w:pPr>
        <w:ind w:left="1120" w:right="360" w:hanging="1004"/>
        <w:spacing w:after="0" w:line="282" w:lineRule="auto"/>
        <w:tabs>
          <w:tab w:leader="none" w:pos="211" w:val="left"/>
        </w:tabs>
        <w:numPr>
          <w:ilvl w:val="0"/>
          <w:numId w:val="4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hyperlink r:id="rId196">
        <w:r>
          <w:rPr>
            <w:rFonts w:ascii="Times New Roman" w:cs="Times New Roman" w:eastAsia="Times New Roman" w:hAnsi="Times New Roman"/>
            <w:sz w:val="18"/>
            <w:szCs w:val="18"/>
            <w:u w:val="single" w:color="auto"/>
            <w:color w:val="0000EE"/>
          </w:rPr>
          <w:t>Compensation Recovery Policy, adopted as of November 15, 2023 (incorporated by reference to Exhibit 97.1 to our Annual Report on</w:t>
        </w:r>
      </w:hyperlink>
      <w:r>
        <w:rPr>
          <w:rFonts w:ascii="Times New Roman" w:cs="Times New Roman" w:eastAsia="Times New Roman" w:hAnsi="Times New Roman"/>
          <w:sz w:val="18"/>
          <w:szCs w:val="18"/>
          <w:u w:val="single" w:color="auto"/>
          <w:color w:val="0000EE"/>
        </w:rPr>
        <w:t xml:space="preserve"> </w:t>
      </w:r>
      <w:hyperlink r:id="rId196">
        <w:r>
          <w:rPr>
            <w:rFonts w:ascii="Times New Roman" w:cs="Times New Roman" w:eastAsia="Times New Roman" w:hAnsi="Times New Roman"/>
            <w:sz w:val="18"/>
            <w:szCs w:val="18"/>
            <w:u w:val="single" w:color="auto"/>
            <w:color w:val="0000EE"/>
          </w:rPr>
          <w:t>Form 10-K filed on March 8, 2024).</w:t>
        </w:r>
      </w:hyperlink>
    </w:p>
    <w:p>
      <w:pPr>
        <w:spacing w:after="0" w:line="54" w:lineRule="exact"/>
        <w:rPr>
          <w:rFonts w:ascii="Times New Roman" w:cs="Times New Roman" w:eastAsia="Times New Roman" w:hAnsi="Times New Roman"/>
          <w:sz w:val="18"/>
          <w:szCs w:val="18"/>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w:t>
      </w:r>
    </w:p>
    <w:p>
      <w:pPr>
        <w:spacing w:after="0" w:line="117" w:lineRule="exact"/>
        <w:rPr>
          <w:rFonts w:ascii="Times New Roman" w:cs="Times New Roman" w:eastAsia="Times New Roman" w:hAnsi="Times New Roman"/>
          <w:sz w:val="18"/>
          <w:szCs w:val="18"/>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7"/>
          <w:szCs w:val="17"/>
          <w:color w:val="auto"/>
        </w:rPr>
        <w:t>Inline XBRL Taxonomy Extension Schema Document</w:t>
      </w:r>
    </w:p>
    <w:p>
      <w:pPr>
        <w:spacing w:after="0" w:line="117" w:lineRule="exact"/>
        <w:rPr>
          <w:rFonts w:ascii="Times New Roman" w:cs="Times New Roman" w:eastAsia="Times New Roman" w:hAnsi="Times New Roman"/>
          <w:sz w:val="18"/>
          <w:szCs w:val="18"/>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7"/>
          <w:szCs w:val="17"/>
          <w:color w:val="auto"/>
        </w:rPr>
        <w:t>Inline XBRL Taxonomy Extension Calculation Linkbase Document</w:t>
      </w:r>
    </w:p>
    <w:p>
      <w:pPr>
        <w:spacing w:after="0" w:line="117" w:lineRule="exact"/>
        <w:rPr>
          <w:rFonts w:ascii="Times New Roman" w:cs="Times New Roman" w:eastAsia="Times New Roman" w:hAnsi="Times New Roman"/>
          <w:sz w:val="18"/>
          <w:szCs w:val="18"/>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7"/>
          <w:szCs w:val="17"/>
          <w:color w:val="auto"/>
        </w:rPr>
        <w:t>Inline XBRL Taxonomy Extension Definition Linkbase Document</w:t>
      </w:r>
    </w:p>
    <w:p>
      <w:pPr>
        <w:spacing w:after="0" w:line="117" w:lineRule="exact"/>
        <w:rPr>
          <w:rFonts w:ascii="Times New Roman" w:cs="Times New Roman" w:eastAsia="Times New Roman" w:hAnsi="Times New Roman"/>
          <w:sz w:val="18"/>
          <w:szCs w:val="18"/>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7"/>
          <w:szCs w:val="17"/>
          <w:color w:val="auto"/>
        </w:rPr>
        <w:t>Inline XBRL Taxonomy Extension Label Linkbase Document</w:t>
      </w:r>
    </w:p>
    <w:p>
      <w:pPr>
        <w:spacing w:after="0" w:line="117" w:lineRule="exact"/>
        <w:rPr>
          <w:rFonts w:ascii="Times New Roman" w:cs="Times New Roman" w:eastAsia="Times New Roman" w:hAnsi="Times New Roman"/>
          <w:sz w:val="18"/>
          <w:szCs w:val="18"/>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7"/>
          <w:szCs w:val="17"/>
          <w:color w:val="auto"/>
        </w:rPr>
        <w:t>Inline XBRL Taxonomy Extension Presentation Linkbase Document</w:t>
      </w:r>
    </w:p>
    <w:p>
      <w:pPr>
        <w:spacing w:after="0" w:line="117" w:lineRule="exact"/>
        <w:rPr>
          <w:rFonts w:ascii="Times New Roman" w:cs="Times New Roman" w:eastAsia="Times New Roman" w:hAnsi="Times New Roman"/>
          <w:sz w:val="18"/>
          <w:szCs w:val="18"/>
          <w:color w:val="auto"/>
        </w:rPr>
      </w:pPr>
    </w:p>
    <w:p>
      <w:pPr>
        <w:ind w:left="5500" w:right="3440" w:hanging="5384"/>
        <w:spacing w:after="0" w:line="454" w:lineRule="auto"/>
        <w:tabs>
          <w:tab w:leader="none" w:pos="11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111</w:t>
      </w:r>
    </w:p>
    <w:p>
      <w:pPr>
        <w:sectPr>
          <w:pgSz w:w="11900" w:h="16838" w:orient="portrait"/>
          <w:cols w:equalWidth="0" w:num="1">
            <w:col w:w="11140"/>
          </w:cols>
          <w:pgMar w:left="320" w:top="482" w:right="4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Footnotes:</w:t>
      </w:r>
    </w:p>
    <w:p>
      <w:pPr>
        <w:spacing w:after="0" w:line="131"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540" w:hanging="4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in accordance with Item 601(b)(10) of Regulation S-K. The registrant hereby agrees to furnish supplementally copies of any of the omitted portions of this exhibit to the SEC upon its request.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860"/>
          </w:cols>
          <w:pgMar w:left="320" w:top="482" w:right="7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p>
      <w:pPr>
        <w:spacing w:after="0" w:line="256"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19202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 Young-Joon Kim</w:t>
      </w:r>
    </w:p>
    <w:p>
      <w:pPr>
        <w:spacing w:after="0" w:line="27"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9" w:lineRule="exact"/>
        <w:rPr>
          <w:sz w:val="20"/>
          <w:szCs w:val="20"/>
          <w:color w:val="auto"/>
        </w:rPr>
      </w:pPr>
    </w:p>
    <w:p>
      <w:pPr>
        <w:ind w:left="920"/>
        <w:spacing w:after="0"/>
        <w:tabs>
          <w:tab w:leader="none" w:pos="1480" w:val="left"/>
        </w:tabs>
        <w:rPr>
          <w:sz w:val="20"/>
          <w:szCs w:val="20"/>
          <w:color w:val="auto"/>
        </w:rPr>
      </w:pPr>
      <w:r>
        <w:rPr>
          <w:rFonts w:ascii="Times New Roman" w:cs="Times New Roman" w:eastAsia="Times New Roman" w:hAnsi="Times New Roman"/>
          <w:sz w:val="18"/>
          <w:szCs w:val="18"/>
          <w:color w:val="auto"/>
        </w:rPr>
        <w:t>Date:</w:t>
        <w:tab/>
        <w:t>March 14, 2025</w:t>
      </w:r>
    </w:p>
    <w:p>
      <w:pPr>
        <w:spacing w:after="0" w:line="20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320" w:top="482" w:right="479" w:bottom="1440" w:gutter="0" w:footer="0" w:header="0"/>
        </w:sectPr>
      </w:pP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42862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Young-Joon Kim, </w:t>
      </w:r>
      <w:r>
        <w:rPr>
          <w:rFonts w:ascii="Times New Roman" w:cs="Times New Roman" w:eastAsia="Times New Roman" w:hAnsi="Times New Roman"/>
          <w:sz w:val="17"/>
          <w:szCs w:val="17"/>
          <w:i w:val="1"/>
          <w:iCs w:val="1"/>
          <w:color w:val="auto"/>
        </w:rPr>
        <w:t>Chief Executive Officer and Director (Principal Executive Officer)</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42862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4" w:lineRule="exact"/>
        <w:rPr>
          <w:sz w:val="20"/>
          <w:szCs w:val="20"/>
          <w:color w:val="auto"/>
        </w:rPr>
      </w:pPr>
    </w:p>
    <w:p>
      <w:pPr>
        <w:ind w:left="120" w:right="1660"/>
        <w:spacing w:after="0" w:line="284" w:lineRule="auto"/>
        <w:rPr>
          <w:sz w:val="20"/>
          <w:szCs w:val="20"/>
          <w:color w:val="auto"/>
        </w:rPr>
      </w:pPr>
      <w:r>
        <w:rPr>
          <w:rFonts w:ascii="Times New Roman" w:cs="Times New Roman" w:eastAsia="Times New Roman" w:hAnsi="Times New Roman"/>
          <w:sz w:val="18"/>
          <w:szCs w:val="18"/>
          <w:color w:val="auto"/>
        </w:rPr>
        <w:t xml:space="preserve">Shin Young Park, </w:t>
      </w:r>
      <w:r>
        <w:rPr>
          <w:rFonts w:ascii="Times New Roman" w:cs="Times New Roman" w:eastAsia="Times New Roman" w:hAnsi="Times New Roman"/>
          <w:sz w:val="18"/>
          <w:szCs w:val="18"/>
          <w:i w:val="1"/>
          <w:iCs w:val="1"/>
          <w:color w:val="auto"/>
        </w:rPr>
        <w:t>Chief Financial Officer (Principal Financial Officer and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Officer)</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42862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Camillo Martino, </w:t>
      </w:r>
      <w:r>
        <w:rPr>
          <w:rFonts w:ascii="Times New Roman" w:cs="Times New Roman" w:eastAsia="Times New Roman" w:hAnsi="Times New Roman"/>
          <w:sz w:val="18"/>
          <w:szCs w:val="18"/>
          <w:i w:val="1"/>
          <w:iCs w:val="1"/>
          <w:color w:val="auto"/>
        </w:rPr>
        <w:t>Non-Executive Chairman of the Board of Directors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Liz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42862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Liz Chung, </w:t>
      </w:r>
      <w:r>
        <w:rPr>
          <w:rFonts w:ascii="Times New Roman" w:cs="Times New Roman" w:eastAsia="Times New Roman" w:hAnsi="Times New Roman"/>
          <w:sz w:val="18"/>
          <w:szCs w:val="18"/>
          <w:i w:val="1"/>
          <w:iCs w:val="1"/>
          <w:color w:val="auto"/>
        </w:rPr>
        <w:t>Director</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Ilbok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42862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Ilbok Lee, </w:t>
      </w:r>
      <w:r>
        <w:rPr>
          <w:rFonts w:ascii="Times New Roman" w:cs="Times New Roman" w:eastAsia="Times New Roman" w:hAnsi="Times New Roman"/>
          <w:sz w:val="18"/>
          <w:szCs w:val="18"/>
          <w:i w:val="1"/>
          <w:iCs w:val="1"/>
          <w:color w:val="auto"/>
        </w:rPr>
        <w:t>Director</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Gilbert 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42862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Gilbert Nathan, </w:t>
      </w:r>
      <w:r>
        <w:rPr>
          <w:rFonts w:ascii="Times New Roman" w:cs="Times New Roman" w:eastAsia="Times New Roman" w:hAnsi="Times New Roman"/>
          <w:sz w:val="18"/>
          <w:szCs w:val="18"/>
          <w:i w:val="1"/>
          <w:iCs w:val="1"/>
          <w:color w:val="auto"/>
        </w:rPr>
        <w:t>Director</w:t>
      </w:r>
    </w:p>
    <w:p>
      <w:pPr>
        <w:spacing w:after="0" w:line="1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ectPr>
          <w:pgSz w:w="11900" w:h="16838" w:orient="portrait"/>
          <w:cols w:equalWidth="0" w:num="2">
            <w:col w:w="7900" w:space="720"/>
            <w:col w:w="2480"/>
          </w:cols>
          <w:pgMar w:left="320" w:top="482" w:right="479" w:bottom="1440" w:gutter="0" w:footer="0" w:header="0"/>
          <w:type w:val="continuous"/>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229" w:lineRule="exact"/>
        <w:rPr>
          <w:sz w:val="20"/>
          <w:szCs w:val="20"/>
          <w:color w:val="auto"/>
        </w:rPr>
      </w:pPr>
    </w:p>
    <w:p>
      <w:pPr>
        <w:ind w:right="460" w:firstLine="440"/>
        <w:spacing w:after="0" w:line="258" w:lineRule="auto"/>
        <w:rPr>
          <w:sz w:val="20"/>
          <w:szCs w:val="20"/>
          <w:color w:val="auto"/>
        </w:rPr>
      </w:pPr>
      <w:r>
        <w:rPr>
          <w:rFonts w:ascii="Times New Roman" w:cs="Times New Roman" w:eastAsia="Times New Roman" w:hAnsi="Times New Roman"/>
          <w:sz w:val="18"/>
          <w:szCs w:val="18"/>
          <w:color w:val="auto"/>
        </w:rPr>
        <w:t>The following brief description of the capital stock of Magnachip Semiconductor Corporation (“us”, “our”, “we”, or the “Company”) is a summary. This summary is not complete and is subject to and qualified in its entirety by reference to the complete text of our Certificate of Incorporation (“Certificate of Incorporation”), and our Amended and Restated Bylaws (“Bylaws”) previously filed with the U.S. Securities and Exchange Commission and incorporated by reference as an exhibit to this Annual Report on Form 10-K of which this Exhibit 4.1 forms a part. We encourage you to read the Certificate of Incorporation and Bylaws carefully.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provides that the Company may issue 155,000,000 shares of capital stock, of which 150,000,000 shares are designated as common stock, par value $0.01 per share, and 5,000,000 shares are designated as of preferred stock, par value $0.01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Our stockholders do not have cumulative voting rights in the election of directors. Except as required by law or our Certificate of Incorporation and Bylaws, the vote of a majority of the shares represented in person or by proxy at any meeting at which a quorum is present will be sufficient for the transaction of any business at a meeting.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are entitled to share ratably in all of our assets remaining after we pay our liabilities and any liquidation preferences granted to the holders of outstanding shares of preferred stock.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our common stock have no preemptive or other subscription or conversion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no redemption or sinking fund provisions applicable to our common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authorizes the issuance of 5,000,000 shares of blank check preferred stock with such designation, rights and preferences as may be determined from time to time by our board of directors.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right="440" w:firstLine="440"/>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89" w:lineRule="exact"/>
        <w:rPr>
          <w:sz w:val="20"/>
          <w:szCs w:val="20"/>
          <w:color w:val="auto"/>
        </w:rPr>
      </w:pPr>
    </w:p>
    <w:p>
      <w:pPr>
        <w:ind w:left="5460" w:right="1860" w:hanging="4924"/>
        <w:spacing w:after="0" w:line="454" w:lineRule="auto"/>
        <w:tabs>
          <w:tab w:leader="none" w:pos="96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before the date the interested stockholder attained that status; 1</w:t>
      </w:r>
    </w:p>
    <w:p>
      <w:pPr>
        <w:sectPr>
          <w:pgSz w:w="11900" w:h="16838" w:orient="portrait"/>
          <w:cols w:equalWidth="0" w:num="1">
            <w:col w:w="11020"/>
          </w:cols>
          <w:pgMar w:left="440" w:top="117" w:right="439" w:bottom="1440" w:gutter="0" w:footer="0" w:header="0"/>
        </w:sectPr>
      </w:pPr>
    </w:p>
    <w:bookmarkStart w:id="117" w:name="page118"/>
    <w:bookmarkEnd w:id="117"/>
    <w:p>
      <w:pPr>
        <w:ind w:left="960" w:right="320" w:hanging="424"/>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general, DGCL Section 203 defines a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the Certificate of Incorporation and Bylaws</w:t>
      </w:r>
    </w:p>
    <w:p>
      <w:pPr>
        <w:spacing w:after="0" w:line="121"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Provisions in the Certificate of Incorporation and Bylaws may have the effect of delaying or preventing a change of control or changes in our management. Among other things, the Certificate of Incorporation and Bylaws:</w:t>
      </w:r>
    </w:p>
    <w:p>
      <w:pPr>
        <w:spacing w:after="0" w:line="67" w:lineRule="exact"/>
        <w:rPr>
          <w:sz w:val="20"/>
          <w:szCs w:val="20"/>
          <w:color w:val="auto"/>
        </w:rPr>
      </w:pPr>
    </w:p>
    <w:p>
      <w:pPr>
        <w:ind w:left="960" w:right="440" w:hanging="424"/>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stockholder approval, preferred stock with such terms as our board of directors may determine;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 by written consent of our stockholders;</w:t>
      </w:r>
    </w:p>
    <w:p>
      <w:pPr>
        <w:spacing w:after="0" w:line="130" w:lineRule="exact"/>
        <w:rPr>
          <w:rFonts w:ascii="Times New Roman" w:cs="Times New Roman" w:eastAsia="Times New Roman" w:hAnsi="Times New Roman"/>
          <w:sz w:val="18"/>
          <w:szCs w:val="18"/>
          <w:color w:val="auto"/>
        </w:rPr>
      </w:pPr>
    </w:p>
    <w:p>
      <w:pPr>
        <w:jc w:val="both"/>
        <w:ind w:left="960" w:right="140" w:hanging="424"/>
        <w:spacing w:after="0" w:line="266"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advance notice requirements for stockholder proposals and director nominations.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“MX.”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8" w:name="page119"/>
    <w:bookmarkEnd w:id="118"/>
    <w:tbl>
      <w:tblPr>
        <w:tblLayout w:type="fixed"/>
        <w:tblInd w:w="14"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10.42</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[English Translation]</w:t>
            </w:r>
          </w:p>
        </w:tc>
        <w:tc>
          <w:tcPr>
            <w:tcW w:w="0" w:type="dxa"/>
            <w:vAlign w:val="bottom"/>
          </w:tcPr>
          <w:p>
            <w:pPr>
              <w:spacing w:after="0"/>
              <w:rPr>
                <w:sz w:val="1"/>
                <w:szCs w:val="1"/>
                <w:color w:val="auto"/>
              </w:rPr>
            </w:pPr>
          </w:p>
        </w:tc>
      </w:tr>
      <w:tr>
        <w:trPr>
          <w:trHeight w:val="243"/>
        </w:trPr>
        <w:tc>
          <w:tcPr>
            <w:tcW w:w="1040" w:type="dxa"/>
            <w:vAlign w:val="bottom"/>
            <w:tcBorders>
              <w:bottom w:val="single" w:sz="8" w:color="auto"/>
            </w:tcBorders>
          </w:tcPr>
          <w:p>
            <w:pPr>
              <w:spacing w:after="0"/>
              <w:rPr>
                <w:sz w:val="21"/>
                <w:szCs w:val="21"/>
                <w:color w:val="auto"/>
              </w:rPr>
            </w:pPr>
          </w:p>
        </w:tc>
        <w:tc>
          <w:tcPr>
            <w:tcW w:w="748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Stamp</w:t>
            </w:r>
          </w:p>
        </w:tc>
        <w:tc>
          <w:tcPr>
            <w:tcW w:w="748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Team</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2"/>
              </w:rPr>
              <w:t>Team</w:t>
            </w:r>
          </w:p>
        </w:tc>
        <w:tc>
          <w:tcPr>
            <w:tcW w:w="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Assistant</w:t>
            </w:r>
          </w:p>
        </w:tc>
        <w:tc>
          <w:tcPr>
            <w:tcW w:w="0" w:type="dxa"/>
            <w:vAlign w:val="bottom"/>
          </w:tcPr>
          <w:p>
            <w:pPr>
              <w:spacing w:after="0"/>
              <w:rPr>
                <w:sz w:val="1"/>
                <w:szCs w:val="1"/>
                <w:color w:val="auto"/>
              </w:rPr>
            </w:pPr>
          </w:p>
        </w:tc>
      </w:tr>
      <w:tr>
        <w:trPr>
          <w:trHeight w:val="104"/>
        </w:trPr>
        <w:tc>
          <w:tcPr>
            <w:tcW w:w="1040" w:type="dxa"/>
            <w:vAlign w:val="bottom"/>
            <w:tcBorders>
              <w:left w:val="single" w:sz="8" w:color="auto"/>
              <w:right w:val="single" w:sz="8" w:color="auto"/>
            </w:tcBorders>
            <w:vMerge w:val="continue"/>
          </w:tcPr>
          <w:p>
            <w:pPr>
              <w:spacing w:after="0"/>
              <w:rPr>
                <w:sz w:val="9"/>
                <w:szCs w:val="9"/>
                <w:color w:val="auto"/>
              </w:rPr>
            </w:pPr>
          </w:p>
        </w:tc>
        <w:tc>
          <w:tcPr>
            <w:tcW w:w="74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Manager</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Branch</w:t>
            </w:r>
          </w:p>
        </w:tc>
        <w:tc>
          <w:tcPr>
            <w:tcW w:w="0" w:type="dxa"/>
            <w:vAlign w:val="bottom"/>
          </w:tcPr>
          <w:p>
            <w:pPr>
              <w:spacing w:after="0"/>
              <w:rPr>
                <w:sz w:val="1"/>
                <w:szCs w:val="1"/>
                <w:color w:val="auto"/>
              </w:rPr>
            </w:pPr>
          </w:p>
        </w:tc>
      </w:tr>
      <w:tr>
        <w:trPr>
          <w:trHeight w:val="112"/>
        </w:trPr>
        <w:tc>
          <w:tcPr>
            <w:tcW w:w="1040" w:type="dxa"/>
            <w:vAlign w:val="bottom"/>
            <w:tcBorders>
              <w:left w:val="single" w:sz="8" w:color="auto"/>
              <w:right w:val="single" w:sz="8" w:color="auto"/>
            </w:tcBorders>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Duty</w:t>
            </w:r>
          </w:p>
        </w:tc>
        <w:tc>
          <w:tcPr>
            <w:tcW w:w="748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88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vMerge w:val="continue"/>
          </w:tcPr>
          <w:p>
            <w:pPr>
              <w:spacing w:after="0"/>
              <w:rPr>
                <w:sz w:val="10"/>
                <w:szCs w:val="10"/>
                <w:color w:val="auto"/>
              </w:rPr>
            </w:pPr>
          </w:p>
        </w:tc>
        <w:tc>
          <w:tcPr>
            <w:tcW w:w="748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Manager</w:t>
            </w: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bottom w:val="single" w:sz="8" w:color="auto"/>
              <w:right w:val="single" w:sz="8" w:color="auto"/>
            </w:tcBorders>
          </w:tcPr>
          <w:p>
            <w:pPr>
              <w:spacing w:after="0"/>
              <w:rPr>
                <w:sz w:val="10"/>
                <w:szCs w:val="10"/>
                <w:color w:val="auto"/>
              </w:rPr>
            </w:pPr>
          </w:p>
        </w:tc>
        <w:tc>
          <w:tcPr>
            <w:tcW w:w="7480" w:type="dxa"/>
            <w:vAlign w:val="bottom"/>
            <w:tcBorders>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480" w:type="dxa"/>
            <w:vAlign w:val="bottom"/>
            <w:tcBorders>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TO KUN-MORTGAGE AGREEMENT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(Increase of the Maximum Mortgage Amount)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Creditor &amp; Mortgagee: The Korea Development Bank</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Obligor: Magnachip Semiconductor, Ltd.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Mortgagor: Magnachip Semiconductor, Ltd.</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Description of the Mortgaged Property: Same as listed in Attachment</w:t>
      </w:r>
    </w:p>
    <w:p>
      <w:pPr>
        <w:spacing w:after="0" w:line="225" w:lineRule="exact"/>
        <w:rPr>
          <w:sz w:val="20"/>
          <w:szCs w:val="20"/>
          <w:color w:val="auto"/>
        </w:rPr>
      </w:pPr>
    </w:p>
    <w:p>
      <w:pPr>
        <w:ind w:left="4" w:right="80" w:hanging="4"/>
        <w:spacing w:after="0" w:line="257" w:lineRule="auto"/>
        <w:tabs>
          <w:tab w:leader="none" w:pos="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Mortgagor and the Obligor, in order to secure their obligations to the Creditor, agree to modify the existing mortgage previously established on the Mortgaged Property pursuant to the Kun-Mortgage Agreement dated March 26, 2024, recorded with the Gumi Registry Office of the Daegu District Court on March 26, 2024, under Filing No. 12868.</w:t>
      </w:r>
    </w:p>
    <w:p>
      <w:pPr>
        <w:spacing w:after="0" w:line="1" w:lineRule="exact"/>
        <w:rPr>
          <w:rFonts w:ascii="Times New Roman" w:cs="Times New Roman" w:eastAsia="Times New Roman" w:hAnsi="Times New Roman"/>
          <w:sz w:val="18"/>
          <w:szCs w:val="18"/>
          <w:color w:val="auto"/>
        </w:rPr>
      </w:pPr>
    </w:p>
    <w:p>
      <w:pPr>
        <w:ind w:left="4" w:right="4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this Amendment, </w:t>
      </w:r>
      <w:r>
        <w:rPr>
          <w:rFonts w:ascii="Times New Roman" w:cs="Times New Roman" w:eastAsia="Times New Roman" w:hAnsi="Times New Roman"/>
          <w:sz w:val="18"/>
          <w:szCs w:val="18"/>
          <w:b w:val="1"/>
          <w:bCs w:val="1"/>
          <w:u w:val="single" w:color="auto"/>
          <w:color w:val="auto"/>
        </w:rPr>
        <w:t>the maximum mortgage amount shall be increased from Sixty Billion Won (</w:t>
      </w:r>
      <w:r>
        <w:rPr>
          <w:rFonts w:ascii="Times New Roman" w:cs="Times New Roman" w:eastAsia="Times New Roman" w:hAnsi="Times New Roman"/>
          <w:sz w:val="18"/>
          <w:szCs w:val="18"/>
          <w:b w:val="1"/>
          <w:bCs w:val="1"/>
          <w:color w:val="auto"/>
          <w:strike w:val="1"/>
        </w:rPr>
        <w:t>W</w:t>
      </w:r>
      <w:r>
        <w:rPr>
          <w:rFonts w:ascii="Times New Roman" w:cs="Times New Roman" w:eastAsia="Times New Roman" w:hAnsi="Times New Roman"/>
          <w:sz w:val="18"/>
          <w:szCs w:val="18"/>
          <w:b w:val="1"/>
          <w:bCs w:val="1"/>
          <w:u w:val="single" w:color="auto"/>
          <w:color w:val="auto"/>
        </w:rPr>
        <w:t>60,000,000,000) to One Hundred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Billion Won (</w:t>
      </w:r>
      <w:r>
        <w:rPr>
          <w:rFonts w:ascii="Times New Roman" w:cs="Times New Roman" w:eastAsia="Times New Roman" w:hAnsi="Times New Roman"/>
          <w:sz w:val="18"/>
          <w:szCs w:val="18"/>
          <w:b w:val="1"/>
          <w:bCs w:val="1"/>
          <w:color w:val="auto"/>
          <w:strike w:val="1"/>
        </w:rPr>
        <w:t>W</w:t>
      </w:r>
      <w:r>
        <w:rPr>
          <w:rFonts w:ascii="Times New Roman" w:cs="Times New Roman" w:eastAsia="Times New Roman" w:hAnsi="Times New Roman"/>
          <w:sz w:val="18"/>
          <w:szCs w:val="18"/>
          <w:b w:val="1"/>
          <w:bCs w:val="1"/>
          <w:u w:val="single" w:color="auto"/>
          <w:color w:val="auto"/>
        </w:rPr>
        <w:t>100,000,000,000)</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modified herein, all other terms and conditions of the original Kun-Mortgage Agreement shall remain in full force and effect.</w:t>
      </w:r>
    </w:p>
    <w:p>
      <w:pPr>
        <w:spacing w:after="0" w:line="225" w:lineRule="exact"/>
        <w:rPr>
          <w:rFonts w:ascii="Times New Roman" w:cs="Times New Roman" w:eastAsia="Times New Roman" w:hAnsi="Times New Roman"/>
          <w:sz w:val="18"/>
          <w:szCs w:val="18"/>
          <w:color w:val="auto"/>
        </w:rPr>
      </w:pPr>
    </w:p>
    <w:p>
      <w:pPr>
        <w:ind w:left="48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8, 2024</w:t>
      </w:r>
    </w:p>
    <w:p>
      <w:pPr>
        <w:spacing w:after="0" w:line="250"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Creditor &amp;</w:t>
      </w:r>
      <w:r>
        <w:rPr>
          <w:sz w:val="20"/>
          <w:szCs w:val="20"/>
          <w:color w:val="auto"/>
        </w:rPr>
        <w:tab/>
      </w:r>
      <w:r>
        <w:rPr>
          <w:rFonts w:ascii="Times New Roman" w:cs="Times New Roman" w:eastAsia="Times New Roman" w:hAnsi="Times New Roman"/>
          <w:sz w:val="18"/>
          <w:szCs w:val="18"/>
          <w:color w:val="auto"/>
        </w:rPr>
        <w:t>The Korea Development Bank [</w:t>
      </w:r>
      <w:r>
        <w:rPr>
          <w:rFonts w:ascii="Times New Roman" w:cs="Times New Roman" w:eastAsia="Times New Roman" w:hAnsi="Times New Roman"/>
          <w:sz w:val="18"/>
          <w:szCs w:val="18"/>
          <w:i w:val="1"/>
          <w:iCs w:val="1"/>
          <w:color w:val="auto"/>
        </w:rPr>
        <w:t>corporate seal stamped</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Mortgagee:</w:t>
      </w:r>
    </w:p>
    <w:p>
      <w:pPr>
        <w:spacing w:after="0" w:line="9" w:lineRule="exact"/>
        <w:rPr>
          <w:sz w:val="20"/>
          <w:szCs w:val="20"/>
          <w:color w:val="auto"/>
        </w:rPr>
      </w:pPr>
    </w:p>
    <w:p>
      <w:pPr>
        <w:ind w:left="1324" w:right="5180" w:hanging="1319"/>
        <w:spacing w:after="0" w:line="250" w:lineRule="auto"/>
        <w:tabs>
          <w:tab w:leader="none" w:pos="1304"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14, Eunhaeng-ro, Yeongdeungpo-gu, Seoul, Republic of Korea (Branch: Cheongju Branch)</w:t>
      </w:r>
    </w:p>
    <w:p>
      <w:pPr>
        <w:spacing w:after="0" w:line="1"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Authorized Agent Raehyeon Park</w:t>
      </w:r>
    </w:p>
    <w:p>
      <w:pPr>
        <w:spacing w:after="0" w:line="126"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Obligor &amp;</w:t>
      </w:r>
      <w:r>
        <w:rPr>
          <w:sz w:val="20"/>
          <w:szCs w:val="20"/>
          <w:color w:val="auto"/>
        </w:rPr>
        <w:tab/>
      </w:r>
      <w:r>
        <w:rPr>
          <w:rFonts w:ascii="Times New Roman" w:cs="Times New Roman" w:eastAsia="Times New Roman" w:hAnsi="Times New Roman"/>
          <w:sz w:val="17"/>
          <w:szCs w:val="17"/>
          <w:color w:val="auto"/>
        </w:rPr>
        <w:t>Magnachip Semiconductor, Ltd.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Mortgagor:</w:t>
      </w:r>
    </w:p>
    <w:p>
      <w:pPr>
        <w:spacing w:after="0" w:line="9"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76 Jikji-daero, 436beon-gil Heungdeok-gu, Cheongju-si, Chungcheongbuk-do, South Korea</w:t>
      </w:r>
    </w:p>
    <w:p>
      <w:pPr>
        <w:spacing w:after="0" w:line="9"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 xml:space="preserve">Representative Director </w:t>
      </w:r>
      <w:r>
        <w:rPr>
          <w:rFonts w:ascii="Times New Roman" w:cs="Times New Roman" w:eastAsia="Times New Roman" w:hAnsi="Times New Roman"/>
          <w:sz w:val="18"/>
          <w:szCs w:val="18"/>
          <w:i w:val="1"/>
          <w:iCs w:val="1"/>
          <w:color w:val="auto"/>
        </w:rPr>
        <w:t>/s/ Young-Joon Kim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seal stamped</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jc w:val="center"/>
        <w:ind w:left="10040"/>
        <w:spacing w:after="0"/>
        <w:rPr>
          <w:sz w:val="20"/>
          <w:szCs w:val="20"/>
          <w:color w:val="auto"/>
        </w:rPr>
      </w:pPr>
      <w:r>
        <w:rPr>
          <w:rFonts w:ascii="Times New Roman" w:cs="Times New Roman" w:eastAsia="Times New Roman" w:hAnsi="Times New Roman"/>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6300470</wp:posOffset>
            </wp:positionH>
            <wp:positionV relativeFrom="paragraph">
              <wp:posOffset>-127635</wp:posOffset>
            </wp:positionV>
            <wp:extent cx="702945" cy="5829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702945" cy="582930"/>
                    </a:xfrm>
                    <a:prstGeom prst="rect">
                      <a:avLst/>
                    </a:prstGeom>
                    <a:noFill/>
                  </pic:spPr>
                </pic:pic>
              </a:graphicData>
            </a:graphic>
          </wp:anchor>
        </w:drawing>
      </w:r>
    </w:p>
    <w:p>
      <w:pPr>
        <w:spacing w:after="0" w:line="7" w:lineRule="exact"/>
        <w:rPr>
          <w:sz w:val="20"/>
          <w:szCs w:val="20"/>
          <w:color w:val="auto"/>
        </w:rPr>
      </w:pPr>
    </w:p>
    <w:p>
      <w:pPr>
        <w:jc w:val="center"/>
        <w:ind w:left="10040"/>
        <w:spacing w:after="0"/>
        <w:rPr>
          <w:sz w:val="20"/>
          <w:szCs w:val="20"/>
          <w:color w:val="auto"/>
        </w:rPr>
      </w:pPr>
      <w:r>
        <w:rPr>
          <w:rFonts w:ascii="Times New Roman" w:cs="Times New Roman" w:eastAsia="Times New Roman" w:hAnsi="Times New Roman"/>
          <w:sz w:val="18"/>
          <w:szCs w:val="18"/>
          <w:color w:val="auto"/>
        </w:rPr>
        <w:t>compared</w:t>
      </w:r>
    </w:p>
    <w:p>
      <w:pPr>
        <w:spacing w:after="0" w:line="9" w:lineRule="exact"/>
        <w:rPr>
          <w:sz w:val="20"/>
          <w:szCs w:val="20"/>
          <w:color w:val="auto"/>
        </w:rPr>
      </w:pPr>
    </w:p>
    <w:p>
      <w:pPr>
        <w:jc w:val="center"/>
        <w:ind w:left="10040"/>
        <w:spacing w:after="0"/>
        <w:rPr>
          <w:sz w:val="20"/>
          <w:szCs w:val="20"/>
          <w:color w:val="auto"/>
        </w:rPr>
      </w:pPr>
      <w:r>
        <w:rPr>
          <w:rFonts w:ascii="Times New Roman" w:cs="Times New Roman" w:eastAsia="Times New Roman" w:hAnsi="Times New Roman"/>
          <w:sz w:val="18"/>
          <w:szCs w:val="18"/>
          <w:color w:val="auto"/>
        </w:rPr>
        <w:t>by</w:t>
      </w:r>
    </w:p>
    <w:p>
      <w:pPr>
        <w:sectPr>
          <w:pgSz w:w="11900" w:h="16838" w:orient="portrait"/>
          <w:cols w:equalWidth="0" w:num="1">
            <w:col w:w="11024"/>
          </w:cols>
          <w:pgMar w:left="436" w:top="117" w:right="4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&lt;Attachment&gt;</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Legal Description of Real Estate Property</w:t>
      </w:r>
    </w:p>
    <w:p>
      <w:pPr>
        <w:spacing w:after="0" w:line="135" w:lineRule="exact"/>
        <w:rPr>
          <w:sz w:val="20"/>
          <w:szCs w:val="20"/>
          <w:color w:val="auto"/>
        </w:rPr>
      </w:pP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No[1760-1996-090403]</w:t>
      </w:r>
    </w:p>
    <w:p>
      <w:pPr>
        <w:spacing w:after="0" w:line="9" w:lineRule="exact"/>
        <w:rPr>
          <w:rFonts w:ascii="Times New Roman" w:cs="Times New Roman" w:eastAsia="Times New Roman" w:hAnsi="Times New Roman"/>
          <w:sz w:val="18"/>
          <w:szCs w:val="18"/>
          <w:color w:val="auto"/>
        </w:rPr>
      </w:pPr>
    </w:p>
    <w:p>
      <w:pPr>
        <w:ind w:left="444" w:right="72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Factory site 39,574.4m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No[1760-2007-003222]</w:t>
      </w:r>
    </w:p>
    <w:p>
      <w:pPr>
        <w:spacing w:after="0" w:line="9" w:lineRule="exact"/>
        <w:rPr>
          <w:rFonts w:ascii="Times New Roman" w:cs="Times New Roman" w:eastAsia="Times New Roman" w:hAnsi="Times New Roman"/>
          <w:sz w:val="18"/>
          <w:szCs w:val="18"/>
          <w:color w:val="auto"/>
        </w:rPr>
      </w:pPr>
    </w:p>
    <w:p>
      <w:pPr>
        <w:ind w:left="444" w:right="71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281-1, Imsu-dong, Gumi-si, Gyeongsangbuk-do Miscellaneous land 3,812.8m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No[1760-2007-003223]</w:t>
      </w:r>
    </w:p>
    <w:p>
      <w:pPr>
        <w:spacing w:after="0" w:line="9" w:lineRule="exact"/>
        <w:rPr>
          <w:rFonts w:ascii="Times New Roman" w:cs="Times New Roman" w:eastAsia="Times New Roman" w:hAnsi="Times New Roman"/>
          <w:sz w:val="18"/>
          <w:szCs w:val="18"/>
          <w:color w:val="auto"/>
        </w:rPr>
      </w:pPr>
    </w:p>
    <w:p>
      <w:pPr>
        <w:ind w:left="444" w:right="72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 Imsu-dong, Gumi-si, Gyeongsangbuk-do Factory site 35,489.7m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No[1760-2007-003218]</w:t>
      </w:r>
    </w:p>
    <w:p>
      <w:pPr>
        <w:spacing w:after="0" w:line="9" w:lineRule="exact"/>
        <w:rPr>
          <w:rFonts w:ascii="Times New Roman" w:cs="Times New Roman" w:eastAsia="Times New Roman" w:hAnsi="Times New Roman"/>
          <w:sz w:val="18"/>
          <w:szCs w:val="18"/>
          <w:color w:val="auto"/>
        </w:rPr>
      </w:pPr>
    </w:p>
    <w:p>
      <w:pPr>
        <w:ind w:left="444" w:right="71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282-2, Imsu-dong, Gumi-si, Gyeongsangbuk-do Miscellaneous land 1,200.4m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No[1760-2009-008403]</w:t>
      </w:r>
    </w:p>
    <w:p>
      <w:pPr>
        <w:spacing w:after="0" w:line="9" w:lineRule="exact"/>
        <w:rPr>
          <w:rFonts w:ascii="Times New Roman" w:cs="Times New Roman" w:eastAsia="Times New Roman" w:hAnsi="Times New Roman"/>
          <w:sz w:val="18"/>
          <w:szCs w:val="18"/>
          <w:color w:val="auto"/>
        </w:rPr>
      </w:pPr>
    </w:p>
    <w:p>
      <w:pPr>
        <w:ind w:left="444" w:right="72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 Imsu-dong, Gumi-si, Gyeongsangbuk-do Building land 23,087m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No[1760-2007-003199]</w:t>
      </w:r>
    </w:p>
    <w:p>
      <w:pPr>
        <w:spacing w:after="0" w:line="9" w:lineRule="exact"/>
        <w:rPr>
          <w:rFonts w:ascii="Times New Roman" w:cs="Times New Roman" w:eastAsia="Times New Roman" w:hAnsi="Times New Roman"/>
          <w:sz w:val="18"/>
          <w:szCs w:val="18"/>
          <w:color w:val="auto"/>
        </w:rPr>
      </w:pPr>
    </w:p>
    <w:p>
      <w:pPr>
        <w:ind w:left="444" w:right="71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283-8, Imsu-dong, Gumi-si, Gyeongsangbuk-do Miscellaneous land 1,033.2m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No[1760-1996-091033]</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Reinforced concrete 5-story factory building with slab roof</w:t>
      </w:r>
    </w:p>
    <w:p>
      <w:pPr>
        <w:ind w:left="544" w:right="6260"/>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Basement Machine room, electrical room, shelter 4,482m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Cafeteria 5,294.75m</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3,327m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floor Factory 8,982m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Factory 8,982m</w:t>
      </w:r>
      <w:r>
        <w:rPr>
          <w:rFonts w:ascii="Times New Roman" w:cs="Times New Roman" w:eastAsia="Times New Roman" w:hAnsi="Times New Roman"/>
          <w:sz w:val="25"/>
          <w:szCs w:val="25"/>
          <w:color w:val="auto"/>
          <w:vertAlign w:val="superscript"/>
        </w:rPr>
        <w:t>2</w:t>
      </w:r>
    </w:p>
    <w:p>
      <w:pPr>
        <w:ind w:left="544" w:right="86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Factory 8,982m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972m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Lightweight steel frame single-story storage 12.5m</w:t>
      </w:r>
      <w:r>
        <w:rPr>
          <w:rFonts w:ascii="Times New Roman" w:cs="Times New Roman" w:eastAsia="Times New Roman" w:hAnsi="Times New Roman"/>
          <w:sz w:val="25"/>
          <w:szCs w:val="25"/>
          <w:color w:val="auto"/>
          <w:vertAlign w:val="superscript"/>
        </w:rPr>
        <w:t>2</w:t>
      </w:r>
    </w:p>
    <w:p>
      <w:pPr>
        <w:ind w:left="544" w:right="394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Block single-story factory with silicon steel plate roof on truss (Waste storage) 428.40m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Lightweight steel frame single-story factory with sandwich panel roof (Pump room) 75 m</w:t>
      </w:r>
      <w:r>
        <w:rPr>
          <w:rFonts w:ascii="Times New Roman" w:cs="Times New Roman" w:eastAsia="Times New Roman" w:hAnsi="Times New Roman"/>
          <w:sz w:val="25"/>
          <w:szCs w:val="25"/>
          <w:color w:val="auto"/>
          <w:vertAlign w:val="superscript"/>
        </w:rPr>
        <w:t>2</w:t>
      </w:r>
    </w:p>
    <w:p>
      <w:pPr>
        <w:sectPr>
          <w:pgSz w:w="11900" w:h="16838" w:orient="portrait"/>
          <w:cols w:equalWidth="0" w:num="1">
            <w:col w:w="11024"/>
          </w:cols>
          <w:pgMar w:left="436" w:top="268" w:right="4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No[1760-2007-001927]</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2-dong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544" w:right="4260" w:hanging="110"/>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2-story factory building with slab roof and prefabricated panel roof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Office and air-conditioning machine room 2,554.15m</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1,843.2m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1,479.26m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140.1m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(storage) 84.21m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(storage) 67.21m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1,843.2m</w:t>
      </w:r>
      <w:r>
        <w:rPr>
          <w:rFonts w:ascii="Times New Roman" w:cs="Times New Roman" w:eastAsia="Times New Roman" w:hAnsi="Times New Roman"/>
          <w:sz w:val="25"/>
          <w:szCs w:val="25"/>
          <w:color w:val="auto"/>
          <w:vertAlign w:val="superscript"/>
        </w:rPr>
        <w:t>2</w:t>
      </w:r>
    </w:p>
    <w:p>
      <w:pPr>
        <w:ind w:left="444" w:right="8380" w:firstLine="110"/>
        <w:spacing w:after="0" w:line="2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Factory 1,354.14m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Rooftop 115.2m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No[1760-2007-001926]</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3-dong</w:t>
      </w:r>
    </w:p>
    <w:p>
      <w:pPr>
        <w:spacing w:after="0" w:line="1" w:lineRule="exact"/>
        <w:rPr>
          <w:rFonts w:ascii="Times New Roman" w:cs="Times New Roman" w:eastAsia="Times New Roman" w:hAnsi="Times New Roman"/>
          <w:sz w:val="18"/>
          <w:szCs w:val="18"/>
          <w:color w:val="auto"/>
        </w:rPr>
      </w:pPr>
    </w:p>
    <w:p>
      <w:pPr>
        <w:ind w:left="544" w:right="6340" w:hanging="110"/>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2-story factory building with slab roof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Factory and office 4,927.6m</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and office 599.04m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438.96m</w:t>
      </w:r>
      <w:r>
        <w:rPr>
          <w:rFonts w:ascii="Times New Roman" w:cs="Times New Roman" w:eastAsia="Times New Roman" w:hAnsi="Times New Roman"/>
          <w:sz w:val="25"/>
          <w:szCs w:val="25"/>
          <w:color w:val="auto"/>
          <w:vertAlign w:val="superscript"/>
        </w:rPr>
        <w:t>2</w:t>
      </w:r>
    </w:p>
    <w:p>
      <w:pPr>
        <w:ind w:left="544" w:right="846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3,473.2m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270.76m</w:t>
      </w:r>
      <w:r>
        <w:rPr>
          <w:rFonts w:ascii="Times New Roman" w:cs="Times New Roman" w:eastAsia="Times New Roman" w:hAnsi="Times New Roman"/>
          <w:sz w:val="25"/>
          <w:szCs w:val="25"/>
          <w:color w:val="auto"/>
          <w:vertAlign w:val="superscript"/>
        </w:rPr>
        <w:t>2</w:t>
      </w: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No[1760-1996-091031]</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4-dong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Reinforced concrete 5-story factory building with slab roof</w:t>
      </w:r>
    </w:p>
    <w:p>
      <w:pPr>
        <w:ind w:left="544" w:right="8080"/>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Basement Dormitory 1,488.34m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Dormitory 1435.55m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Dormitory 1,004.495m</w:t>
      </w:r>
      <w:r>
        <w:rPr>
          <w:rFonts w:ascii="Times New Roman" w:cs="Times New Roman" w:eastAsia="Times New Roman" w:hAnsi="Times New Roman"/>
          <w:sz w:val="25"/>
          <w:szCs w:val="25"/>
          <w:color w:val="auto"/>
          <w:vertAlign w:val="superscript"/>
        </w:rPr>
        <w:t>2</w:t>
      </w:r>
    </w:p>
    <w:p>
      <w:pPr>
        <w:ind w:left="544" w:right="810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floor Dormitory 1,004.495m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26.22m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Dormitory 410.4m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Dormitory 592.8m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floor Dormitory 619.02m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Dormitory 619.02m</w:t>
      </w:r>
      <w:r>
        <w:rPr>
          <w:rFonts w:ascii="Times New Roman" w:cs="Times New Roman" w:eastAsia="Times New Roman" w:hAnsi="Times New Roman"/>
          <w:sz w:val="25"/>
          <w:szCs w:val="25"/>
          <w:color w:val="auto"/>
          <w:vertAlign w:val="superscript"/>
        </w:rPr>
        <w:t>2</w:t>
      </w:r>
    </w:p>
    <w:p>
      <w:pPr>
        <w:ind w:left="544" w:right="83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Dormitory 619.02m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78.66m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Dormitory 26.22m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Dormitory 978.275m</w:t>
      </w:r>
      <w:r>
        <w:rPr>
          <w:rFonts w:ascii="Times New Roman" w:cs="Times New Roman" w:eastAsia="Times New Roman" w:hAnsi="Times New Roman"/>
          <w:sz w:val="25"/>
          <w:szCs w:val="25"/>
          <w:color w:val="auto"/>
          <w:vertAlign w:val="superscript"/>
        </w:rPr>
        <w:t>2</w:t>
      </w:r>
    </w:p>
    <w:p>
      <w:pPr>
        <w:ind w:left="544" w:right="810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Dormitory 1,004.495m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Rooftop 93.48m</w:t>
      </w:r>
      <w:r>
        <w:rPr>
          <w:rFonts w:ascii="Times New Roman" w:cs="Times New Roman" w:eastAsia="Times New Roman" w:hAnsi="Times New Roman"/>
          <w:sz w:val="26"/>
          <w:szCs w:val="26"/>
          <w:color w:val="auto"/>
          <w:vertAlign w:val="superscript"/>
        </w:rPr>
        <w:t>2</w:t>
      </w:r>
    </w:p>
    <w:p>
      <w:pPr>
        <w:sectPr>
          <w:pgSz w:w="11900" w:h="16838" w:orient="portrait"/>
          <w:cols w:equalWidth="0" w:num="1">
            <w:col w:w="11024"/>
          </w:cols>
          <w:pgMar w:left="436" w:top="268" w:right="4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No[1760-2004-005345]</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5-dong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Reinforced concrete 2-story factory building with slab roof</w:t>
      </w:r>
    </w:p>
    <w:p>
      <w:pPr>
        <w:ind w:left="544"/>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Machine room 1,022.44m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Machine room 1,075.48m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Machine room 402.14m</w:t>
      </w:r>
      <w:r>
        <w:rPr>
          <w:rFonts w:ascii="Times New Roman" w:cs="Times New Roman" w:eastAsia="Times New Roman" w:hAnsi="Times New Roman"/>
          <w:sz w:val="25"/>
          <w:szCs w:val="25"/>
          <w:color w:val="auto"/>
          <w:vertAlign w:val="superscript"/>
        </w:rPr>
        <w:t>2</w:t>
      </w:r>
    </w:p>
    <w:p>
      <w:pPr>
        <w:ind w:left="54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Boiler room 1,075.92m</w:t>
      </w:r>
      <w:r>
        <w:rPr>
          <w:rFonts w:ascii="Times New Roman" w:cs="Times New Roman" w:eastAsia="Times New Roman" w:hAnsi="Times New Roman"/>
          <w:sz w:val="25"/>
          <w:szCs w:val="25"/>
          <w:color w:val="auto"/>
          <w:vertAlign w:val="superscript"/>
        </w:rPr>
        <w:t>2</w:t>
      </w: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Boiler room 374m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No[1760-1996-091034]</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8-dong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544" w:right="3940" w:hanging="110"/>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single-story factory building with sandwich panel flat slab roof on truss Basement Machine room 73.83m</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Control room 111.60m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No[1760-2004-005344]</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9-dong</w:t>
      </w:r>
    </w:p>
    <w:p>
      <w:pPr>
        <w:spacing w:after="0" w:line="1" w:lineRule="exact"/>
        <w:rPr>
          <w:rFonts w:ascii="Times New Roman" w:cs="Times New Roman" w:eastAsia="Times New Roman" w:hAnsi="Times New Roman"/>
          <w:sz w:val="18"/>
          <w:szCs w:val="18"/>
          <w:color w:val="auto"/>
        </w:rPr>
      </w:pPr>
    </w:p>
    <w:p>
      <w:pPr>
        <w:ind w:left="444" w:right="54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[Road Name Address] 375, Suchul-daero, Gumi-si, Gyeongsangbuk-do Reinforced concrete single-story factory building with steel-plate roof</w:t>
      </w:r>
    </w:p>
    <w:p>
      <w:pPr>
        <w:ind w:left="544"/>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Dangerous goods storage 288m</w:t>
      </w:r>
      <w:r>
        <w:rPr>
          <w:rFonts w:ascii="Times New Roman" w:cs="Times New Roman" w:eastAsia="Times New Roman" w:hAnsi="Times New Roman"/>
          <w:sz w:val="25"/>
          <w:szCs w:val="25"/>
          <w:color w:val="auto"/>
          <w:vertAlign w:val="superscript"/>
        </w:rPr>
        <w:t>2</w:t>
      </w: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Dangerous goods storage 377.6m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No[1760-2004-005349]</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10-dong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single-story factory building with steel-plate roof (Dangerous goods storage) 288m</w:t>
      </w:r>
      <w:r>
        <w:rPr>
          <w:rFonts w:ascii="Times New Roman" w:cs="Times New Roman" w:eastAsia="Times New Roman" w:hAnsi="Times New Roman"/>
          <w:sz w:val="26"/>
          <w:szCs w:val="26"/>
          <w:color w:val="auto"/>
          <w:vertAlign w:val="superscript"/>
        </w:rPr>
        <w:t>2</w:t>
      </w:r>
    </w:p>
    <w:p>
      <w:pPr>
        <w:spacing w:after="0" w:line="4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No[1760-2009-008404]</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11-dong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single-story factory building with slate roof (Plating room) 172.8m</w:t>
      </w:r>
      <w:r>
        <w:rPr>
          <w:rFonts w:ascii="Times New Roman" w:cs="Times New Roman" w:eastAsia="Times New Roman" w:hAnsi="Times New Roman"/>
          <w:sz w:val="26"/>
          <w:szCs w:val="26"/>
          <w:color w:val="auto"/>
          <w:vertAlign w:val="superscript"/>
        </w:rPr>
        <w:t>2</w:t>
      </w:r>
    </w:p>
    <w:p>
      <w:pPr>
        <w:sectPr>
          <w:pgSz w:w="11900" w:h="16838" w:orient="portrait"/>
          <w:cols w:equalWidth="0" w:num="1">
            <w:col w:w="11024"/>
          </w:cols>
          <w:pgMar w:left="436" w:top="268" w:right="4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No[1760-2004-005412]</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12-dong</w:t>
      </w:r>
    </w:p>
    <w:p>
      <w:pPr>
        <w:spacing w:after="0" w:line="1" w:lineRule="exact"/>
        <w:rPr>
          <w:rFonts w:ascii="Times New Roman" w:cs="Times New Roman" w:eastAsia="Times New Roman" w:hAnsi="Times New Roman"/>
          <w:sz w:val="18"/>
          <w:szCs w:val="18"/>
          <w:color w:val="auto"/>
        </w:rPr>
      </w:pPr>
    </w:p>
    <w:p>
      <w:pPr>
        <w:ind w:left="444" w:right="544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Reinforced concrete single-story factory building with slab roof Basement Industrial water tank 421.5m</w:t>
      </w:r>
      <w:r>
        <w:rPr>
          <w:rFonts w:ascii="Times New Roman" w:cs="Times New Roman" w:eastAsia="Times New Roman" w:hAnsi="Times New Roman"/>
          <w:sz w:val="26"/>
          <w:szCs w:val="26"/>
          <w:color w:val="auto"/>
          <w:vertAlign w:val="superscript"/>
        </w:rPr>
        <w:t>2</w:t>
      </w:r>
    </w:p>
    <w:p>
      <w:pPr>
        <w:spacing w:after="0" w:line="2"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Industrial water tank 13.5m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No[1760-2004-005411]</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13-dong</w:t>
      </w:r>
    </w:p>
    <w:p>
      <w:pPr>
        <w:spacing w:after="0" w:line="1" w:lineRule="exact"/>
        <w:rPr>
          <w:rFonts w:ascii="Times New Roman" w:cs="Times New Roman" w:eastAsia="Times New Roman" w:hAnsi="Times New Roman"/>
          <w:sz w:val="18"/>
          <w:szCs w:val="18"/>
          <w:color w:val="auto"/>
        </w:rPr>
      </w:pPr>
    </w:p>
    <w:p>
      <w:pPr>
        <w:ind w:left="444" w:right="52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[Road Name Address] 375, Suchul-daero, Gumi-si, Gyeongsangbuk-do Basement of reinforced concrete factory building with slab roof 671.77m</w:t>
      </w:r>
      <w:r>
        <w:rPr>
          <w:rFonts w:ascii="Times New Roman" w:cs="Times New Roman" w:eastAsia="Times New Roman" w:hAnsi="Times New Roman"/>
          <w:sz w:val="25"/>
          <w:szCs w:val="25"/>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No[1760-2004-005414]</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14-dong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Lightweight steel frame 2-story factory building with slab roof</w:t>
      </w:r>
    </w:p>
    <w:p>
      <w:pPr>
        <w:ind w:left="544"/>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F.A.B storage 83.86m</w:t>
      </w:r>
      <w:r>
        <w:rPr>
          <w:rFonts w:ascii="Times New Roman" w:cs="Times New Roman" w:eastAsia="Times New Roman" w:hAnsi="Times New Roman"/>
          <w:sz w:val="25"/>
          <w:szCs w:val="25"/>
          <w:color w:val="auto"/>
          <w:vertAlign w:val="superscript"/>
        </w:rPr>
        <w:t>2</w:t>
      </w: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F.A.B storage 83.86m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No[1760-2007-001929]</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15-dong</w:t>
      </w:r>
    </w:p>
    <w:p>
      <w:pPr>
        <w:spacing w:after="0" w:line="1" w:lineRule="exact"/>
        <w:rPr>
          <w:rFonts w:ascii="Times New Roman" w:cs="Times New Roman" w:eastAsia="Times New Roman" w:hAnsi="Times New Roman"/>
          <w:sz w:val="18"/>
          <w:szCs w:val="18"/>
          <w:color w:val="auto"/>
        </w:rPr>
      </w:pPr>
    </w:p>
    <w:p>
      <w:pPr>
        <w:ind w:left="544" w:right="4640" w:hanging="11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Lightweight steel frame single-story factory building with prefabricated panel roof Security office 324m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No[1760-2004-005350]</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16-dong</w:t>
      </w:r>
    </w:p>
    <w:p>
      <w:pPr>
        <w:spacing w:after="0" w:line="1" w:lineRule="exact"/>
        <w:rPr>
          <w:rFonts w:ascii="Times New Roman" w:cs="Times New Roman" w:eastAsia="Times New Roman" w:hAnsi="Times New Roman"/>
          <w:sz w:val="18"/>
          <w:szCs w:val="18"/>
          <w:color w:val="auto"/>
        </w:rPr>
      </w:pPr>
    </w:p>
    <w:p>
      <w:pPr>
        <w:ind w:left="444" w:right="45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Lightweight steel frame single-story factory building with panel roof on truss 270m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No[1760-1999-007320]</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17-dong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single-story factory building with prefabricated panel roof 288m</w:t>
      </w:r>
      <w:r>
        <w:rPr>
          <w:rFonts w:ascii="Times New Roman" w:cs="Times New Roman" w:eastAsia="Times New Roman" w:hAnsi="Times New Roman"/>
          <w:sz w:val="26"/>
          <w:szCs w:val="26"/>
          <w:color w:val="auto"/>
          <w:vertAlign w:val="superscript"/>
        </w:rPr>
        <w:t>2</w:t>
      </w:r>
    </w:p>
    <w:p>
      <w:pPr>
        <w:sectPr>
          <w:pgSz w:w="11900" w:h="16838" w:orient="portrait"/>
          <w:cols w:equalWidth="0" w:num="1">
            <w:col w:w="11024"/>
          </w:cols>
          <w:pgMar w:left="436" w:top="268" w:right="4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No[1760-2005-008712]</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18-dong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Steel-framed single-story factory with grass wool panel roof (Gym) 1,218.42m</w:t>
      </w:r>
      <w:r>
        <w:rPr>
          <w:rFonts w:ascii="Times New Roman" w:cs="Times New Roman" w:eastAsia="Times New Roman" w:hAnsi="Times New Roman"/>
          <w:sz w:val="26"/>
          <w:szCs w:val="26"/>
          <w:color w:val="auto"/>
          <w:vertAlign w:val="superscript"/>
        </w:rPr>
        <w:t>2</w:t>
      </w:r>
    </w:p>
    <w:p>
      <w:pPr>
        <w:spacing w:after="0" w:line="4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No[1760-2020-000803]</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19-dong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544" w:right="2120" w:hanging="11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single-story factory building with panel roof (Dangerous goods storage and processing facilities)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High-pressure gas reservoir 103.5m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No[1760-2022-003006]</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20-dong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Steel-framed single-story factory</w:t>
      </w: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Factory (Machine room) 320m</w:t>
      </w:r>
      <w:r>
        <w:rPr>
          <w:rFonts w:ascii="Times New Roman" w:cs="Times New Roman" w:eastAsia="Times New Roman" w:hAnsi="Times New Roman"/>
          <w:sz w:val="26"/>
          <w:szCs w:val="26"/>
          <w:color w:val="auto"/>
          <w:vertAlign w:val="superscript"/>
        </w:rPr>
        <w:t>2</w:t>
      </w:r>
    </w:p>
    <w:p>
      <w:pPr>
        <w:sectPr>
          <w:pgSz w:w="11900" w:h="16838" w:orient="portrait"/>
          <w:cols w:equalWidth="0" w:num="1">
            <w:col w:w="11024"/>
          </w:cols>
          <w:pgMar w:left="436" w:top="268" w:right="439" w:bottom="1440" w:gutter="0" w:footer="0" w:header="0"/>
        </w:sectPr>
      </w:pPr>
    </w:p>
    <w:bookmarkStart w:id="124" w:name="page125"/>
    <w:bookmarkEnd w:id="124"/>
    <w:p>
      <w:pPr>
        <w:ind w:left="10000"/>
        <w:spacing w:after="0"/>
        <w:rPr>
          <w:sz w:val="20"/>
          <w:szCs w:val="20"/>
          <w:color w:val="auto"/>
        </w:rPr>
      </w:pPr>
      <w:r>
        <w:rPr>
          <w:rFonts w:ascii="Times New Roman" w:cs="Times New Roman" w:eastAsia="Times New Roman" w:hAnsi="Times New Roman"/>
          <w:sz w:val="17"/>
          <w:szCs w:val="17"/>
          <w:b w:val="1"/>
          <w:bCs w:val="1"/>
          <w:color w:val="auto"/>
        </w:rPr>
        <w:t>Exhibit 10.43</w:t>
      </w:r>
    </w:p>
    <w:p>
      <w:pPr>
        <w:spacing w:after="0" w:line="237" w:lineRule="exact"/>
        <w:rPr>
          <w:sz w:val="20"/>
          <w:szCs w:val="20"/>
          <w:color w:val="auto"/>
        </w:rPr>
      </w:pPr>
    </w:p>
    <w:p>
      <w:pPr>
        <w:jc w:val="center"/>
        <w:ind w:left="640" w:right="640"/>
        <w:spacing w:after="0" w:line="262"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17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i w:val="1"/>
          <w:iCs w:val="1"/>
          <w:color w:val="auto"/>
        </w:rPr>
        <w:t>[English Translation]</w:t>
      </w:r>
    </w:p>
    <w:p>
      <w:pPr>
        <w:spacing w:after="0" w:line="2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Stamp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1054100" cy="300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1054100" cy="300355"/>
                    </a:xfrm>
                    <a:prstGeom prst="rect">
                      <a:avLst/>
                    </a:prstGeom>
                    <a:noFill/>
                  </pic:spPr>
                </pic:pic>
              </a:graphicData>
            </a:graphic>
          </wp:anchor>
        </w:drawing>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Duty</w:t>
      </w:r>
    </w:p>
    <w:p>
      <w:pPr>
        <w:spacing w:after="0" w:line="274" w:lineRule="exact"/>
        <w:rPr>
          <w:sz w:val="20"/>
          <w:szCs w:val="20"/>
          <w:color w:val="auto"/>
        </w:rPr>
      </w:pPr>
    </w:p>
    <w:p>
      <w:pPr>
        <w:ind w:left="8420"/>
        <w:spacing w:after="0"/>
        <w:tabs>
          <w:tab w:leader="none" w:pos="9920" w:val="left"/>
        </w:tabs>
        <w:rPr>
          <w:sz w:val="20"/>
          <w:szCs w:val="20"/>
          <w:color w:val="auto"/>
        </w:rPr>
      </w:pPr>
      <w:r>
        <w:rPr>
          <w:rFonts w:ascii="Times New Roman" w:cs="Times New Roman" w:eastAsia="Times New Roman" w:hAnsi="Times New Roman"/>
          <w:sz w:val="18"/>
          <w:szCs w:val="18"/>
          <w:color w:val="auto"/>
        </w:rPr>
        <w:t>ARM</w:t>
      </w:r>
      <w:r>
        <w:rPr>
          <w:sz w:val="20"/>
          <w:szCs w:val="20"/>
          <w:color w:val="auto"/>
        </w:rPr>
        <w:tab/>
      </w:r>
      <w:r>
        <w:rPr>
          <w:rFonts w:ascii="Times New Roman" w:cs="Times New Roman" w:eastAsia="Times New Roman" w:hAnsi="Times New Roman"/>
          <w:sz w:val="18"/>
          <w:szCs w:val="18"/>
          <w:color w:val="auto"/>
        </w:rPr>
        <w:t>(S)RM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5243830</wp:posOffset>
            </wp:positionH>
            <wp:positionV relativeFrom="paragraph">
              <wp:posOffset>-127635</wp:posOffset>
            </wp:positionV>
            <wp:extent cx="1757680" cy="300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17576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Amendment to Kun-Mortgage Agreement</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(Conversion of the General Mortgage to a Mortgage</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under Articles 3 and 4 of the Factory and Mining Foundation Mortgage Act)</w:t>
      </w:r>
    </w:p>
    <w:p>
      <w:pPr>
        <w:sectPr>
          <w:pgSz w:w="11900" w:h="16838" w:orient="portrait"/>
          <w:cols w:equalWidth="0" w:num="1">
            <w:col w:w="11020"/>
          </w:cols>
          <w:pgMar w:left="440" w:top="117"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Creditor &amp; Mortgagee: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Mortgagor: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Korea Development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Magnachip Semiconductor,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Magnachip Semiconductor, Ltd.</w:t>
      </w:r>
    </w:p>
    <w:p>
      <w:pPr>
        <w:spacing w:after="0" w:line="211" w:lineRule="exact"/>
        <w:rPr>
          <w:sz w:val="20"/>
          <w:szCs w:val="20"/>
          <w:color w:val="auto"/>
        </w:rPr>
      </w:pPr>
    </w:p>
    <w:p>
      <w:pPr>
        <w:sectPr>
          <w:pgSz w:w="11900" w:h="16838" w:orient="portrait"/>
          <w:cols w:equalWidth="0" w:num="2">
            <w:col w:w="2480" w:space="720"/>
            <w:col w:w="7820"/>
          </w:cols>
          <w:pgMar w:left="440" w:top="117" w:right="439" w:bottom="1440" w:gutter="0" w:footer="0" w:header="0"/>
          <w:type w:val="continuous"/>
        </w:sectPr>
      </w:pPr>
    </w:p>
    <w:p>
      <w:pPr>
        <w:spacing w:after="0" w:line="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Mortgagor, in order to secure its obligations to the Creditor, agrees to convert the existing mortgage (recorded with the Gumi Registry Office of the Daegu District Court on March 26, 2024, under Filing No. 12868) previously established on its properties pursuant to the Kun-Mortgage Agreement dated March 26, 2024 to a mortgage under Articles 3 and 4 of the Factory and Mining Foundation Mortgage Act, to additionally cover the machinery, apparatus and other related items listed in the attachment as the mortgaged properties. Except as set forth herein, all other terms and conditions to the original Kun-Mortgage Agreement shall remain in full force and effect.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862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December 8, 2024</w:t>
            </w:r>
          </w:p>
        </w:tc>
      </w:tr>
      <w:tr>
        <w:trPr>
          <w:trHeight w:val="4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Creditor &amp; Mortgagee:</w:t>
            </w:r>
          </w:p>
        </w:tc>
        <w:tc>
          <w:tcPr>
            <w:tcW w:w="86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The Korea Development Bank [</w:t>
            </w:r>
            <w:r>
              <w:rPr>
                <w:rFonts w:ascii="Times New Roman" w:cs="Times New Roman" w:eastAsia="Times New Roman" w:hAnsi="Times New Roman"/>
                <w:sz w:val="18"/>
                <w:szCs w:val="18"/>
                <w:i w:val="1"/>
                <w:iCs w:val="1"/>
                <w:color w:val="auto"/>
              </w:rPr>
              <w:t>corporate seal stamped</w:t>
            </w:r>
            <w:r>
              <w:rPr>
                <w:rFonts w:ascii="Times New Roman" w:cs="Times New Roman" w:eastAsia="Times New Roman" w:hAnsi="Times New Roman"/>
                <w:sz w:val="18"/>
                <w:szCs w:val="18"/>
                <w:color w:val="auto"/>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86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14, Eunhaeng-ro, Yeongdeungpo-gu, Seoul, Republic of Korea</w:t>
            </w:r>
          </w:p>
        </w:tc>
      </w:tr>
      <w:tr>
        <w:trPr>
          <w:trHeight w:val="216"/>
        </w:trPr>
        <w:tc>
          <w:tcPr>
            <w:tcW w:w="2420" w:type="dxa"/>
            <w:vAlign w:val="bottom"/>
          </w:tcPr>
          <w:p>
            <w:pPr>
              <w:spacing w:after="0"/>
              <w:rPr>
                <w:sz w:val="18"/>
                <w:szCs w:val="18"/>
                <w:color w:val="auto"/>
              </w:rPr>
            </w:pPr>
          </w:p>
        </w:tc>
        <w:tc>
          <w:tcPr>
            <w:tcW w:w="86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(Branch: Cheongju Branch)</w:t>
            </w:r>
          </w:p>
        </w:tc>
      </w:tr>
      <w:tr>
        <w:trPr>
          <w:trHeight w:val="234"/>
        </w:trPr>
        <w:tc>
          <w:tcPr>
            <w:tcW w:w="2420" w:type="dxa"/>
            <w:vAlign w:val="bottom"/>
          </w:tcPr>
          <w:p>
            <w:pPr>
              <w:spacing w:after="0"/>
              <w:rPr>
                <w:sz w:val="20"/>
                <w:szCs w:val="20"/>
                <w:color w:val="auto"/>
              </w:rPr>
            </w:pPr>
          </w:p>
        </w:tc>
        <w:tc>
          <w:tcPr>
            <w:tcW w:w="86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Authorized Agent Raehyeon Park</w:t>
            </w:r>
          </w:p>
        </w:tc>
      </w:tr>
      <w:tr>
        <w:trPr>
          <w:trHeight w:val="31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Obligor &amp; Mortgagor:</w:t>
            </w:r>
          </w:p>
        </w:tc>
        <w:tc>
          <w:tcPr>
            <w:tcW w:w="86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Magnachip Semiconductor, Ltd.</w:t>
            </w: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86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76 Jikji-daero, 436beon-gil Heungdeok-gu, Cheongju-si, Chungcheongbuk-do, South Korea</w:t>
            </w:r>
          </w:p>
        </w:tc>
      </w:tr>
      <w:tr>
        <w:trPr>
          <w:trHeight w:val="236"/>
        </w:trPr>
        <w:tc>
          <w:tcPr>
            <w:tcW w:w="2420" w:type="dxa"/>
            <w:vAlign w:val="bottom"/>
          </w:tcPr>
          <w:p>
            <w:pPr>
              <w:spacing w:after="0"/>
              <w:rPr>
                <w:sz w:val="20"/>
                <w:szCs w:val="20"/>
                <w:color w:val="auto"/>
              </w:rPr>
            </w:pPr>
          </w:p>
        </w:tc>
        <w:tc>
          <w:tcPr>
            <w:tcW w:w="86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 xml:space="preserve">Representative Director </w:t>
            </w:r>
            <w:r>
              <w:rPr>
                <w:rFonts w:ascii="Times New Roman" w:cs="Times New Roman" w:eastAsia="Times New Roman" w:hAnsi="Times New Roman"/>
                <w:sz w:val="18"/>
                <w:szCs w:val="18"/>
                <w:i w:val="1"/>
                <w:iCs w:val="1"/>
                <w:color w:val="auto"/>
              </w:rPr>
              <w:t>/s/ Young-Joon Kim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seal stamped</w:t>
            </w:r>
            <w:r>
              <w:rPr>
                <w:rFonts w:ascii="Times New Roman" w:cs="Times New Roman" w:eastAsia="Times New Roman" w:hAnsi="Times New Roman"/>
                <w:sz w:val="18"/>
                <w:szCs w:val="18"/>
                <w:color w:val="auto"/>
              </w:rPr>
              <w:t>]</w:t>
            </w:r>
          </w:p>
        </w:tc>
      </w:tr>
      <w:tr>
        <w:trPr>
          <w:trHeight w:val="256"/>
        </w:trPr>
        <w:tc>
          <w:tcPr>
            <w:tcW w:w="2420" w:type="dxa"/>
            <w:vAlign w:val="bottom"/>
          </w:tcPr>
          <w:p>
            <w:pPr>
              <w:spacing w:after="0"/>
              <w:rPr>
                <w:sz w:val="22"/>
                <w:szCs w:val="22"/>
                <w:color w:val="auto"/>
              </w:rPr>
            </w:pPr>
          </w:p>
        </w:tc>
        <w:tc>
          <w:tcPr>
            <w:tcW w:w="6420" w:type="dxa"/>
            <w:vAlign w:val="bottom"/>
          </w:tcPr>
          <w:p>
            <w:pPr>
              <w:spacing w:after="0"/>
              <w:rPr>
                <w:sz w:val="22"/>
                <w:szCs w:val="22"/>
                <w:color w:val="auto"/>
              </w:rPr>
            </w:pPr>
          </w:p>
        </w:tc>
        <w:tc>
          <w:tcPr>
            <w:tcW w:w="2200" w:type="dxa"/>
            <w:vAlign w:val="bottom"/>
            <w:tcBorders>
              <w:bottom w:val="single" w:sz="8" w:color="auto"/>
            </w:tcBorders>
          </w:tcPr>
          <w:p>
            <w:pPr>
              <w:spacing w:after="0"/>
              <w:rPr>
                <w:sz w:val="22"/>
                <w:szCs w:val="22"/>
                <w:color w:val="auto"/>
              </w:rPr>
            </w:pPr>
          </w:p>
        </w:tc>
      </w:tr>
      <w:tr>
        <w:trPr>
          <w:trHeight w:val="191"/>
        </w:trPr>
        <w:tc>
          <w:tcPr>
            <w:tcW w:w="2420" w:type="dxa"/>
            <w:vAlign w:val="bottom"/>
          </w:tcPr>
          <w:p>
            <w:pPr>
              <w:spacing w:after="0"/>
              <w:rPr>
                <w:sz w:val="16"/>
                <w:szCs w:val="16"/>
                <w:color w:val="auto"/>
              </w:rPr>
            </w:pPr>
          </w:p>
        </w:tc>
        <w:tc>
          <w:tcPr>
            <w:tcW w:w="642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Seal</w:t>
            </w:r>
          </w:p>
        </w:tc>
      </w:tr>
      <w:tr>
        <w:trPr>
          <w:trHeight w:val="241"/>
        </w:trPr>
        <w:tc>
          <w:tcPr>
            <w:tcW w:w="2420" w:type="dxa"/>
            <w:vAlign w:val="bottom"/>
          </w:tcPr>
          <w:p>
            <w:pPr>
              <w:spacing w:after="0"/>
              <w:rPr>
                <w:sz w:val="20"/>
                <w:szCs w:val="20"/>
                <w:color w:val="auto"/>
              </w:rPr>
            </w:pPr>
          </w:p>
        </w:tc>
        <w:tc>
          <w:tcPr>
            <w:tcW w:w="6420" w:type="dxa"/>
            <w:vAlign w:val="bottom"/>
            <w:tcBorders>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compared by</w:t>
            </w:r>
          </w:p>
        </w:tc>
      </w:tr>
      <w:tr>
        <w:trPr>
          <w:trHeight w:val="216"/>
        </w:trPr>
        <w:tc>
          <w:tcPr>
            <w:tcW w:w="2420" w:type="dxa"/>
            <w:vAlign w:val="bottom"/>
          </w:tcPr>
          <w:p>
            <w:pPr>
              <w:spacing w:after="0"/>
              <w:rPr>
                <w:sz w:val="18"/>
                <w:szCs w:val="18"/>
                <w:color w:val="auto"/>
              </w:rPr>
            </w:pPr>
          </w:p>
        </w:tc>
        <w:tc>
          <w:tcPr>
            <w:tcW w:w="6420" w:type="dxa"/>
            <w:vAlign w:val="bottom"/>
            <w:tcBorders>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020"/>
          </w:cols>
          <w:pgMar w:left="440" w:top="117" w:right="43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&lt;Attachment&gt;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Legal Description of Real Estate Property</w:t>
      </w:r>
    </w:p>
    <w:p>
      <w:pPr>
        <w:spacing w:after="0" w:line="256" w:lineRule="exact"/>
        <w:rPr>
          <w:sz w:val="20"/>
          <w:szCs w:val="20"/>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No[1760-1996-090403]</w:t>
      </w:r>
    </w:p>
    <w:p>
      <w:pPr>
        <w:spacing w:after="0" w:line="27" w:lineRule="exact"/>
        <w:rPr>
          <w:rFonts w:ascii="Times New Roman" w:cs="Times New Roman" w:eastAsia="Times New Roman" w:hAnsi="Times New Roman"/>
          <w:sz w:val="18"/>
          <w:szCs w:val="18"/>
          <w:color w:val="auto"/>
        </w:rPr>
      </w:pPr>
    </w:p>
    <w:p>
      <w:pPr>
        <w:ind w:left="444" w:right="72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Factory site 39,574.4m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No[1760-2007-003222]</w:t>
      </w:r>
    </w:p>
    <w:p>
      <w:pPr>
        <w:spacing w:after="0" w:line="27" w:lineRule="exact"/>
        <w:rPr>
          <w:rFonts w:ascii="Times New Roman" w:cs="Times New Roman" w:eastAsia="Times New Roman" w:hAnsi="Times New Roman"/>
          <w:sz w:val="18"/>
          <w:szCs w:val="18"/>
          <w:color w:val="auto"/>
        </w:rPr>
      </w:pPr>
    </w:p>
    <w:p>
      <w:pPr>
        <w:ind w:left="444" w:right="71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281-1, Imsu-dong, Gumi-si, Gyeongsangbuk-do Miscellaneous land 3,812.8m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No[1760-2007-003223]</w:t>
      </w:r>
    </w:p>
    <w:p>
      <w:pPr>
        <w:spacing w:after="0" w:line="27" w:lineRule="exact"/>
        <w:rPr>
          <w:rFonts w:ascii="Times New Roman" w:cs="Times New Roman" w:eastAsia="Times New Roman" w:hAnsi="Times New Roman"/>
          <w:sz w:val="18"/>
          <w:szCs w:val="18"/>
          <w:color w:val="auto"/>
        </w:rPr>
      </w:pPr>
    </w:p>
    <w:p>
      <w:pPr>
        <w:ind w:left="444" w:right="72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 Imsu-dong, Gumi-si, Gyeongsangbuk-do Factory site 35,489.7m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No[1760-2007-003218]</w:t>
      </w:r>
    </w:p>
    <w:p>
      <w:pPr>
        <w:spacing w:after="0" w:line="27" w:lineRule="exact"/>
        <w:rPr>
          <w:rFonts w:ascii="Times New Roman" w:cs="Times New Roman" w:eastAsia="Times New Roman" w:hAnsi="Times New Roman"/>
          <w:sz w:val="18"/>
          <w:szCs w:val="18"/>
          <w:color w:val="auto"/>
        </w:rPr>
      </w:pPr>
    </w:p>
    <w:p>
      <w:pPr>
        <w:ind w:left="444" w:right="71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282-2, Imsu-dong, Gumi-si, Gyeongsangbuk-do Miscellaneous land 1,200.4m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No[1760-2009-008403]</w:t>
      </w:r>
    </w:p>
    <w:p>
      <w:pPr>
        <w:spacing w:after="0" w:line="27" w:lineRule="exact"/>
        <w:rPr>
          <w:rFonts w:ascii="Times New Roman" w:cs="Times New Roman" w:eastAsia="Times New Roman" w:hAnsi="Times New Roman"/>
          <w:sz w:val="18"/>
          <w:szCs w:val="18"/>
          <w:color w:val="auto"/>
        </w:rPr>
      </w:pPr>
    </w:p>
    <w:p>
      <w:pPr>
        <w:ind w:left="444" w:right="726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 Imsu-dong, Gumi-si, Gyeongsangbuk-do Building land 23,087m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No[1760-2007-003199]</w:t>
      </w:r>
    </w:p>
    <w:p>
      <w:pPr>
        <w:spacing w:after="0" w:line="27" w:lineRule="exact"/>
        <w:rPr>
          <w:rFonts w:ascii="Times New Roman" w:cs="Times New Roman" w:eastAsia="Times New Roman" w:hAnsi="Times New Roman"/>
          <w:sz w:val="18"/>
          <w:szCs w:val="18"/>
          <w:color w:val="auto"/>
        </w:rPr>
      </w:pPr>
    </w:p>
    <w:p>
      <w:pPr>
        <w:ind w:left="444" w:right="712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283-8, Imsu-dong, Gumi-si, Gyeongsangbuk-do Miscellaneous land 1,033.2m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No[1760-1996-091033]</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Reinforced concrete 5-story factory building with slab roof</w:t>
      </w:r>
    </w:p>
    <w:p>
      <w:pPr>
        <w:ind w:left="984" w:right="5820"/>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Basement Machine room, electrical room, shelter 4,482m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Cafeteria 5,294.75m</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3,327m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floor Factory 8,982m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Factory 8,982m</w:t>
      </w:r>
      <w:r>
        <w:rPr>
          <w:rFonts w:ascii="Times New Roman" w:cs="Times New Roman" w:eastAsia="Times New Roman" w:hAnsi="Times New Roman"/>
          <w:sz w:val="25"/>
          <w:szCs w:val="25"/>
          <w:color w:val="auto"/>
          <w:vertAlign w:val="superscript"/>
        </w:rPr>
        <w:t>2</w:t>
      </w:r>
    </w:p>
    <w:p>
      <w:pPr>
        <w:ind w:left="984" w:right="820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Factory 8,982m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972m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Lightweight steel frame single-story storage 12.5m</w:t>
      </w:r>
      <w:r>
        <w:rPr>
          <w:rFonts w:ascii="Times New Roman" w:cs="Times New Roman" w:eastAsia="Times New Roman" w:hAnsi="Times New Roman"/>
          <w:sz w:val="25"/>
          <w:szCs w:val="25"/>
          <w:color w:val="auto"/>
          <w:vertAlign w:val="superscript"/>
        </w:rPr>
        <w:t>2</w:t>
      </w:r>
    </w:p>
    <w:p>
      <w:pPr>
        <w:ind w:left="984" w:right="3500"/>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Block single-story factory with silicon steel plate roof on truss (Waste storage) 428.40m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Lightweight steel frame single-story factory with sandwich panel roof (Pump room) 75 m</w:t>
      </w:r>
      <w:r>
        <w:rPr>
          <w:rFonts w:ascii="Times New Roman" w:cs="Times New Roman" w:eastAsia="Times New Roman" w:hAnsi="Times New Roman"/>
          <w:sz w:val="25"/>
          <w:szCs w:val="25"/>
          <w:color w:val="auto"/>
          <w:vertAlign w:val="superscript"/>
        </w:rPr>
        <w:t>2</w:t>
      </w:r>
    </w:p>
    <w:p>
      <w:pPr>
        <w:sectPr>
          <w:pgSz w:w="11900" w:h="16838" w:orient="portrait"/>
          <w:cols w:equalWidth="0" w:num="1">
            <w:col w:w="11024"/>
          </w:cols>
          <w:pgMar w:left="436" w:top="268" w:right="4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No[1760-2007-001927]</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2-dong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984" w:right="4260" w:hanging="551"/>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2-story factory building with slab roof and prefabricated panel roof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Office and air-conditioning machine room 2,554.15m</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1,843.2m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1,479.26m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140.1m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(storage) 84.21m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(storage) 67.21m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1,843.2m</w:t>
      </w:r>
      <w:r>
        <w:rPr>
          <w:rFonts w:ascii="Times New Roman" w:cs="Times New Roman" w:eastAsia="Times New Roman" w:hAnsi="Times New Roman"/>
          <w:sz w:val="25"/>
          <w:szCs w:val="25"/>
          <w:color w:val="auto"/>
          <w:vertAlign w:val="superscript"/>
        </w:rPr>
        <w:t>2</w:t>
      </w:r>
    </w:p>
    <w:p>
      <w:pPr>
        <w:ind w:left="984" w:right="794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1,354.14m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115.2m</w:t>
      </w:r>
      <w:r>
        <w:rPr>
          <w:rFonts w:ascii="Times New Roman" w:cs="Times New Roman" w:eastAsia="Times New Roman" w:hAnsi="Times New Roman"/>
          <w:sz w:val="25"/>
          <w:szCs w:val="25"/>
          <w:color w:val="auto"/>
          <w:vertAlign w:val="superscript"/>
        </w:rPr>
        <w:t>2</w:t>
      </w: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No[1760-2007-001926]</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3-dong</w:t>
      </w:r>
    </w:p>
    <w:p>
      <w:pPr>
        <w:spacing w:after="0" w:line="1" w:lineRule="exact"/>
        <w:rPr>
          <w:rFonts w:ascii="Times New Roman" w:cs="Times New Roman" w:eastAsia="Times New Roman" w:hAnsi="Times New Roman"/>
          <w:sz w:val="18"/>
          <w:szCs w:val="18"/>
          <w:color w:val="auto"/>
        </w:rPr>
      </w:pPr>
    </w:p>
    <w:p>
      <w:pPr>
        <w:ind w:left="984" w:right="6340" w:hanging="551"/>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2-story factory building with slab roof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Factory and office 4,927.6m</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and office 599.04m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Factory 438.96m</w:t>
      </w:r>
      <w:r>
        <w:rPr>
          <w:rFonts w:ascii="Times New Roman" w:cs="Times New Roman" w:eastAsia="Times New Roman" w:hAnsi="Times New Roman"/>
          <w:sz w:val="25"/>
          <w:szCs w:val="25"/>
          <w:color w:val="auto"/>
          <w:vertAlign w:val="superscript"/>
        </w:rPr>
        <w:t>2</w:t>
      </w:r>
    </w:p>
    <w:p>
      <w:pPr>
        <w:ind w:left="984" w:right="802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Factory 3,473.2m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270.76m</w:t>
      </w:r>
      <w:r>
        <w:rPr>
          <w:rFonts w:ascii="Times New Roman" w:cs="Times New Roman" w:eastAsia="Times New Roman" w:hAnsi="Times New Roman"/>
          <w:sz w:val="25"/>
          <w:szCs w:val="25"/>
          <w:color w:val="auto"/>
          <w:vertAlign w:val="superscript"/>
        </w:rPr>
        <w:t>2</w:t>
      </w:r>
    </w:p>
    <w:p>
      <w:pPr>
        <w:ind w:left="424" w:hanging="424"/>
        <w:spacing w:after="0"/>
        <w:tabs>
          <w:tab w:leader="none" w:pos="4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No[1760-1996-091031]</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4-dong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Reinforced concrete 5-story factory building with slab roof</w:t>
      </w:r>
    </w:p>
    <w:p>
      <w:pPr>
        <w:ind w:left="984" w:right="7640"/>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Basement Dormitory 1,488.34m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Dormitory 1435.55m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Dormitory 1,004.495m</w:t>
      </w:r>
      <w:r>
        <w:rPr>
          <w:rFonts w:ascii="Times New Roman" w:cs="Times New Roman" w:eastAsia="Times New Roman" w:hAnsi="Times New Roman"/>
          <w:sz w:val="25"/>
          <w:szCs w:val="25"/>
          <w:color w:val="auto"/>
          <w:vertAlign w:val="superscript"/>
        </w:rPr>
        <w:t>2</w:t>
      </w:r>
    </w:p>
    <w:p>
      <w:pPr>
        <w:ind w:left="984" w:right="766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floor Dormitory 1,004.495m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26.22m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Dormitory 410.4m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Dormitory 592.8m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xml:space="preserve"> floor Dormitory 619.02m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Dormitory 619.02m</w:t>
      </w:r>
      <w:r>
        <w:rPr>
          <w:rFonts w:ascii="Times New Roman" w:cs="Times New Roman" w:eastAsia="Times New Roman" w:hAnsi="Times New Roman"/>
          <w:sz w:val="25"/>
          <w:szCs w:val="25"/>
          <w:color w:val="auto"/>
          <w:vertAlign w:val="superscript"/>
        </w:rPr>
        <w:t>2</w:t>
      </w:r>
    </w:p>
    <w:p>
      <w:pPr>
        <w:ind w:left="984" w:right="790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Dormitory 619.02m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Rooftop 78.66m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Dormitory 26.22m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Dormitory 978.275m</w:t>
      </w:r>
      <w:r>
        <w:rPr>
          <w:rFonts w:ascii="Times New Roman" w:cs="Times New Roman" w:eastAsia="Times New Roman" w:hAnsi="Times New Roman"/>
          <w:sz w:val="25"/>
          <w:szCs w:val="25"/>
          <w:color w:val="auto"/>
          <w:vertAlign w:val="superscript"/>
        </w:rPr>
        <w:t>2</w:t>
      </w:r>
    </w:p>
    <w:p>
      <w:pPr>
        <w:ind w:left="984" w:right="766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Dormitory 1,004.495m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Rooftop 93.48m</w:t>
      </w:r>
      <w:r>
        <w:rPr>
          <w:rFonts w:ascii="Times New Roman" w:cs="Times New Roman" w:eastAsia="Times New Roman" w:hAnsi="Times New Roman"/>
          <w:sz w:val="26"/>
          <w:szCs w:val="26"/>
          <w:color w:val="auto"/>
          <w:vertAlign w:val="superscript"/>
        </w:rPr>
        <w:t>2</w:t>
      </w:r>
    </w:p>
    <w:p>
      <w:pPr>
        <w:sectPr>
          <w:pgSz w:w="11900" w:h="16838" w:orient="portrait"/>
          <w:cols w:equalWidth="0" w:num="1">
            <w:col w:w="11024"/>
          </w:cols>
          <w:pgMar w:left="436" w:top="268" w:right="4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No[1760-2004-005345]</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5-dong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Reinforced concrete 2-story factory building with slab roof</w:t>
      </w:r>
    </w:p>
    <w:p>
      <w:pPr>
        <w:ind w:left="984"/>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Machine room 1,022.44m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Machine room 1,075.48m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xml:space="preserve"> floor Machine room 402.14m</w:t>
      </w:r>
      <w:r>
        <w:rPr>
          <w:rFonts w:ascii="Times New Roman" w:cs="Times New Roman" w:eastAsia="Times New Roman" w:hAnsi="Times New Roman"/>
          <w:sz w:val="25"/>
          <w:szCs w:val="25"/>
          <w:color w:val="auto"/>
          <w:vertAlign w:val="superscript"/>
        </w:rPr>
        <w:t>2</w:t>
      </w:r>
    </w:p>
    <w:p>
      <w:pPr>
        <w:ind w:left="984"/>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Boiler room 1,075.92m</w:t>
      </w:r>
      <w:r>
        <w:rPr>
          <w:rFonts w:ascii="Times New Roman" w:cs="Times New Roman" w:eastAsia="Times New Roman" w:hAnsi="Times New Roman"/>
          <w:sz w:val="25"/>
          <w:szCs w:val="25"/>
          <w:color w:val="auto"/>
          <w:vertAlign w:val="superscript"/>
        </w:rPr>
        <w:t>2</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Boiler room 374m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No[1760-1996-091034]</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8-dong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984" w:right="3940" w:hanging="551"/>
        <w:spacing w:after="0" w:line="2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single-story factory building with sandwich panel flat slab roof on truss Basement Machine room 73.83m</w:t>
      </w:r>
      <w:r>
        <w:rPr>
          <w:rFonts w:ascii="Times New Roman" w:cs="Times New Roman" w:eastAsia="Times New Roman" w:hAnsi="Times New Roman"/>
          <w:sz w:val="26"/>
          <w:szCs w:val="26"/>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Control room 111.60m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No[1760-2004-005344]</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9-dong</w:t>
      </w:r>
    </w:p>
    <w:p>
      <w:pPr>
        <w:spacing w:after="0" w:line="1" w:lineRule="exact"/>
        <w:rPr>
          <w:rFonts w:ascii="Times New Roman" w:cs="Times New Roman" w:eastAsia="Times New Roman" w:hAnsi="Times New Roman"/>
          <w:sz w:val="18"/>
          <w:szCs w:val="18"/>
          <w:color w:val="auto"/>
        </w:rPr>
      </w:pPr>
    </w:p>
    <w:p>
      <w:pPr>
        <w:ind w:left="444" w:right="54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[Road Name Address] 375, Suchul-daero, Gumi-si, Gyeongsangbuk-do Reinforced concrete single-story factory building with steel-plate roof</w:t>
      </w:r>
    </w:p>
    <w:p>
      <w:pPr>
        <w:ind w:left="984"/>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Dangerous goods storage 288m</w:t>
      </w:r>
      <w:r>
        <w:rPr>
          <w:rFonts w:ascii="Times New Roman" w:cs="Times New Roman" w:eastAsia="Times New Roman" w:hAnsi="Times New Roman"/>
          <w:sz w:val="25"/>
          <w:szCs w:val="25"/>
          <w:color w:val="auto"/>
          <w:vertAlign w:val="superscript"/>
        </w:rPr>
        <w:t>2</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Dangerous goods storage 377.6m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No[1760-2004-005349]</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10-dong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444"/>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Reinforced concrete single-story factory building with steel-plate roof (Dangerous goods storage) 288m</w:t>
      </w:r>
      <w:r>
        <w:rPr>
          <w:rFonts w:ascii="Times New Roman" w:cs="Times New Roman" w:eastAsia="Times New Roman" w:hAnsi="Times New Roman"/>
          <w:sz w:val="25"/>
          <w:szCs w:val="25"/>
          <w:color w:val="auto"/>
          <w:vertAlign w:val="superscript"/>
        </w:rPr>
        <w:t>2</w:t>
      </w:r>
    </w:p>
    <w:p>
      <w:pPr>
        <w:ind w:left="424" w:hanging="424"/>
        <w:spacing w:after="0"/>
        <w:tabs>
          <w:tab w:leader="none" w:pos="4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No[1760-2009-008404]</w:t>
      </w:r>
    </w:p>
    <w:p>
      <w:pPr>
        <w:spacing w:after="0" w:line="9"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11-dong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single-story factory building with slate roof (Plating room) 172.8m</w:t>
      </w:r>
      <w:r>
        <w:rPr>
          <w:rFonts w:ascii="Times New Roman" w:cs="Times New Roman" w:eastAsia="Times New Roman" w:hAnsi="Times New Roman"/>
          <w:sz w:val="26"/>
          <w:szCs w:val="26"/>
          <w:color w:val="auto"/>
          <w:vertAlign w:val="superscript"/>
        </w:rPr>
        <w:t>2</w:t>
      </w:r>
    </w:p>
    <w:p>
      <w:pPr>
        <w:sectPr>
          <w:pgSz w:w="11900" w:h="16838" w:orient="portrait"/>
          <w:cols w:equalWidth="0" w:num="1">
            <w:col w:w="11024"/>
          </w:cols>
          <w:pgMar w:left="436" w:top="268" w:right="4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No[1760-2004-005412]</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12-dong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Reinforced concrete single-story factory building with slab roof</w:t>
      </w:r>
    </w:p>
    <w:p>
      <w:pPr>
        <w:ind w:left="984" w:right="714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Basement Industrial water tank 421.5m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Industrial water tank 13.5m</w:t>
      </w:r>
      <w:r>
        <w:rPr>
          <w:rFonts w:ascii="Times New Roman" w:cs="Times New Roman" w:eastAsia="Times New Roman" w:hAnsi="Times New Roman"/>
          <w:sz w:val="25"/>
          <w:szCs w:val="25"/>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No[1760-2004-005411]</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13-dong</w:t>
      </w:r>
    </w:p>
    <w:p>
      <w:pPr>
        <w:spacing w:after="0" w:line="1" w:lineRule="exact"/>
        <w:rPr>
          <w:rFonts w:ascii="Times New Roman" w:cs="Times New Roman" w:eastAsia="Times New Roman" w:hAnsi="Times New Roman"/>
          <w:sz w:val="18"/>
          <w:szCs w:val="18"/>
          <w:color w:val="auto"/>
        </w:rPr>
      </w:pPr>
    </w:p>
    <w:p>
      <w:pPr>
        <w:ind w:left="444" w:right="52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[Road Name Address] 375, Suchul-daero, Gumi-si, Gyeongsangbuk-do Basement of reinforced concrete factory building with slab roof 671.77m</w:t>
      </w:r>
      <w:r>
        <w:rPr>
          <w:rFonts w:ascii="Times New Roman" w:cs="Times New Roman" w:eastAsia="Times New Roman" w:hAnsi="Times New Roman"/>
          <w:sz w:val="25"/>
          <w:szCs w:val="25"/>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No[1760-2004-005414]</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14-dong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Lightweight steel frame 2-story factory building with slab roof</w:t>
      </w:r>
    </w:p>
    <w:p>
      <w:pPr>
        <w:ind w:left="984"/>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floor F.A.B storage 83.86m</w:t>
      </w:r>
      <w:r>
        <w:rPr>
          <w:rFonts w:ascii="Times New Roman" w:cs="Times New Roman" w:eastAsia="Times New Roman" w:hAnsi="Times New Roman"/>
          <w:sz w:val="25"/>
          <w:szCs w:val="25"/>
          <w:color w:val="auto"/>
          <w:vertAlign w:val="superscript"/>
        </w:rPr>
        <w:t>2</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F.A.B storage 83.86m</w:t>
      </w:r>
      <w:r>
        <w:rPr>
          <w:rFonts w:ascii="Times New Roman" w:cs="Times New Roman" w:eastAsia="Times New Roman" w:hAnsi="Times New Roman"/>
          <w:sz w:val="26"/>
          <w:szCs w:val="26"/>
          <w:color w:val="auto"/>
          <w:vertAlign w:val="superscript"/>
        </w:rPr>
        <w:t>2</w:t>
      </w:r>
    </w:p>
    <w:p>
      <w:pPr>
        <w:spacing w:after="0" w:line="3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No[1760-2007-001929]</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15-dong</w:t>
      </w:r>
    </w:p>
    <w:p>
      <w:pPr>
        <w:spacing w:after="0" w:line="1" w:lineRule="exact"/>
        <w:rPr>
          <w:rFonts w:ascii="Times New Roman" w:cs="Times New Roman" w:eastAsia="Times New Roman" w:hAnsi="Times New Roman"/>
          <w:sz w:val="18"/>
          <w:szCs w:val="18"/>
          <w:color w:val="auto"/>
        </w:rPr>
      </w:pPr>
    </w:p>
    <w:p>
      <w:pPr>
        <w:ind w:left="984" w:right="4640" w:hanging="551"/>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Lightweight steel frame single-story factory building with prefabricated panel roof Security office 324m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No[1760-2004-005350]</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16-dong</w:t>
      </w:r>
    </w:p>
    <w:p>
      <w:pPr>
        <w:spacing w:after="0" w:line="1" w:lineRule="exact"/>
        <w:rPr>
          <w:rFonts w:ascii="Times New Roman" w:cs="Times New Roman" w:eastAsia="Times New Roman" w:hAnsi="Times New Roman"/>
          <w:sz w:val="18"/>
          <w:szCs w:val="18"/>
          <w:color w:val="auto"/>
        </w:rPr>
      </w:pPr>
    </w:p>
    <w:p>
      <w:pPr>
        <w:ind w:left="444" w:right="45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Lightweight steel frame single-story factory building with panel roof on truss 270m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No[1760-1999-007320]</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281, Imsu-dong, Gumi-si, Gyeongsangbuk-do 282, Imsu-dong, Gumi-si, Gyeongsangbuk-do 283, Imsu-dong, Gumi-si, Gyeongsangbuk-do</w:t>
      </w:r>
    </w:p>
    <w:p>
      <w:pPr>
        <w:sectPr>
          <w:pgSz w:w="11900" w:h="16838" w:orient="portrait"/>
          <w:cols w:equalWidth="0" w:num="1">
            <w:col w:w="11024"/>
          </w:cols>
          <w:pgMar w:left="436" w:top="268" w:right="4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17-dong</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Reinforced concrete single-story factory building with prefabricated panel roof 288m</w:t>
      </w:r>
      <w:r>
        <w:rPr>
          <w:rFonts w:ascii="Times New Roman" w:cs="Times New Roman" w:eastAsia="Times New Roman" w:hAnsi="Times New Roman"/>
          <w:sz w:val="26"/>
          <w:szCs w:val="26"/>
          <w:color w:val="auto"/>
          <w:vertAlign w:val="superscript"/>
        </w:rPr>
        <w:t>2</w:t>
      </w:r>
    </w:p>
    <w:p>
      <w:pPr>
        <w:spacing w:after="0" w:line="40"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No[1760-2005-008712]</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18-dong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Steel-framed single-story factory with grass wool panel roof (Gym) 1,218.42m</w:t>
      </w:r>
      <w:r>
        <w:rPr>
          <w:rFonts w:ascii="Times New Roman" w:cs="Times New Roman" w:eastAsia="Times New Roman" w:hAnsi="Times New Roman"/>
          <w:sz w:val="26"/>
          <w:szCs w:val="26"/>
          <w:color w:val="auto"/>
          <w:vertAlign w:val="superscript"/>
        </w:rPr>
        <w:t>2</w:t>
      </w:r>
    </w:p>
    <w:p>
      <w:pPr>
        <w:spacing w:after="0" w:line="4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No[1760-2020-000803]</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19-dong</w:t>
      </w:r>
    </w:p>
    <w:p>
      <w:pPr>
        <w:spacing w:after="0" w:line="1"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w:t>
      </w:r>
    </w:p>
    <w:p>
      <w:pPr>
        <w:spacing w:after="0" w:line="9" w:lineRule="exact"/>
        <w:rPr>
          <w:rFonts w:ascii="Times New Roman" w:cs="Times New Roman" w:eastAsia="Times New Roman" w:hAnsi="Times New Roman"/>
          <w:sz w:val="18"/>
          <w:szCs w:val="18"/>
          <w:color w:val="auto"/>
        </w:rPr>
      </w:pPr>
    </w:p>
    <w:p>
      <w:pPr>
        <w:ind w:left="984" w:right="2120" w:hanging="551"/>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Reinforced concrete single-story factory building with panel roof (Dangerous goods storage and processing facilities)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High-pressure gas reservoir 103.5m</w:t>
      </w:r>
      <w:r>
        <w:rPr>
          <w:rFonts w:ascii="Times New Roman" w:cs="Times New Roman" w:eastAsia="Times New Roman" w:hAnsi="Times New Roman"/>
          <w:sz w:val="26"/>
          <w:szCs w:val="26"/>
          <w:color w:val="auto"/>
          <w:vertAlign w:val="superscript"/>
        </w:rPr>
        <w:t>2</w:t>
      </w: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w:t>
      </w:r>
    </w:p>
    <w:p>
      <w:pPr>
        <w:spacing w:after="0" w:line="9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No[1760-2022-003006]</w:t>
      </w:r>
    </w:p>
    <w:p>
      <w:pPr>
        <w:spacing w:after="0" w:line="27" w:lineRule="exact"/>
        <w:rPr>
          <w:rFonts w:ascii="Times New Roman" w:cs="Times New Roman" w:eastAsia="Times New Roman" w:hAnsi="Times New Roman"/>
          <w:sz w:val="18"/>
          <w:szCs w:val="18"/>
          <w:color w:val="auto"/>
        </w:rPr>
      </w:pPr>
    </w:p>
    <w:p>
      <w:pPr>
        <w:jc w:val="both"/>
        <w:ind w:left="444" w:right="7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Imsu-dong, Gumi-si, Gyeongsangbuk-do 282, Imsu-dong, Gumi-si, Gyeongsangbuk-do 283, Imsu-dong, Gumi-si, Gyeongsangbuk-do 20-dong</w:t>
      </w:r>
    </w:p>
    <w:p>
      <w:pPr>
        <w:spacing w:after="0" w:line="1" w:lineRule="exact"/>
        <w:rPr>
          <w:rFonts w:ascii="Times New Roman" w:cs="Times New Roman" w:eastAsia="Times New Roman" w:hAnsi="Times New Roman"/>
          <w:sz w:val="18"/>
          <w:szCs w:val="18"/>
          <w:color w:val="auto"/>
        </w:rPr>
      </w:pPr>
    </w:p>
    <w:p>
      <w:pPr>
        <w:ind w:left="444" w:right="54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 Name Address] 375, Suchul-daero, Gumi-si, Gyeongsangbuk-do Steel-framed single-story factory</w:t>
      </w: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Factory (Machine room) 320m</w:t>
      </w:r>
      <w:r>
        <w:rPr>
          <w:rFonts w:ascii="Times New Roman" w:cs="Times New Roman" w:eastAsia="Times New Roman" w:hAnsi="Times New Roman"/>
          <w:sz w:val="26"/>
          <w:szCs w:val="26"/>
          <w:color w:val="auto"/>
          <w:vertAlign w:val="superscript"/>
        </w:rPr>
        <w:t>2</w:t>
      </w:r>
    </w:p>
    <w:p>
      <w:pPr>
        <w:spacing w:after="0" w:line="27" w:lineRule="exact"/>
        <w:rPr>
          <w:sz w:val="20"/>
          <w:szCs w:val="20"/>
          <w:color w:val="auto"/>
        </w:rPr>
      </w:pPr>
    </w:p>
    <w:p>
      <w:pPr>
        <w:ind w:left="4" w:right="800"/>
        <w:spacing w:after="0" w:line="258" w:lineRule="auto"/>
        <w:rPr>
          <w:sz w:val="20"/>
          <w:szCs w:val="20"/>
          <w:color w:val="auto"/>
        </w:rPr>
      </w:pPr>
      <w:r>
        <w:rPr>
          <w:rFonts w:ascii="Times New Roman" w:cs="Times New Roman" w:eastAsia="Times New Roman" w:hAnsi="Times New Roman"/>
          <w:sz w:val="18"/>
          <w:szCs w:val="18"/>
          <w:color w:val="auto"/>
        </w:rPr>
        <w:t>The list of machinery and apparatus under Article 6 of the Factory and Mining Foundation Mortgage Act is the same as listed in the following attachment.</w:t>
      </w:r>
    </w:p>
    <w:p>
      <w:pPr>
        <w:sectPr>
          <w:pgSz w:w="11900" w:h="16838" w:orient="portrait"/>
          <w:cols w:equalWidth="0" w:num="1">
            <w:col w:w="11024"/>
          </w:cols>
          <w:pgMar w:left="436" w:top="268" w:right="4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List of Machinery and Apparatus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 Article 6 of the Factory and Mining Foundation Mortgage Act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 (Category)</w:t>
            </w: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Manufacturer,</w:t>
            </w:r>
          </w:p>
        </w:tc>
        <w:tc>
          <w:tcPr>
            <w:tcW w:w="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6"/>
              </w:rPr>
              <w:t>No.</w:t>
            </w:r>
          </w:p>
        </w:tc>
        <w:tc>
          <w:tcPr>
            <w:tcW w:w="120" w:type="dxa"/>
            <w:vAlign w:val="bottom"/>
          </w:tcPr>
          <w:p>
            <w:pPr>
              <w:spacing w:after="0"/>
              <w:rPr>
                <w:sz w:val="12"/>
                <w:szCs w:val="12"/>
                <w:color w:val="auto"/>
              </w:rPr>
            </w:pPr>
          </w:p>
        </w:tc>
        <w:tc>
          <w:tcPr>
            <w:tcW w:w="6160" w:type="dxa"/>
            <w:vAlign w:val="bottom"/>
            <w:gridSpan w:val="2"/>
            <w:vMerge w:val="continue"/>
          </w:tcPr>
          <w:p>
            <w:pPr>
              <w:spacing w:after="0"/>
              <w:rPr>
                <w:sz w:val="12"/>
                <w:szCs w:val="12"/>
                <w:color w:val="auto"/>
              </w:rPr>
            </w:pPr>
          </w:p>
        </w:tc>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Manufacturing Number,</w:t>
            </w:r>
          </w:p>
        </w:tc>
        <w:tc>
          <w:tcPr>
            <w:tcW w:w="2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Quantity</w:t>
            </w:r>
          </w:p>
        </w:tc>
        <w:tc>
          <w:tcPr>
            <w:tcW w:w="0" w:type="dxa"/>
            <w:vAlign w:val="bottom"/>
          </w:tcPr>
          <w:p>
            <w:pPr>
              <w:spacing w:after="0"/>
              <w:rPr>
                <w:sz w:val="1"/>
                <w:szCs w:val="1"/>
                <w:color w:val="auto"/>
              </w:rPr>
            </w:pPr>
          </w:p>
        </w:tc>
      </w:tr>
      <w:tr>
        <w:trPr>
          <w:trHeight w:val="171"/>
        </w:trPr>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Structure, Specifications, Type, Capacity</w:t>
            </w:r>
          </w:p>
        </w:tc>
        <w:tc>
          <w:tcPr>
            <w:tcW w:w="10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 Date</w:t>
            </w:r>
          </w:p>
        </w:tc>
        <w:tc>
          <w:tcPr>
            <w:tcW w:w="2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ASML KrF Scanner</w:t>
            </w:r>
          </w:p>
        </w:tc>
        <w:tc>
          <w:tcPr>
            <w:tcW w:w="10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ASML</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Hong Kong Limited</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2022.12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 Track</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APLT Corporation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2022.12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AEGIS</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Nextin</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2022.12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 SEM</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Hoyeon Tech</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2023.06</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 SEM</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Hoyeon Tech</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2023.02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AVI(INSPECTRA 3000SR-III)</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TASMIT, Inc.</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2021.12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SFX-200</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SMARTS</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2021.12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 SEM</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Hoyeon Tech</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2022.12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SemDex</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SENTRONICS</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METROLOGY GMBH</w:t>
            </w: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2020.12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Nanometrics ATLAS</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Nano SOLTECH</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2022.12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 Trench Etcher</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AMSEA PTE. LTD.</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6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2022.12</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8" w:right="4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SCCM(Oxide Etcher)</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Semiz</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2022.12</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Hitachi Poly Etch</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IM Co. Ltd.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2022.11</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Hitachi Poly Etch(M511AE)</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IM Co. Ltd.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2020.12</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ASPEN Il</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CIS-CORP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2021.09</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M511AE</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IM Co. Ltd.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2021.07</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M500</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IM Co. Ltd.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2018.01</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Producer Harp(SACVD)</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AMSEA PTE.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 w:type="dxa"/>
            <w:vAlign w:val="bottom"/>
          </w:tcPr>
          <w:p>
            <w:pPr>
              <w:spacing w:after="0"/>
              <w:rPr>
                <w:sz w:val="18"/>
                <w:szCs w:val="18"/>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LTD.</w:t>
            </w:r>
          </w:p>
        </w:tc>
        <w:tc>
          <w:tcPr>
            <w:tcW w:w="56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2022.12</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Barrier Sputter(lMP TI,TIN)</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Russell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2022.12</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20</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Tungsten Deposition</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Russell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2022.12</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21</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DE-TAPER</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Korea Nitto Denko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2018.12</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CVD Manual Part Cleaner</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INNOMAX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2023.02</w:t>
            </w:r>
          </w:p>
        </w:tc>
        <w:tc>
          <w:tcPr>
            <w:tcW w:w="56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METAL MANUAL Part Cleaner</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INNOMAX</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2022.12</w:t>
            </w:r>
          </w:p>
        </w:tc>
        <w:tc>
          <w:tcPr>
            <w:tcW w:w="560" w:type="dxa"/>
            <w:vAlign w:val="bottom"/>
          </w:tcPr>
          <w:p>
            <w:pPr>
              <w:spacing w:after="0"/>
              <w:rPr>
                <w:sz w:val="20"/>
                <w:szCs w:val="20"/>
                <w:color w:val="auto"/>
              </w:rPr>
            </w:pPr>
          </w:p>
        </w:tc>
      </w:tr>
    </w:tbl>
    <w:p>
      <w:pPr>
        <w:sectPr>
          <w:pgSz w:w="11900" w:h="16838" w:orient="portrait"/>
          <w:cols w:equalWidth="0" w:num="1">
            <w:col w:w="11020"/>
          </w:cols>
          <w:pgMar w:left="440" w:top="268" w:right="4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Fab3 FOX Furnace</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KSM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2024.06</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WET STATION(OBND)</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INNOMAX</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2022.12</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26</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WET STATION(UHF)</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INNOMAX</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2022.12</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27</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H2S04 Wet Station(OBBND)</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INNOMAX</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2019.03</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28</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DOPED FOX FURNACE</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KSM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2022.08</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29</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DOPED D-POLY FURNACE</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KSM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2022.08</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DOPED POLY DEPOSITION FURNACE</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KSM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2021.12</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31</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 Etch</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INNOMAX</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2019.03</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Vertical Furnace(FOX) DD-823V-8BL</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KSM</w:t>
            </w:r>
          </w:p>
        </w:tc>
        <w:tc>
          <w:tcPr>
            <w:tcW w:w="52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2021.05</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33</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DOPED POLY DEPOSITION FURNACE</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Lead Engineering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2020.12</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34</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Vertical Furnace (FOX) DD-823V-8BL</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KSM</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2020.11</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35</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 E500</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AMSEA PTE. LTD.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2024.09</w:t>
            </w:r>
          </w:p>
        </w:tc>
        <w:tc>
          <w:tcPr>
            <w:tcW w:w="5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Installation Date:</w:t>
            </w:r>
          </w:p>
        </w:tc>
        <w:tc>
          <w:tcPr>
            <w:tcW w:w="52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2022.01</w:t>
            </w:r>
          </w:p>
        </w:tc>
        <w:tc>
          <w:tcPr>
            <w:tcW w:w="520" w:type="dxa"/>
            <w:vAlign w:val="bottom"/>
          </w:tcPr>
          <w:p>
            <w:pPr>
              <w:spacing w:after="0"/>
              <w:rPr>
                <w:sz w:val="20"/>
                <w:szCs w:val="20"/>
                <w:color w:val="auto"/>
              </w:rPr>
            </w:pPr>
          </w:p>
        </w:tc>
      </w:tr>
    </w:tbl>
    <w:p>
      <w:pPr>
        <w:sectPr>
          <w:pgSz w:w="11900" w:h="16838" w:orient="portrait"/>
          <w:cols w:equalWidth="0" w:num="1">
            <w:col w:w="11020"/>
          </w:cols>
          <w:pgMar w:left="440" w:top="268" w:right="4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MEDIUM CURRENT ION IMPANTER</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AMSEA PTE. LTD.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2024.10</w:t>
            </w:r>
          </w:p>
        </w:tc>
        <w:tc>
          <w:tcPr>
            <w:tcW w:w="52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Installation Date:</w:t>
            </w:r>
          </w:p>
        </w:tc>
        <w:tc>
          <w:tcPr>
            <w:tcW w:w="52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2022.01</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37</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Centura EPI(Pronto)</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AMSEA PTE. LTD.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2017.12</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38</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Centura EPI(Pronto)</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AMSEA PTE.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LTD.</w:t>
            </w:r>
          </w:p>
        </w:tc>
        <w:tc>
          <w:tcPr>
            <w:tcW w:w="52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2018.07</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39</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Centura EPI(Pronto)</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AMSEA PTE.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LTD.</w:t>
            </w:r>
          </w:p>
        </w:tc>
        <w:tc>
          <w:tcPr>
            <w:tcW w:w="52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2018.11</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40</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Centura EPI(Standard)</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AMSEA PTE.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LTD.</w:t>
            </w:r>
          </w:p>
        </w:tc>
        <w:tc>
          <w:tcPr>
            <w:tcW w:w="52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2019.06</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41</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Centura EPI(Standard)</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PJP tech</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2019.05</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42</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HCL Gas Cabinet(BSGS)</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Teratec Corporation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2018.06</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43</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E-Chemical Central Supply System</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INNOMAX</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2022.06</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44</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Clean Room</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Sangwoo E&amp;C</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2022.07</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EPI Incoming Transformer</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Taesung</w:t>
            </w:r>
          </w:p>
        </w:tc>
        <w:tc>
          <w:tcPr>
            <w:tcW w:w="52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2024.09</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46</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Cable Head for EPI Utility Supply</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Taesung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2023.12</w:t>
            </w:r>
          </w:p>
        </w:tc>
        <w:tc>
          <w:tcPr>
            <w:tcW w:w="52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47</w:t>
            </w: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EPI Inconming Transformer</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Taesung</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2023.12</w:t>
            </w:r>
          </w:p>
        </w:tc>
        <w:tc>
          <w:tcPr>
            <w:tcW w:w="520" w:type="dxa"/>
            <w:vAlign w:val="bottom"/>
          </w:tcPr>
          <w:p>
            <w:pPr>
              <w:spacing w:after="0"/>
              <w:rPr>
                <w:sz w:val="20"/>
                <w:szCs w:val="20"/>
                <w:color w:val="auto"/>
              </w:rPr>
            </w:pPr>
          </w:p>
        </w:tc>
      </w:tr>
    </w:tbl>
    <w:p>
      <w:pPr>
        <w:sectPr>
          <w:pgSz w:w="11900" w:h="16838" w:orient="portrait"/>
          <w:cols w:equalWidth="0" w:num="1">
            <w:col w:w="11020"/>
          </w:cols>
          <w:pgMar w:left="440" w:top="268" w:right="4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48</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Low-Nox High-Efficiency Boiler</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CHUNGMYUNG E&amp;C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2019.10</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OAC for F3 supply</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CHUNGMYUNG E&amp;C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2020.12</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50</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H2 Purifier</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Sangwoo E&amp;C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2021.08</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51</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Photo CDA Back up System</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CHUNGMYUNG E&amp;C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2021.04</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52</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 Fab Emergency Exhaust System</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Sangwoo E&amp;C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2020.12</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53</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P-SiN equipment #3 Plasma Scrubber</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Unisem Corporation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2020.12</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54</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CO2 Detection and Alarm System</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Taesung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2023.12</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55</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EPI Clean Room(Fab Expansion)</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Sangwoo E&amp;C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2017.12</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56</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EMMI/THEMOS(PHEMOS-IOOO)</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Hamamatsu Photonics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2020.12</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57</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SDB</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FEI</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6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HONGKONG</w:t>
            </w:r>
          </w:p>
        </w:tc>
        <w:tc>
          <w:tcPr>
            <w:tcW w:w="3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COMPANY</w:t>
            </w:r>
          </w:p>
        </w:tc>
        <w:tc>
          <w:tcPr>
            <w:tcW w:w="3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LIMITED</w:t>
            </w:r>
          </w:p>
        </w:tc>
        <w:tc>
          <w:tcPr>
            <w:tcW w:w="380" w:type="dxa"/>
            <w:vAlign w:val="bottom"/>
          </w:tcPr>
          <w:p>
            <w:pPr>
              <w:spacing w:after="0"/>
              <w:rPr>
                <w:sz w:val="18"/>
                <w:szCs w:val="18"/>
                <w:color w:val="auto"/>
              </w:rPr>
            </w:pPr>
          </w:p>
        </w:tc>
      </w:tr>
      <w:tr>
        <w:trPr>
          <w:trHeight w:val="234"/>
        </w:trPr>
        <w:tc>
          <w:tcPr>
            <w:tcW w:w="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2020.12</w:t>
            </w:r>
          </w:p>
        </w:tc>
        <w:tc>
          <w:tcPr>
            <w:tcW w:w="380" w:type="dxa"/>
            <w:vAlign w:val="bottom"/>
          </w:tcPr>
          <w:p>
            <w:pPr>
              <w:spacing w:after="0"/>
              <w:rPr>
                <w:sz w:val="20"/>
                <w:szCs w:val="20"/>
                <w:color w:val="auto"/>
              </w:rPr>
            </w:pPr>
          </w:p>
        </w:tc>
      </w:tr>
      <w:tr>
        <w:trPr>
          <w:trHeight w:val="319"/>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58</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SEM(R8230+[M4000plus)</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Rigong Corporation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0" w:type="dxa"/>
            <w:vAlign w:val="bottom"/>
          </w:tcPr>
          <w:p>
            <w:pPr>
              <w:spacing w:after="0"/>
              <w:rPr>
                <w:sz w:val="20"/>
                <w:szCs w:val="20"/>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2020.12</w:t>
            </w:r>
          </w:p>
        </w:tc>
        <w:tc>
          <w:tcPr>
            <w:tcW w:w="380" w:type="dxa"/>
            <w:vAlign w:val="bottom"/>
          </w:tcPr>
          <w:p>
            <w:pPr>
              <w:spacing w:after="0"/>
              <w:rPr>
                <w:sz w:val="20"/>
                <w:szCs w:val="20"/>
                <w:color w:val="auto"/>
              </w:rPr>
            </w:pPr>
          </w:p>
        </w:tc>
      </w:tr>
    </w:tbl>
    <w:p>
      <w:pPr>
        <w:spacing w:after="0" w:line="21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above listed machinery and apparatus and all ancillary facilities attached thereto are included in the Mortgaged Property and installed on the real estate property listed in the Attachment.</w:t>
      </w:r>
    </w:p>
    <w:p>
      <w:pPr>
        <w:sectPr>
          <w:pgSz w:w="11900" w:h="16838" w:orient="portrait"/>
          <w:cols w:equalWidth="0" w:num="1">
            <w:col w:w="11020"/>
          </w:cols>
          <w:pgMar w:left="440" w:top="268" w:right="4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[English Translation]</w:t>
      </w: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 signatures of the bank’s team member, team manager and deputy general manager of KDB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December 16, 2024</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The Bank shall explain the important contents of this loan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the parties involved in the Agreement and deliver all contract documents, including the Bank’s General Terms and Conditions for Credit Transactions (for corporations), a copy of this Agreement, and the corporate loan product description.</w:t>
      </w:r>
    </w:p>
    <w:p>
      <w:pPr>
        <w:sectPr>
          <w:pgSz w:w="11900" w:h="16838" w:orient="portrait"/>
          <w:cols w:equalWidth="0" w:num="1">
            <w:col w:w="11020"/>
          </w:cols>
          <w:pgMar w:left="440" w:top="117" w:right="439" w:bottom="1440" w:gutter="0" w:footer="0" w:header="0"/>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KOREA DEVELOPMENT BANK (“KDB”)</w:t>
      </w:r>
    </w:p>
    <w:p>
      <w:pPr>
        <w:spacing w:after="0" w:line="256" w:lineRule="exact"/>
        <w:rPr>
          <w:sz w:val="20"/>
          <w:szCs w:val="20"/>
          <w:color w:val="auto"/>
        </w:rPr>
      </w:pPr>
    </w:p>
    <w:p>
      <w:pPr>
        <w:ind w:left="360" w:hanging="359"/>
        <w:spacing w:after="0" w:line="258" w:lineRule="auto"/>
        <w:rPr>
          <w:sz w:val="20"/>
          <w:szCs w:val="20"/>
          <w:color w:val="auto"/>
        </w:rPr>
      </w:pPr>
      <w:r>
        <w:rPr>
          <w:rFonts w:ascii="Times New Roman" w:cs="Times New Roman" w:eastAsia="Times New Roman" w:hAnsi="Times New Roman"/>
          <w:sz w:val="18"/>
          <w:szCs w:val="18"/>
          <w:color w:val="auto"/>
        </w:rPr>
        <w:t>1.   The undersigned and the joint guarantor will borrow up to the amount set forth in the foregoing from the Korea Development Bank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 agrees to faithfully carry out the provisions of the General Terms and Conditions for Credit Transactions (as amended or supplemented by the Bank from time to time) and this Agreement.</w:t>
      </w:r>
    </w:p>
    <w:p>
      <w:pPr>
        <w:spacing w:after="0" w:line="89" w:lineRule="exact"/>
        <w:rPr>
          <w:sz w:val="20"/>
          <w:szCs w:val="20"/>
          <w:color w:val="auto"/>
        </w:rPr>
      </w:pPr>
    </w:p>
    <w:p>
      <w:pPr>
        <w:ind w:left="360" w:right="60" w:hanging="359"/>
        <w:spacing w:after="0" w:line="255" w:lineRule="auto"/>
        <w:rPr>
          <w:sz w:val="20"/>
          <w:szCs w:val="20"/>
          <w:color w:val="auto"/>
        </w:rPr>
      </w:pPr>
      <w:r>
        <w:rPr>
          <w:rFonts w:ascii="Times New Roman" w:cs="Times New Roman" w:eastAsia="Times New Roman" w:hAnsi="Times New Roman"/>
          <w:sz w:val="18"/>
          <w:szCs w:val="18"/>
          <w:color w:val="auto"/>
        </w:rPr>
        <w:t>2.   The undersigned and the joint guarantor have firmly received “all contract documents, including the general terms and conditions, a copy of this agreement, and the corporate loan product description,” and have heard and understood the main contents sufficiently. In addition, the joint guarantor has received sufficient explanation and understands debt status, delinquency status, credit management target information, etc. of the undersigned (the 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Magnachip Semiconductor, Ltd. 76 Jikji-</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daero 436beon-gil, Heungdeok-gu,</w:t>
            </w:r>
          </w:p>
        </w:tc>
        <w:tc>
          <w:tcPr>
            <w:tcW w:w="0" w:type="dxa"/>
            <w:vAlign w:val="bottom"/>
          </w:tcPr>
          <w:p>
            <w:pPr>
              <w:spacing w:after="0"/>
              <w:rPr>
                <w:sz w:val="1"/>
                <w:szCs w:val="1"/>
                <w:color w:val="auto"/>
              </w:rPr>
            </w:pPr>
          </w:p>
        </w:tc>
      </w:tr>
      <w:tr>
        <w:trPr>
          <w:trHeight w:val="216"/>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 of the undersigned</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Cheongju-si, Chungcheongbuk-do</w:t>
            </w:r>
          </w:p>
        </w:tc>
        <w:tc>
          <w:tcPr>
            <w:tcW w:w="0" w:type="dxa"/>
            <w:vAlign w:val="bottom"/>
          </w:tcPr>
          <w:p>
            <w:pPr>
              <w:spacing w:after="0"/>
              <w:rPr>
                <w:sz w:val="1"/>
                <w:szCs w:val="1"/>
                <w:color w:val="auto"/>
              </w:rPr>
            </w:pPr>
          </w:p>
        </w:tc>
      </w:tr>
      <w:tr>
        <w:trPr>
          <w:trHeight w:val="214"/>
        </w:trPr>
        <w:tc>
          <w:tcPr>
            <w:tcW w:w="2080" w:type="dxa"/>
            <w:vAlign w:val="bottom"/>
            <w:vMerge w:val="continue"/>
          </w:tcPr>
          <w:p>
            <w:pPr>
              <w:spacing w:after="0"/>
              <w:rPr>
                <w:sz w:val="18"/>
                <w:szCs w:val="18"/>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Representative Director: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 Young-Joon Kim</w:t>
            </w:r>
          </w:p>
        </w:tc>
        <w:tc>
          <w:tcPr>
            <w:tcW w:w="0" w:type="dxa"/>
            <w:vAlign w:val="bottom"/>
          </w:tcPr>
          <w:p>
            <w:pPr>
              <w:spacing w:after="0"/>
              <w:rPr>
                <w:sz w:val="1"/>
                <w:szCs w:val="1"/>
                <w:color w:val="auto"/>
              </w:rPr>
            </w:pPr>
          </w:p>
        </w:tc>
      </w:tr>
      <w:tr>
        <w:trPr>
          <w:trHeight w:val="236"/>
        </w:trPr>
        <w:tc>
          <w:tcPr>
            <w:tcW w:w="2080" w:type="dxa"/>
            <w:vAlign w:val="bottom"/>
          </w:tcPr>
          <w:p>
            <w:pPr>
              <w:spacing w:after="0"/>
              <w:rPr>
                <w:sz w:val="20"/>
                <w:szCs w:val="20"/>
                <w:color w:val="auto"/>
              </w:rPr>
            </w:pP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[corporate seal stamped]</w:t>
            </w:r>
          </w:p>
        </w:tc>
        <w:tc>
          <w:tcPr>
            <w:tcW w:w="0" w:type="dxa"/>
            <w:vAlign w:val="bottom"/>
          </w:tcPr>
          <w:p>
            <w:pPr>
              <w:spacing w:after="0"/>
              <w:rPr>
                <w:sz w:val="1"/>
                <w:szCs w:val="1"/>
                <w:color w:val="auto"/>
              </w:rPr>
            </w:pPr>
          </w:p>
        </w:tc>
      </w:tr>
      <w:tr>
        <w:trPr>
          <w:trHeight w:val="53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Address of the joint</w:t>
            </w:r>
          </w:p>
        </w:tc>
        <w:tc>
          <w:tcPr>
            <w:tcW w:w="320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4"/>
              </w:rPr>
              <w:t>(seal)</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Address of the joint</w:t>
            </w:r>
          </w:p>
        </w:tc>
        <w:tc>
          <w:tcPr>
            <w:tcW w:w="320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4"/>
              </w:rPr>
              <w:t>(seal)</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ectPr>
          <w:pgSz w:w="11900" w:h="16838" w:orient="portrait"/>
          <w:cols w:equalWidth="0" w:num="2">
            <w:col w:w="5620" w:space="120"/>
            <w:col w:w="528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Article 1       Confirmation of Loan Amount</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total amount of the loan, the sum amount based on the Obligor’s repayment plan, receipts and other methods, made available from the Bank to the Obligor shall be confirmed at the time of initial disbursement of the loan (in case of lump sum disbursement per each accounts) or at the time of final disbursement of the loan (in case of multiple disbursements) in accordance with the following criteria by referring to the repayment schedule, receipts, etc.: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KRW Loan</w:t>
            </w:r>
          </w:p>
        </w:tc>
        <w:tc>
          <w:tcPr>
            <w:tcW w:w="3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KRW38,000,000,000-</w:t>
            </w:r>
          </w:p>
        </w:tc>
        <w:tc>
          <w:tcPr>
            <w:tcW w:w="4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 sum of disbursed amount in KRW.</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Currency-denominated KRW Loan</w:t>
            </w:r>
          </w:p>
        </w:tc>
        <w:tc>
          <w:tcPr>
            <w:tcW w:w="3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KRW-.</w:t>
            </w:r>
          </w:p>
        </w:tc>
        <w:tc>
          <w:tcPr>
            <w:tcW w:w="4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 sum of disbursed amount denominated in</w:t>
            </w:r>
          </w:p>
        </w:tc>
      </w:tr>
      <w:tr>
        <w:trPr>
          <w:trHeight w:val="216"/>
        </w:trPr>
        <w:tc>
          <w:tcPr>
            <w:tcW w:w="35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foreign currency exchanged from KRW at the</w:t>
            </w:r>
          </w:p>
        </w:tc>
      </w:tr>
      <w:tr>
        <w:trPr>
          <w:trHeight w:val="216"/>
        </w:trPr>
        <w:tc>
          <w:tcPr>
            <w:tcW w:w="35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current basic rate of exchange on the date of</w:t>
            </w:r>
          </w:p>
        </w:tc>
      </w:tr>
      <w:tr>
        <w:trPr>
          <w:trHeight w:val="234"/>
        </w:trPr>
        <w:tc>
          <w:tcPr>
            <w:tcW w:w="35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disbursement.</w:t>
            </w: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Loan</w:t>
            </w:r>
          </w:p>
        </w:tc>
        <w:tc>
          <w:tcPr>
            <w:tcW w:w="3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KRW-.</w:t>
            </w:r>
          </w:p>
        </w:tc>
        <w:tc>
          <w:tcPr>
            <w:tcW w:w="4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 sum of disbursed amount in foreign</w:t>
            </w:r>
          </w:p>
        </w:tc>
      </w:tr>
      <w:tr>
        <w:trPr>
          <w:trHeight w:val="234"/>
        </w:trPr>
        <w:tc>
          <w:tcPr>
            <w:tcW w:w="35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currency.</w:t>
            </w:r>
          </w:p>
        </w:tc>
      </w:tr>
    </w:tbl>
    <w:p>
      <w:pPr>
        <w:sectPr>
          <w:pgSz w:w="11900" w:h="16838" w:orient="portrait"/>
          <w:cols w:equalWidth="0" w:num="1">
            <w:col w:w="11020"/>
          </w:cols>
          <w:pgMar w:left="440" w:top="117" w:right="439" w:bottom="1440" w:gutter="0" w:footer="0" w:header="0"/>
          <w:type w:val="continuous"/>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5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 xml:space="preserve">Article 2    </w:t>
      </w:r>
      <w:r>
        <w:rPr>
          <w:sz w:val="20"/>
          <w:szCs w:val="20"/>
          <w:color w:val="auto"/>
        </w:rPr>
        <w:tab/>
      </w:r>
      <w:r>
        <w:rPr>
          <w:rFonts w:ascii="Times New Roman" w:cs="Times New Roman" w:eastAsia="Times New Roman" w:hAnsi="Times New Roman"/>
          <w:sz w:val="17"/>
          <w:szCs w:val="17"/>
          <w:b w:val="1"/>
          <w:bCs w:val="1"/>
          <w:color w:val="auto"/>
        </w:rPr>
        <w:t>Repayment Terms</w:t>
      </w:r>
    </w:p>
    <w:p>
      <w:pPr>
        <w:spacing w:after="0" w:line="121" w:lineRule="exact"/>
        <w:rPr>
          <w:sz w:val="20"/>
          <w:szCs w:val="20"/>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The below repayment terms shall apply. The Obligor shall choose one of the following options for repayment of the principal and the interest of the loan by checking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 the applicable box.</w:t>
      </w:r>
    </w:p>
    <w:p>
      <w:pPr>
        <w:sectPr>
          <w:pgSz w:w="11900" w:h="16838" w:orient="portrait"/>
          <w:cols w:equalWidth="0" w:num="1">
            <w:col w:w="11020"/>
          </w:cols>
          <w:pgMar w:left="440" w:top="268" w:right="439" w:bottom="144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Category</w:t>
            </w:r>
          </w:p>
        </w:tc>
        <w:tc>
          <w:tcPr>
            <w:tcW w:w="386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Loan 1</w:t>
            </w:r>
          </w:p>
        </w:tc>
      </w:tr>
      <w:tr>
        <w:trPr>
          <w:trHeight w:val="221"/>
        </w:trPr>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5"/>
              </w:rPr>
              <w:t>Account</w:t>
            </w:r>
          </w:p>
        </w:tc>
        <w:tc>
          <w:tcPr>
            <w:tcW w:w="266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title</w:t>
            </w:r>
          </w:p>
        </w:tc>
        <w:tc>
          <w:tcPr>
            <w:tcW w:w="3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 working capital term loan</w:t>
            </w:r>
          </w:p>
        </w:tc>
      </w:tr>
      <w:tr>
        <w:trPr>
          <w:trHeight w:val="30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Amount</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KRW38,000,000,000-</w:t>
            </w:r>
          </w:p>
        </w:tc>
      </w:tr>
      <w:tr>
        <w:trPr>
          <w:trHeight w:val="32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10 years from the first drawdown date of the loan</w:t>
            </w:r>
          </w:p>
        </w:tc>
      </w:tr>
      <w:tr>
        <w:trPr>
          <w:trHeight w:val="48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Principal</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 Repayment in a lump sum at its maturity</w:t>
            </w:r>
          </w:p>
        </w:tc>
      </w:tr>
      <w:tr>
        <w:trPr>
          <w:trHeight w:val="252"/>
        </w:trPr>
        <w:tc>
          <w:tcPr>
            <w:tcW w:w="5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38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Repayment in installments</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Grace period: 2 years</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Repayment schedule: 8 years</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Repayment method: every 3 months (equal</w:t>
            </w:r>
          </w:p>
        </w:tc>
      </w:tr>
      <w:tr>
        <w:trPr>
          <w:trHeight w:val="229"/>
        </w:trPr>
        <w:tc>
          <w:tcPr>
            <w:tcW w:w="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repayment)</w:t>
            </w:r>
          </w:p>
        </w:tc>
      </w:tr>
      <w:tr>
        <w:trPr>
          <w:trHeight w:val="216"/>
        </w:trPr>
        <w:tc>
          <w:tcPr>
            <w:tcW w:w="540" w:type="dxa"/>
            <w:vAlign w:val="bottom"/>
          </w:tcPr>
          <w:p>
            <w:pPr>
              <w:spacing w:after="0"/>
              <w:rPr>
                <w:sz w:val="18"/>
                <w:szCs w:val="18"/>
                <w:color w:val="auto"/>
              </w:rPr>
            </w:pPr>
          </w:p>
        </w:tc>
        <w:tc>
          <w:tcPr>
            <w:tcW w:w="2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Agreed interest</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9"/>
              </w:rPr>
              <w:t>[   ] Fixed interest rate (Article 3(2)1 of the General</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Terms and Conditions for Credit Transactions)</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the benchmark interest rate          , plus    % per</w:t>
            </w:r>
          </w:p>
        </w:tc>
      </w:tr>
      <w:tr>
        <w:trPr>
          <w:trHeight w:val="234"/>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annum</w:t>
            </w:r>
          </w:p>
        </w:tc>
      </w:tr>
      <w:tr>
        <w:trPr>
          <w:trHeight w:val="319"/>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Floating interest rate (Article 3(2)2 of the</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General Terms and Conditions for Credit</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variable rate of 3-month CD rate, plus 0.68% per</w:t>
            </w:r>
          </w:p>
        </w:tc>
      </w:tr>
      <w:tr>
        <w:trPr>
          <w:trHeight w:val="216"/>
        </w:trPr>
        <w:tc>
          <w:tcPr>
            <w:tcW w:w="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annum</w:t>
            </w:r>
          </w:p>
        </w:tc>
      </w:tr>
      <w:tr>
        <w:trPr>
          <w:trHeight w:val="234"/>
        </w:trPr>
        <w:tc>
          <w:tcPr>
            <w:tcW w:w="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 rate reset cycle: every 3 months</w:t>
            </w:r>
          </w:p>
        </w:tc>
      </w:tr>
      <w:tr>
        <w:trPr>
          <w:trHeight w:val="270"/>
        </w:trPr>
        <w:tc>
          <w:tcPr>
            <w:tcW w:w="540" w:type="dxa"/>
            <w:vAlign w:val="bottom"/>
          </w:tcPr>
          <w:p>
            <w:pPr>
              <w:spacing w:after="0"/>
              <w:rPr>
                <w:sz w:val="23"/>
                <w:szCs w:val="23"/>
                <w:color w:val="auto"/>
              </w:rPr>
            </w:pPr>
          </w:p>
        </w:tc>
        <w:tc>
          <w:tcPr>
            <w:tcW w:w="2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payment method</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every 1 month</w:t>
            </w:r>
          </w:p>
        </w:tc>
      </w:tr>
      <w:tr>
        <w:trPr>
          <w:trHeight w:val="303"/>
        </w:trPr>
        <w:tc>
          <w:tcPr>
            <w:tcW w:w="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 in advance 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 arrears</w:t>
            </w: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185"/>
        </w:trPr>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rPr>
              <w:t>Loan 2</w:t>
            </w:r>
          </w:p>
        </w:tc>
      </w:tr>
      <w:tr>
        <w:trPr>
          <w:trHeight w:val="839"/>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360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99"/>
              </w:rPr>
              <w:t>      years from the first drawdown date of the</w:t>
            </w:r>
          </w:p>
        </w:tc>
      </w:t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w:t>
            </w:r>
          </w:p>
        </w:tc>
      </w:tr>
      <w:tr>
        <w:trPr>
          <w:trHeight w:val="306"/>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Repayment in a lump sum at its maturity</w:t>
            </w:r>
          </w:p>
        </w:tc>
      </w:tr>
      <w:tr>
        <w:trPr>
          <w:trHeight w:val="234"/>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4"/>
              </w:rPr>
              <w:t>[ </w:t>
            </w:r>
          </w:p>
        </w:tc>
        <w:tc>
          <w:tcPr>
            <w:tcW w:w="3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Repayment in installments</w:t>
            </w:r>
          </w:p>
        </w:tc>
      </w:tr>
    </w:tbl>
    <w:p>
      <w:pPr>
        <w:ind w:left="108" w:hanging="108"/>
        <w:spacing w:after="0"/>
        <w:tabs>
          <w:tab w:leader="none" w:pos="1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Grace period:</w:t>
      </w:r>
    </w:p>
    <w:p>
      <w:pPr>
        <w:spacing w:after="0" w:line="9" w:lineRule="exact"/>
        <w:rPr>
          <w:rFonts w:ascii="Times New Roman" w:cs="Times New Roman" w:eastAsia="Times New Roman" w:hAnsi="Times New Roman"/>
          <w:sz w:val="18"/>
          <w:szCs w:val="18"/>
          <w:color w:val="auto"/>
        </w:rPr>
      </w:pPr>
    </w:p>
    <w:p>
      <w:pPr>
        <w:ind w:left="108" w:hanging="108"/>
        <w:spacing w:after="0"/>
        <w:tabs>
          <w:tab w:leader="none" w:pos="1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schedule:</w:t>
      </w:r>
    </w:p>
    <w:p>
      <w:pPr>
        <w:spacing w:after="0" w:line="9" w:lineRule="exact"/>
        <w:rPr>
          <w:rFonts w:ascii="Times New Roman" w:cs="Times New Roman" w:eastAsia="Times New Roman" w:hAnsi="Times New Roman"/>
          <w:sz w:val="18"/>
          <w:szCs w:val="18"/>
          <w:color w:val="auto"/>
        </w:rPr>
      </w:pPr>
    </w:p>
    <w:p>
      <w:pPr>
        <w:ind w:left="108" w:hanging="108"/>
        <w:spacing w:after="0"/>
        <w:tabs>
          <w:tab w:leader="none" w:pos="1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method:</w:t>
      </w:r>
    </w:p>
    <w:p>
      <w:pPr>
        <w:spacing w:after="0" w:line="220" w:lineRule="exact"/>
        <w:rPr>
          <w:sz w:val="20"/>
          <w:szCs w:val="20"/>
          <w:color w:val="auto"/>
        </w:rPr>
      </w:pPr>
    </w:p>
    <w:p>
      <w:pPr>
        <w:ind w:left="8" w:right="600"/>
        <w:spacing w:after="0" w:line="257" w:lineRule="auto"/>
        <w:rPr>
          <w:sz w:val="20"/>
          <w:szCs w:val="20"/>
          <w:color w:val="auto"/>
        </w:rPr>
      </w:pPr>
      <w:r>
        <w:rPr>
          <w:rFonts w:ascii="Times New Roman" w:cs="Times New Roman" w:eastAsia="Times New Roman" w:hAnsi="Times New Roman"/>
          <w:sz w:val="18"/>
          <w:szCs w:val="18"/>
          <w:color w:val="auto"/>
        </w:rPr>
        <w:t>[  ] Fixed interest rate (Article 3(2)1 of the General Terms and Conditions for Credit Transactions)</w:t>
      </w:r>
    </w:p>
    <w:p>
      <w:pPr>
        <w:spacing w:after="0" w:line="1" w:lineRule="exact"/>
        <w:rPr>
          <w:sz w:val="20"/>
          <w:szCs w:val="20"/>
          <w:color w:val="auto"/>
        </w:rPr>
      </w:pPr>
    </w:p>
    <w:p>
      <w:pPr>
        <w:ind w:left="8" w:right="240" w:hanging="8"/>
        <w:spacing w:after="0" w:line="250" w:lineRule="auto"/>
        <w:tabs>
          <w:tab w:leader="none" w:pos="11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benchmark interest rate     , plus   % per annum</w:t>
      </w:r>
    </w:p>
    <w:p>
      <w:pPr>
        <w:spacing w:after="0" w:line="1" w:lineRule="exact"/>
        <w:rPr>
          <w:sz w:val="20"/>
          <w:szCs w:val="20"/>
          <w:color w:val="auto"/>
        </w:rPr>
      </w:pPr>
    </w:p>
    <w:p>
      <w:pPr>
        <w:ind w:left="8" w:right="420"/>
        <w:spacing w:after="0" w:line="250" w:lineRule="auto"/>
        <w:rPr>
          <w:sz w:val="20"/>
          <w:szCs w:val="20"/>
          <w:color w:val="auto"/>
        </w:rPr>
      </w:pPr>
      <w:r>
        <w:rPr>
          <w:rFonts w:ascii="Times New Roman" w:cs="Times New Roman" w:eastAsia="Times New Roman" w:hAnsi="Times New Roman"/>
          <w:sz w:val="18"/>
          <w:szCs w:val="18"/>
          <w:color w:val="auto"/>
        </w:rPr>
        <w:t>[  ] Floating interest rate (Article 3(2)2 of the General Terms and Conditions for Credit Transactions)</w:t>
      </w:r>
    </w:p>
    <w:p>
      <w:pPr>
        <w:spacing w:after="0" w:line="1" w:lineRule="exact"/>
        <w:rPr>
          <w:sz w:val="20"/>
          <w:szCs w:val="20"/>
          <w:color w:val="auto"/>
        </w:rPr>
      </w:pPr>
    </w:p>
    <w:p>
      <w:pPr>
        <w:ind w:left="8" w:right="60" w:hanging="8"/>
        <w:spacing w:after="0" w:line="250" w:lineRule="auto"/>
        <w:tabs>
          <w:tab w:leader="none" w:pos="1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benchmark interest rate       , plus   % per annum</w:t>
      </w:r>
    </w:p>
    <w:p>
      <w:pPr>
        <w:ind w:left="108" w:hanging="108"/>
        <w:spacing w:after="0"/>
        <w:tabs>
          <w:tab w:leader="none" w:pos="1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rate reset cycle:    </w:t>
      </w:r>
    </w:p>
    <w:p>
      <w:pPr>
        <w:spacing w:after="0" w:line="9" w:lineRule="exact"/>
        <w:rPr>
          <w:sz w:val="20"/>
          <w:szCs w:val="20"/>
          <w:color w:val="auto"/>
        </w:rPr>
      </w:pPr>
    </w:p>
    <w:p>
      <w:pPr>
        <w:ind w:left="8"/>
        <w:spacing w:after="0"/>
        <w:tabs>
          <w:tab w:leader="none" w:pos="647" w:val="left"/>
        </w:tabs>
        <w:rPr>
          <w:sz w:val="20"/>
          <w:szCs w:val="20"/>
          <w:color w:val="auto"/>
        </w:rPr>
      </w:pPr>
      <w:r>
        <w:rPr>
          <w:rFonts w:ascii="Times New Roman" w:cs="Times New Roman" w:eastAsia="Times New Roman" w:hAnsi="Times New Roman"/>
          <w:sz w:val="18"/>
          <w:szCs w:val="18"/>
          <w:color w:val="auto"/>
        </w:rPr>
        <w:t>every  </w:t>
      </w:r>
      <w:r>
        <w:rPr>
          <w:sz w:val="20"/>
          <w:szCs w:val="20"/>
          <w:color w:val="auto"/>
        </w:rPr>
        <w:tab/>
      </w:r>
      <w:r>
        <w:rPr>
          <w:rFonts w:ascii="Times New Roman" w:cs="Times New Roman" w:eastAsia="Times New Roman" w:hAnsi="Times New Roman"/>
          <w:sz w:val="17"/>
          <w:szCs w:val="17"/>
          <w:color w:val="auto"/>
        </w:rPr>
        <w:t>month</w:t>
      </w:r>
    </w:p>
    <w:p>
      <w:pPr>
        <w:spacing w:after="0" w:line="23" w:lineRule="exact"/>
        <w:rPr>
          <w:sz w:val="20"/>
          <w:szCs w:val="20"/>
          <w:color w:val="auto"/>
        </w:rPr>
      </w:pPr>
    </w:p>
    <w:p>
      <w:pPr>
        <w:ind w:left="8"/>
        <w:spacing w:after="0"/>
        <w:tabs>
          <w:tab w:leader="none" w:pos="1327" w:val="left"/>
        </w:tabs>
        <w:rPr>
          <w:sz w:val="20"/>
          <w:szCs w:val="20"/>
          <w:color w:val="auto"/>
        </w:rPr>
      </w:pPr>
      <w:r>
        <w:rPr>
          <w:rFonts w:ascii="Times New Roman" w:cs="Times New Roman" w:eastAsia="Times New Roman" w:hAnsi="Times New Roman"/>
          <w:sz w:val="18"/>
          <w:szCs w:val="18"/>
          <w:color w:val="auto"/>
        </w:rPr>
        <w:t>[   ] in advance </w:t>
      </w:r>
      <w:r>
        <w:rPr>
          <w:sz w:val="20"/>
          <w:szCs w:val="20"/>
          <w:color w:val="auto"/>
        </w:rPr>
        <w:tab/>
      </w:r>
      <w:r>
        <w:rPr>
          <w:rFonts w:ascii="Times New Roman" w:cs="Times New Roman" w:eastAsia="Times New Roman" w:hAnsi="Times New Roman"/>
          <w:sz w:val="16"/>
          <w:szCs w:val="16"/>
          <w:color w:val="auto"/>
        </w:rPr>
        <w:t>[   ] in arrears</w:t>
      </w:r>
    </w:p>
    <w:p>
      <w:pPr>
        <w:spacing w:after="0" w:line="126" w:lineRule="exact"/>
        <w:rPr>
          <w:sz w:val="20"/>
          <w:szCs w:val="20"/>
          <w:color w:val="auto"/>
        </w:rPr>
      </w:pPr>
    </w:p>
    <w:p>
      <w:pPr>
        <w:sectPr>
          <w:pgSz w:w="11900" w:h="16838" w:orient="portrait"/>
          <w:cols w:equalWidth="0" w:num="2">
            <w:col w:w="7060" w:space="212"/>
            <w:col w:w="3748"/>
          </w:cols>
          <w:pgMar w:left="440" w:top="268" w:right="439" w:bottom="1440" w:gutter="0" w:footer="0" w:header="0"/>
          <w:type w:val="continuous"/>
        </w:sectPr>
      </w:pPr>
    </w:p>
    <w:p>
      <w:pPr>
        <w:ind w:left="980" w:right="320" w:firstLine="1"/>
        <w:spacing w:after="0" w:line="282" w:lineRule="auto"/>
        <w:tabs>
          <w:tab w:leader="none" w:pos="11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is no corresponding repayment date, the last day of the corresponding month shall be the repayment date and in case the repayment date falls on a non-banking day, the following business day shall be the repayment date:</w:t>
      </w:r>
    </w:p>
    <w:p>
      <w:pPr>
        <w:spacing w:after="0" w:line="8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Requested drawdown date</w:t>
            </w: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 Date:</w:t>
            </w:r>
          </w:p>
        </w:tc>
        <w:tc>
          <w:tcPr>
            <w:tcW w:w="9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80"/>
              </w:rPr>
              <w:t>[ </w:t>
            </w:r>
          </w:p>
        </w:tc>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Date:</w:t>
            </w:r>
          </w:p>
        </w:tc>
      </w:tr>
      <w:tr>
        <w:trPr>
          <w:trHeight w:val="180"/>
        </w:trPr>
        <w:tc>
          <w:tcPr>
            <w:tcW w:w="2060" w:type="dxa"/>
            <w:vAlign w:val="bottom"/>
          </w:tcPr>
          <w:p>
            <w:pPr>
              <w:spacing w:after="0"/>
              <w:rPr>
                <w:sz w:val="15"/>
                <w:szCs w:val="15"/>
                <w:color w:val="auto"/>
              </w:rPr>
            </w:pPr>
          </w:p>
        </w:tc>
        <w:tc>
          <w:tcPr>
            <w:tcW w:w="34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Account number:</w:t>
            </w:r>
          </w:p>
        </w:tc>
        <w:tc>
          <w:tcPr>
            <w:tcW w:w="3260" w:type="dxa"/>
            <w:vAlign w:val="bottom"/>
            <w:gridSpan w:val="2"/>
          </w:tcPr>
          <w:p>
            <w:pPr>
              <w:ind w:left="820"/>
              <w:spacing w:after="0" w:line="181" w:lineRule="exact"/>
              <w:rPr>
                <w:sz w:val="20"/>
                <w:szCs w:val="20"/>
                <w:color w:val="auto"/>
              </w:rPr>
            </w:pPr>
            <w:r>
              <w:rPr>
                <w:rFonts w:ascii="Times New Roman" w:cs="Times New Roman" w:eastAsia="Times New Roman" w:hAnsi="Times New Roman"/>
                <w:sz w:val="18"/>
                <w:szCs w:val="18"/>
                <w:color w:val="auto"/>
              </w:rPr>
              <w:t>Account number:</w:t>
            </w:r>
          </w:p>
        </w:tc>
      </w:tr>
      <w:tr>
        <w:trPr>
          <w:trHeight w:val="303"/>
        </w:trPr>
        <w:tc>
          <w:tcPr>
            <w:tcW w:w="2060" w:type="dxa"/>
            <w:vAlign w:val="bottom"/>
          </w:tcPr>
          <w:p>
            <w:pPr>
              <w:spacing w:after="0"/>
              <w:rPr>
                <w:sz w:val="24"/>
                <w:szCs w:val="24"/>
                <w:color w:val="auto"/>
              </w:rPr>
            </w:pPr>
          </w:p>
        </w:tc>
        <w:tc>
          <w:tcPr>
            <w:tcW w:w="342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By submitting a request form</w:t>
            </w:r>
          </w:p>
        </w:tc>
        <w:tc>
          <w:tcPr>
            <w:tcW w:w="98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80"/>
              </w:rPr>
              <w:t>[ </w:t>
            </w:r>
          </w:p>
        </w:tc>
        <w:tc>
          <w:tcPr>
            <w:tcW w:w="2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 By submitting a request form</w:t>
            </w:r>
          </w:p>
        </w:tc>
      </w:tr>
    </w:tbl>
    <w:p>
      <w:pPr>
        <w:sectPr>
          <w:pgSz w:w="11900" w:h="16838" w:orient="portrait"/>
          <w:cols w:equalWidth="0" w:num="1">
            <w:col w:w="11020"/>
          </w:cols>
          <w:pgMar w:left="440" w:top="268" w:right="439" w:bottom="1440" w:gutter="0" w:footer="0" w:header="0"/>
          <w:type w:val="continuous"/>
        </w:sectPr>
      </w:pPr>
    </w:p>
    <w:bookmarkStart w:id="137" w:name="page138"/>
    <w:bookmarkEnd w:id="137"/>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 Commissions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60"/>
        <w:spacing w:after="0" w:line="423" w:lineRule="auto"/>
        <w:rPr>
          <w:sz w:val="20"/>
          <w:szCs w:val="20"/>
          <w:color w:val="auto"/>
        </w:rPr>
      </w:pPr>
      <w:r>
        <w:rPr>
          <w:rFonts w:ascii="Times New Roman" w:cs="Times New Roman" w:eastAsia="Times New Roman" w:hAnsi="Times New Roman"/>
          <w:sz w:val="18"/>
          <w:szCs w:val="18"/>
          <w:color w:val="auto"/>
        </w:rPr>
        <w:t>Default Compensation Default Interest</w:t>
      </w:r>
    </w:p>
    <w:p>
      <w:pPr>
        <w:spacing w:after="0" w:line="200" w:lineRule="exact"/>
        <w:rPr>
          <w:sz w:val="20"/>
          <w:szCs w:val="20"/>
          <w:color w:val="auto"/>
        </w:rPr>
      </w:pPr>
    </w:p>
    <w:p>
      <w:pPr>
        <w:spacing w:after="0" w:line="2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Calculation method of the interest, commission and default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 Transfer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Follow-up inspection of the use of funds</w:t>
      </w:r>
    </w:p>
    <w:p>
      <w:pPr>
        <w:spacing w:after="0" w:line="6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Obligation to Maintain Solvency</w:t>
      </w:r>
    </w:p>
    <w:p>
      <w:pPr>
        <w:spacing w:after="0" w:line="20" w:lineRule="exact"/>
        <w:rPr>
          <w:sz w:val="20"/>
          <w:szCs w:val="20"/>
          <w:color w:val="auto"/>
        </w:rPr>
      </w:pPr>
      <w:r>
        <w:rPr>
          <w:sz w:val="20"/>
          <w:szCs w:val="20"/>
          <w:color w:val="auto"/>
        </w:rPr>
        <w:br w:type="column"/>
      </w:r>
    </w:p>
    <w:p>
      <w:pPr>
        <w:ind w:left="6240"/>
        <w:spacing w:after="0"/>
        <w:rPr>
          <w:sz w:val="20"/>
          <w:szCs w:val="20"/>
          <w:color w:val="auto"/>
        </w:rPr>
      </w:pPr>
      <w:r>
        <w:rPr>
          <w:rFonts w:ascii="Times New Roman" w:cs="Times New Roman" w:eastAsia="Times New Roman" w:hAnsi="Times New Roman"/>
          <w:sz w:val="18"/>
          <w:szCs w:val="18"/>
          <w:i w:val="1"/>
          <w:iCs w:val="1"/>
          <w:color w:val="auto"/>
        </w:rPr>
        <w:t>[English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-212090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Prepaid Principal Amount × Commission Rate (%) × (Remaining Term of Loan/Loan Period) in accordance with the below Commission Rate and Article 4 of this Agreement</w:t>
      </w:r>
    </w:p>
    <w:p>
      <w:pPr>
        <w:spacing w:after="0" w:line="2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 n/a [   ] 1.4% (fixed)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1.2 (variable)</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Obligor makes a drawdown of the loan facility after the below date, the Obligor shall pay the agreed commissions in accordance with the below commission rate and Article 5 of this Agreement.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more than a year but less than 2 years,    %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more than 2 years,    % per annum</w:t>
      </w:r>
    </w:p>
    <w:p>
      <w:pPr>
        <w:spacing w:after="0" w:line="11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the Obligor fails to pay its obligation under this Agreement when due and payable, a default compensation shall be calculated and paid by applying the following default interest rate to the payable amount for the delayed period as calculated in accordance with the calculation method set by the Bank: The default interest rate shall be calculated by adding 3% additional interest rate per annum to the agreed interest rate, and the maximum default interest rate shall be 15% per annum.</w:t>
      </w:r>
    </w:p>
    <w:p>
      <w:pPr>
        <w:spacing w:after="0" w:line="89" w:lineRule="exact"/>
        <w:rPr>
          <w:sz w:val="20"/>
          <w:szCs w:val="20"/>
          <w:color w:val="auto"/>
        </w:rPr>
      </w:pPr>
    </w:p>
    <w:p>
      <w:pPr>
        <w:ind w:right="300" w:firstLine="9"/>
        <w:spacing w:after="0" w:line="261" w:lineRule="auto"/>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interest shall accrue on the balance thereof from the date immediately following the initial drawdown date of the loan (or the previous repayment date) until the repayment date of the loan at the benchmark interest rate set by the Bank as of the date of drawdown of the loan or the adjustment of benchmark interest rate.</w:t>
      </w:r>
    </w:p>
    <w:p>
      <w:pPr>
        <w:spacing w:after="0" w:line="85" w:lineRule="exact"/>
        <w:rPr>
          <w:rFonts w:ascii="Times New Roman" w:cs="Times New Roman" w:eastAsia="Times New Roman" w:hAnsi="Times New Roman"/>
          <w:sz w:val="18"/>
          <w:szCs w:val="18"/>
          <w:color w:val="auto"/>
        </w:rPr>
      </w:pPr>
    </w:p>
    <w:p>
      <w:pPr>
        <w:ind w:right="40" w:firstLine="9"/>
        <w:spacing w:after="0" w:line="261" w:lineRule="auto"/>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commission and default interest under this Agreement shall be calculated per day on the basis of a 365 days in a year (or 366 days in leap year;); provided, however, with respect to loans in foreign currency, the number of days in a year shall be calculated on the basis of a 360 days in a year for USD/EUR and a 365 days in a year for JPY.</w:t>
      </w:r>
    </w:p>
    <w:p>
      <w:pPr>
        <w:spacing w:after="0" w:line="85" w:lineRule="exact"/>
        <w:rPr>
          <w:rFonts w:ascii="Times New Roman" w:cs="Times New Roman" w:eastAsia="Times New Roman" w:hAnsi="Times New Roman"/>
          <w:sz w:val="18"/>
          <w:szCs w:val="18"/>
          <w:color w:val="auto"/>
        </w:rPr>
      </w:pPr>
    </w:p>
    <w:p>
      <w:pPr>
        <w:ind w:right="140" w:firstLine="9"/>
        <w:spacing w:after="0" w:line="282" w:lineRule="auto"/>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 under this Agreement is a fund loan, such shall be determined by the institution that manages the fund.</w:t>
      </w:r>
    </w:p>
    <w:p>
      <w:pPr>
        <w:spacing w:after="0" w:line="67"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[  ] In order to pay the principal and interest of the loan, the Obligor hereby acknowledges and agrees that the terms and conditions of the Bank’s automatic transfer will be applied to the deposit account           and applies for the automatic transfer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 applying for the automatic transfer</w:t>
            </w:r>
          </w:p>
        </w:tc>
        <w:tc>
          <w:tcPr>
            <w:tcW w:w="4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01"/>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 applicable</w:t>
            </w:r>
          </w:p>
        </w:tc>
        <w:tc>
          <w:tcPr>
            <w:tcW w:w="46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70"/>
              </w:rPr>
              <w:t>[ </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not applicable</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applicable</w:t>
            </w:r>
          </w:p>
        </w:tc>
        <w:tc>
          <w:tcPr>
            <w:tcW w:w="46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70"/>
              </w:rPr>
              <w:t>[ </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applicable</w:t>
            </w:r>
          </w:p>
        </w:tc>
      </w:tr>
      <w:tr>
        <w:trPr>
          <w:trHeight w:val="319"/>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n/a [   ] Section 1 [   ] Section 2</w:t>
            </w:r>
          </w:p>
        </w:tc>
        <w:tc>
          <w:tcPr>
            <w:tcW w:w="46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70"/>
              </w:rPr>
              <w:t>[ </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 n/a [   ] Section 1 [   ] Section 2</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w w:val="70"/>
              </w:rPr>
              <w:t>[ </w:t>
            </w: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Section 3</w:t>
            </w:r>
          </w:p>
        </w:tc>
        <w:tc>
          <w:tcPr>
            <w:tcW w:w="46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70"/>
              </w:rPr>
              <w:t>[ </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Section 3</w:t>
            </w:r>
          </w:p>
        </w:tc>
      </w:tr>
    </w:tbl>
    <w:p>
      <w:pPr>
        <w:sectPr>
          <w:pgSz w:w="11900" w:h="16838" w:orient="portrait"/>
          <w:cols w:equalWidth="0" w:num="2">
            <w:col w:w="2000" w:space="200"/>
            <w:col w:w="7820"/>
          </w:cols>
          <w:pgMar w:left="1440" w:top="268" w:right="4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Notice of Repayment Schedule</w:t>
      </w:r>
    </w:p>
    <w:p>
      <w:pPr>
        <w:spacing w:after="0" w:line="117"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In case of installment loan, the Bank shall notify the repayment schedule for the total amount of loan to the Obligor, joint guarantors, joint debtors and security providers.</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Size of the Company</w:t>
      </w:r>
    </w:p>
    <w:p>
      <w:pPr>
        <w:spacing w:after="0" w:line="117" w:lineRule="exact"/>
        <w:rPr>
          <w:sz w:val="20"/>
          <w:szCs w:val="20"/>
          <w:color w:val="auto"/>
        </w:rPr>
      </w:pPr>
    </w:p>
    <w:p>
      <w:pPr>
        <w:ind w:left="4" w:right="380"/>
        <w:spacing w:after="0" w:line="266" w:lineRule="auto"/>
        <w:rPr>
          <w:sz w:val="20"/>
          <w:szCs w:val="20"/>
          <w:color w:val="auto"/>
        </w:rPr>
      </w:pPr>
      <w:r>
        <w:rPr>
          <w:rFonts w:ascii="Times New Roman" w:cs="Times New Roman" w:eastAsia="Times New Roman" w:hAnsi="Times New Roman"/>
          <w:sz w:val="18"/>
          <w:szCs w:val="18"/>
          <w:color w:val="auto"/>
        </w:rPr>
        <w:t>Because the support product and applicable interest rate were determined upon the consideration of the size of the Company at the time of this agreement, if the size of the Company changes at the time of loan disbursement, the agreed interest rate may change depending on the change in the support product or interest rate conditions.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3      Repayment Currency and Applicable Exchange Rate</w:t>
      </w:r>
    </w:p>
    <w:p>
      <w:pPr>
        <w:spacing w:after="0" w:line="121"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The principal, interest, commission and default interest on foreign currency-denominated KRW loans and foreign currency loans shall be paid in the following currency applying the following exchange rate:</w:t>
      </w:r>
    </w:p>
    <w:p>
      <w:pPr>
        <w:spacing w:after="0" w:line="162" w:lineRule="exact"/>
        <w:rPr>
          <w:sz w:val="20"/>
          <w:szCs w:val="20"/>
          <w:color w:val="auto"/>
        </w:rPr>
      </w:pPr>
    </w:p>
    <w:p>
      <w:pPr>
        <w:ind w:left="4" w:right="40" w:hanging="4"/>
        <w:spacing w:after="0" w:line="266"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interest, commission and default interest on foreign currency-denominated KRW loans shall be paid in KRW exchanged from the base amount in foreign currency applying </w:t>
      </w:r>
      <w:r>
        <w:rPr>
          <w:rFonts w:ascii="Times New Roman" w:cs="Times New Roman" w:eastAsia="Times New Roman" w:hAnsi="Times New Roman"/>
          <w:sz w:val="18"/>
          <w:szCs w:val="18"/>
          <w:u w:val="single" w:color="auto"/>
          <w:color w:val="auto"/>
        </w:rPr>
        <w:t>basic rate of exchange</w:t>
      </w:r>
      <w:r>
        <w:rPr>
          <w:rFonts w:ascii="Times New Roman" w:cs="Times New Roman" w:eastAsia="Times New Roman" w:hAnsi="Times New Roman"/>
          <w:sz w:val="18"/>
          <w:szCs w:val="18"/>
          <w:color w:val="auto"/>
        </w:rPr>
        <w:t>, as first announced by the Bank on the actual repayment date; provided, however, if the Bank provides otherwise, repayment may be made in the designated foreign currency.</w:t>
      </w:r>
    </w:p>
    <w:p>
      <w:pPr>
        <w:spacing w:after="0" w:line="175" w:lineRule="exact"/>
        <w:rPr>
          <w:rFonts w:ascii="Times New Roman" w:cs="Times New Roman" w:eastAsia="Times New Roman" w:hAnsi="Times New Roman"/>
          <w:sz w:val="18"/>
          <w:szCs w:val="18"/>
          <w:color w:val="auto"/>
        </w:rPr>
      </w:pPr>
    </w:p>
    <w:p>
      <w:pPr>
        <w:ind w:left="4" w:right="260" w:hanging="4"/>
        <w:spacing w:after="0" w:line="266"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interest, commission and default interest on foreign currency loans shall be paid in the borrowing currency or KRW equivalent thereto; if repayment is made in KRW, the amount shall be exchanged from the borrowing currency at </w:t>
      </w:r>
      <w:r>
        <w:rPr>
          <w:rFonts w:ascii="Times New Roman" w:cs="Times New Roman" w:eastAsia="Times New Roman" w:hAnsi="Times New Roman"/>
          <w:sz w:val="18"/>
          <w:szCs w:val="18"/>
          <w:u w:val="single" w:color="auto"/>
          <w:color w:val="auto"/>
        </w:rPr>
        <w:t>TT selling rate</w:t>
      </w:r>
      <w:r>
        <w:rPr>
          <w:rFonts w:ascii="Times New Roman" w:cs="Times New Roman" w:eastAsia="Times New Roman" w:hAnsi="Times New Roman"/>
          <w:sz w:val="18"/>
          <w:szCs w:val="18"/>
          <w:color w:val="auto"/>
        </w:rPr>
        <w:t xml:space="preserve"> as of the actual repayment date, but if repayment is made in the borrowing currency, the commission-in-lieu-of-exchange shall be paid as provided by the Bank.</w:t>
      </w:r>
    </w:p>
    <w:p>
      <w:pPr>
        <w:spacing w:after="0" w:line="175" w:lineRule="exact"/>
        <w:rPr>
          <w:rFonts w:ascii="Times New Roman" w:cs="Times New Roman" w:eastAsia="Times New Roman" w:hAnsi="Times New Roman"/>
          <w:sz w:val="18"/>
          <w:szCs w:val="18"/>
          <w:color w:val="auto"/>
        </w:rPr>
      </w:pPr>
    </w:p>
    <w:p>
      <w:pPr>
        <w:ind w:left="4" w:right="100" w:hanging="4"/>
        <w:spacing w:after="0" w:line="282"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exchange rate is not confirmed on the date of repayment of the principal, interest, commission or default interest, the repayment shall be made by applying a tentative exchange rate set by the Bank, and the Bank shall confirm the exchange rate and settle the difference thereafter.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4      Pre-Payment or Acceleration of Payment</w:t>
      </w:r>
    </w:p>
    <w:p>
      <w:pPr>
        <w:spacing w:after="0" w:line="121" w:lineRule="exact"/>
        <w:rPr>
          <w:sz w:val="20"/>
          <w:szCs w:val="20"/>
          <w:color w:val="auto"/>
        </w:rPr>
      </w:pPr>
    </w:p>
    <w:p>
      <w:pPr>
        <w:ind w:left="4" w:right="200" w:hanging="4"/>
        <w:spacing w:after="0" w:line="282"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may repay the principal prior to the repayment date thereof all or parts of the loan prior to its maturity, in which case the Obligor shall pay the prepayment commission in accordance with Article 2 of this Agreement. The relevant terms are defined as follows:</w:t>
      </w:r>
    </w:p>
    <w:p>
      <w:pPr>
        <w:spacing w:after="0" w:line="67"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Principal Amount: the principal loan amount repaid prior to the repayment date thereof, and in case of an installment loan, this includes the principal loan amount repaid prior to the repayment date designated in respect of each installment.</w:t>
      </w:r>
    </w:p>
    <w:p>
      <w:pPr>
        <w:spacing w:after="0" w:line="67" w:lineRule="exact"/>
        <w:rPr>
          <w:rFonts w:ascii="Times New Roman" w:cs="Times New Roman" w:eastAsia="Times New Roman" w:hAnsi="Times New Roman"/>
          <w:sz w:val="18"/>
          <w:szCs w:val="18"/>
          <w:color w:val="auto"/>
        </w:rPr>
      </w:pPr>
    </w:p>
    <w:p>
      <w:pPr>
        <w:ind w:left="964" w:right="120" w:hanging="532"/>
        <w:spacing w:after="0" w:line="261" w:lineRule="auto"/>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Term of Loan: the number of days calculated beginning from the day following the prepayment date until the repayment date, and in case where the term of the loan (which term shall take into account any extension period) exceeds 3 years, the repayment date shall be deemed to be the date that is 3 years after the initial drawdown date for the respective account. In case of an installment loan, the Remaining Term of Loan shall be calculated in respect of each installment,</w:t>
      </w:r>
    </w:p>
    <w:p>
      <w:pPr>
        <w:spacing w:after="0" w:line="85" w:lineRule="exact"/>
        <w:rPr>
          <w:rFonts w:ascii="Times New Roman" w:cs="Times New Roman" w:eastAsia="Times New Roman" w:hAnsi="Times New Roman"/>
          <w:sz w:val="18"/>
          <w:szCs w:val="18"/>
          <w:color w:val="auto"/>
        </w:rPr>
      </w:pPr>
    </w:p>
    <w:p>
      <w:pPr>
        <w:ind w:left="964" w:right="460" w:hanging="532"/>
        <w:spacing w:after="0" w:line="282" w:lineRule="auto"/>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Period: the number of days beginning from the initial drawdown date until the repayment date, provided in case the loan period (which period shall take into account any extension period) exceeds 3 years the loan period shall be deemed to be 3 years.</w:t>
      </w:r>
    </w:p>
    <w:p>
      <w:pPr>
        <w:sectPr>
          <w:pgSz w:w="11900" w:h="16838" w:orient="portrait"/>
          <w:cols w:equalWidth="0" w:num="1">
            <w:col w:w="11024"/>
          </w:cols>
          <w:pgMar w:left="436" w:top="268" w:right="4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964" w:hanging="532"/>
        <w:spacing w:after="0"/>
        <w:tabs>
          <w:tab w:leader="none" w:pos="9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on the commission rate, etc. shall be posted on The Korea Development Bank website at www.kdb.co.kr.</w:t>
      </w:r>
    </w:p>
    <w:p>
      <w:pPr>
        <w:spacing w:after="0" w:line="225" w:lineRule="exact"/>
        <w:rPr>
          <w:rFonts w:ascii="Times New Roman" w:cs="Times New Roman" w:eastAsia="Times New Roman" w:hAnsi="Times New Roman"/>
          <w:sz w:val="18"/>
          <w:szCs w:val="18"/>
          <w:color w:val="auto"/>
        </w:rPr>
      </w:pPr>
    </w:p>
    <w:p>
      <w:pPr>
        <w:ind w:left="4" w:right="200" w:hanging="4"/>
        <w:spacing w:after="0" w:line="266"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commission may be reduced in part or exempt under applicable laws and regulations, governmental policies, or for causes separately specified by the Bank. In case the loan under this Agreement is a fund loan, the matters prescribed in this Article shall be determined by the institution that manages the fund.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5      Agreed Commissions</w:t>
      </w:r>
    </w:p>
    <w:p>
      <w:pPr>
        <w:spacing w:after="0" w:line="121" w:lineRule="exact"/>
        <w:rPr>
          <w:sz w:val="20"/>
          <w:szCs w:val="20"/>
          <w:color w:val="auto"/>
        </w:rPr>
      </w:pPr>
    </w:p>
    <w:p>
      <w:pPr>
        <w:ind w:left="4" w:right="300" w:hanging="4"/>
        <w:spacing w:after="0" w:line="282"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 makes a drawdown of the loan facility after a period set out in the following from the date of this loan agreement, the Obligor shall pay the agreed commissions as provided by the Bank.</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25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commissions shall be imposed at the rate set forth in Article 2 with respect to the outstanding balance of the Loan from the date immediately following the date indicated in Article 2 until the date immediately prior to the date of drawdown, and shall be paid on the drawdown date of the Loan or every three (3) months.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6      Payment of Revenue Stamp Tax</w:t>
      </w:r>
    </w:p>
    <w:p>
      <w:pPr>
        <w:spacing w:after="0" w:line="121" w:lineRule="exact"/>
        <w:rPr>
          <w:sz w:val="20"/>
          <w:szCs w:val="20"/>
          <w:color w:val="auto"/>
        </w:rPr>
      </w:pPr>
    </w:p>
    <w:p>
      <w:pPr>
        <w:ind w:left="244" w:hanging="244"/>
        <w:spacing w:after="0"/>
        <w:tabs>
          <w:tab w:leader="none" w:pos="2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and the Bank shall each bear 50% of the stamp tax under this Agreement.</w:t>
      </w:r>
    </w:p>
    <w:p>
      <w:pPr>
        <w:spacing w:after="0" w:line="225"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stamp tax to be borne by the Obligor pursuant to paragraph (1) is paid by the Bank, the Obligor shall repay the Bank in accordance with Article 4(2) of the General Terms and Conditions for Credit Transactions.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7      Receipt of the Loan</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The Obligor shall submit a receipt for drawdown of the loan; provided, however, the Obligor may not submit such receipt when the loan is deposited to the account of the Obligor or the loan is used to repay a loan in the Obligor’s name.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8      Purpose of the Loan and Sanctions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loan subject to follow-up inspection of the use of funds according to Article 2 of this Agreement will be implemented as follows:</w:t>
      </w:r>
    </w:p>
    <w:p>
      <w:pPr>
        <w:spacing w:after="0" w:line="27" w:lineRule="exact"/>
        <w:rPr>
          <w:sz w:val="20"/>
          <w:szCs w:val="20"/>
          <w:color w:val="auto"/>
        </w:rPr>
      </w:pPr>
    </w:p>
    <w:p>
      <w:pPr>
        <w:ind w:left="4" w:right="160"/>
        <w:spacing w:after="0" w:line="253" w:lineRule="auto"/>
        <w:rPr>
          <w:sz w:val="20"/>
          <w:szCs w:val="20"/>
          <w:color w:val="auto"/>
        </w:rPr>
      </w:pPr>
      <w:r>
        <w:rPr>
          <w:rFonts w:ascii="Times New Roman" w:cs="Times New Roman" w:eastAsia="Times New Roman" w:hAnsi="Times New Roman"/>
          <w:sz w:val="18"/>
          <w:szCs w:val="18"/>
          <w:color w:val="auto"/>
        </w:rPr>
        <w:t>If the Obligor does not submit the detailed table of usage of the loan amount within three (3) months from the drawdown date or if the Bank finds that the transaction between the Obligor and the Bank cannot be continued upon the Bank’s discovery of the Obligor’s deviation from the intended purpose of the Loan, all obligations of the Obligor shall be accelerated and immediately become due and payable upon written notice of the Bank. Also, new loan will be limited for one (1) year (upon the Bank’s first discovery of deviation from the intended purpose of the Loan) and for five (5) years (upon second first discovery of deviation from the intended purpose of the Loan) from the repayment date of the respective loan.</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9      Third Party’s Repayment and Subrogation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If a third-party desires to repay part or all of the debts in subrogation of the Obligor, the Obligor shall obtain consent thereto from the Bank.</w:t>
      </w:r>
    </w:p>
    <w:p>
      <w:pPr>
        <w:sectPr>
          <w:pgSz w:w="11900" w:h="16838" w:orient="portrait"/>
          <w:cols w:equalWidth="0" w:num="1">
            <w:col w:w="11024"/>
          </w:cols>
          <w:pgMar w:left="436" w:top="268" w:right="4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 w:right="120" w:hanging="4"/>
        <w:spacing w:after="0" w:line="266"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parties including joint guarantors, joint debtors agree not to exercise any right obtained from the Bank by repayment or subrogation without the consent of the Bank while the transaction between the Bank and the Obligor continues, and even in case the interested parties exercise their rights at the same time with the Bank, the interested parties will be repaid only after the Bank is fully repaid.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10      Cancellation of the Loan Agreement, etc.</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In the event an acceleration of payment occurs as set forth in Article 7 of the General Terms and Conditions for Credit Transactions, or if the loan is not withdrawn within the withdrawal period provided by the Bank due to reasons attributable to the Obligor, the Bank may cancel part or all of Loan Agreement, or suspend the drawdowns of the Loan or the Deposited Fund.</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11      Agreement on the Foreign Currency Loans</w:t>
      </w:r>
    </w:p>
    <w:p>
      <w:pPr>
        <w:spacing w:after="0" w:line="121" w:lineRule="exact"/>
        <w:rPr>
          <w:sz w:val="20"/>
          <w:szCs w:val="20"/>
          <w:color w:val="auto"/>
        </w:rPr>
      </w:pPr>
    </w:p>
    <w:p>
      <w:pPr>
        <w:ind w:left="4" w:right="40" w:hanging="4"/>
        <w:spacing w:after="0" w:line="282"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make deposits with the Bank as designated by the Bank the fund in foreign currency required for the planned project other than the approved amount of loan.</w:t>
      </w:r>
    </w:p>
    <w:p>
      <w:pPr>
        <w:spacing w:after="0" w:line="161" w:lineRule="exact"/>
        <w:rPr>
          <w:rFonts w:ascii="Times New Roman" w:cs="Times New Roman" w:eastAsia="Times New Roman" w:hAnsi="Times New Roman"/>
          <w:sz w:val="18"/>
          <w:szCs w:val="18"/>
          <w:color w:val="auto"/>
        </w:rPr>
      </w:pPr>
    </w:p>
    <w:p>
      <w:pPr>
        <w:ind w:left="4" w:right="20" w:hanging="4"/>
        <w:spacing w:after="0" w:line="282"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or any other cost claimed by a third party against the Bank due to breach by the Obligor shall be borne by the Obligor and the Obligor shall not raise any objection if the Bank exercises its right against the Obligor in the same manner as under this Agreement.</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be subject to compensation for damages in the following cases:</w:t>
      </w:r>
    </w:p>
    <w:p>
      <w:pPr>
        <w:spacing w:after="0" w:line="130"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not raise any objection even when the Bank or its designated person exercises the Obligor’s right to claim compensation for damages arising from shortage in quantity, damage or different size of brought-in items due to supplier’s negligence.</w:t>
      </w:r>
    </w:p>
    <w:p>
      <w:pPr>
        <w:spacing w:after="0" w:line="67" w:lineRule="exact"/>
        <w:rPr>
          <w:rFonts w:ascii="Times New Roman" w:cs="Times New Roman" w:eastAsia="Times New Roman" w:hAnsi="Times New Roman"/>
          <w:sz w:val="18"/>
          <w:szCs w:val="18"/>
          <w:color w:val="auto"/>
        </w:rPr>
      </w:pPr>
    </w:p>
    <w:p>
      <w:pPr>
        <w:ind w:left="964" w:right="340" w:hanging="532"/>
        <w:spacing w:after="0" w:line="266" w:lineRule="auto"/>
        <w:tabs>
          <w:tab w:leader="none" w:pos="9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 receives compensation for damages, or if the Bank receives compensation for damages pursuant to the provision of subparagraph 1, the equivalent KRW amount of the compensation for damages shall be deposited to the Deposited Fund account in the name of the Obligor.</w:t>
      </w:r>
    </w:p>
    <w:p>
      <w:pPr>
        <w:spacing w:after="0" w:line="175" w:lineRule="exact"/>
        <w:rPr>
          <w:rFonts w:ascii="Times New Roman" w:cs="Times New Roman" w:eastAsia="Times New Roman" w:hAnsi="Times New Roman"/>
          <w:sz w:val="18"/>
          <w:szCs w:val="18"/>
          <w:color w:val="auto"/>
        </w:rPr>
      </w:pPr>
    </w:p>
    <w:p>
      <w:pPr>
        <w:ind w:left="4" w:right="220" w:hanging="4"/>
        <w:spacing w:after="0" w:line="266" w:lineRule="auto"/>
        <w:tabs>
          <w:tab w:leader="none" w:pos="25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foreign currency loans, if the repayment date falls on a non-banking day or non-banking day of the country of such foreign currency, the following business day (the day where both the bank and the bank of the country of such foreign currency are open) shall be the repayment date. The same will be applicable to prepayments.</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12      Obligation to Maintain Solvency</w:t>
      </w:r>
    </w:p>
    <w:p>
      <w:pPr>
        <w:spacing w:after="0" w:line="121" w:lineRule="exact"/>
        <w:rPr>
          <w:sz w:val="20"/>
          <w:szCs w:val="20"/>
          <w:color w:val="auto"/>
        </w:rPr>
      </w:pPr>
    </w:p>
    <w:p>
      <w:pPr>
        <w:ind w:left="4" w:right="440" w:hanging="4"/>
        <w:spacing w:after="0" w:line="266" w:lineRule="auto"/>
        <w:tabs>
          <w:tab w:leader="none" w:pos="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agrees to maintain the appropriate financial ratio specified below for the purpose of maintaining solvency in relation to obligations arising from this Agreement. If there are any additional financial restructuring agreements, such agreements shall be attached to the end of this Agreement and the terms of such agreements shall be deemed as part of this Agreement.</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60" w:type="dxa"/>
            <w:vAlign w:val="bottom"/>
            <w:tcBorders>
              <w:bottom w:val="single" w:sz="8" w:color="CCEEFF"/>
            </w:tcBorders>
          </w:tcPr>
          <w:p>
            <w:pPr>
              <w:spacing w:after="0"/>
              <w:rPr>
                <w:sz w:val="14"/>
                <w:szCs w:val="14"/>
                <w:color w:val="auto"/>
              </w:rPr>
            </w:pPr>
          </w:p>
        </w:tc>
        <w:tc>
          <w:tcPr>
            <w:tcW w:w="7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2"/>
              </w:rPr>
              <w:t>20   .</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2"/>
              </w:rPr>
              <w:t>20   .</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2"/>
              </w:rPr>
              <w:t>20   .</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8"/>
              </w:rPr>
              <w:t>20   .</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2"/>
              </w:rPr>
              <w:t>20   .</w:t>
            </w:r>
          </w:p>
        </w:tc>
        <w:tc>
          <w:tcPr>
            <w:tcW w:w="220" w:type="dxa"/>
            <w:vAlign w:val="bottom"/>
            <w:tcBorders>
              <w:bottom w:val="single" w:sz="8" w:color="CCEEFF"/>
            </w:tcBorders>
          </w:tcPr>
          <w:p>
            <w:pPr>
              <w:spacing w:after="0"/>
              <w:rPr>
                <w:sz w:val="14"/>
                <w:szCs w:val="14"/>
                <w:color w:val="auto"/>
              </w:rPr>
            </w:pPr>
          </w:p>
        </w:tc>
      </w:tr>
      <w:tr>
        <w:trPr>
          <w:trHeight w:val="210"/>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ratio</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ratio</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80"/>
              </w:rPr>
              <w:t>( </w:t>
            </w:r>
          </w:p>
        </w:tc>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ratio</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0"/>
              </w:rPr>
              <w:t>( </w:t>
            </w:r>
          </w:p>
        </w:tc>
        <w:tc>
          <w:tcPr>
            <w:tcW w:w="7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ratio</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79"/>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ectPr>
          <w:pgSz w:w="11900" w:h="16838" w:orient="portrait"/>
          <w:cols w:equalWidth="0" w:num="1">
            <w:col w:w="11024"/>
          </w:cols>
          <w:pgMar w:left="436" w:top="268" w:right="4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 intends to engage in any of the following activities, the Obligor shall consult thereon with the Bank in advance: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business transfer/acquisition and sale or lease of material properties;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 fixed assets deviating from the intended purpose under the Agreement;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guaranty for a third party’s obligation;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 new business or overseas investment;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which are likely to cause material change in management including application for work out or private composition.</w:t>
      </w:r>
    </w:p>
    <w:p>
      <w:pPr>
        <w:spacing w:after="0" w:line="225" w:lineRule="exact"/>
        <w:rPr>
          <w:rFonts w:ascii="Times New Roman" w:cs="Times New Roman" w:eastAsia="Times New Roman" w:hAnsi="Times New Roman"/>
          <w:sz w:val="18"/>
          <w:szCs w:val="18"/>
          <w:color w:val="auto"/>
        </w:rPr>
      </w:pPr>
    </w:p>
    <w:p>
      <w:pPr>
        <w:ind w:left="4" w:right="200" w:hanging="4"/>
        <w:spacing w:after="0" w:line="282"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comply with the requests of the Bank for the following activities which are deemed necessary by the Bank for the administration of this Agreement:</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real estate or the securities held by the Obligor;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the majority shareholder;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Paid-in capital increase or initial public offering.</w:t>
      </w:r>
    </w:p>
    <w:p>
      <w:pPr>
        <w:spacing w:after="0" w:line="184"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(1) to (3) shall apply only in cases where the Obligor checked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the box in the Article 2 indicating obligation to maintain solvency.</w:t>
      </w:r>
    </w:p>
    <w:p>
      <w:pPr>
        <w:spacing w:after="0" w:line="3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13      Guarantee</w:t>
      </w:r>
    </w:p>
    <w:p>
      <w:pPr>
        <w:spacing w:after="0" w:line="121" w:lineRule="exact"/>
        <w:rPr>
          <w:sz w:val="20"/>
          <w:szCs w:val="20"/>
          <w:color w:val="auto"/>
        </w:rPr>
      </w:pPr>
    </w:p>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t>Joint guarantors signing and affixing their seals to this Agreement shall approve the General Terms and Conditions for Credit Transactions and each provision of this Agreement, be jointly and severally liable with the Obligor for the Loan, and shall comply with the following subparagraphs in the performance of their obligations:</w:t>
      </w:r>
    </w:p>
    <w:p>
      <w:pPr>
        <w:spacing w:after="0" w:line="176" w:lineRule="exact"/>
        <w:rPr>
          <w:sz w:val="20"/>
          <w:szCs w:val="20"/>
          <w:color w:val="auto"/>
        </w:rPr>
      </w:pPr>
    </w:p>
    <w:p>
      <w:pPr>
        <w:ind w:left="264" w:hanging="264"/>
        <w:spacing w:after="0"/>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guaranteed liabilities shall include the principal, interest, default interest and any additional liabilities, and be limited to KRW.</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by the following financial institutions (or its equivalents) shall be excluded from the scope of guaranteed liabilities in 1. above.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Banks under the Banking Act and other special acts;</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Credit Guarantee Fund under the Credit Guarantee Fund Act;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Korea Technology Finance Corporation under the Korea Technology Finance Corporation Act;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Regional Credit Guarantee Foundation under the Regional Credit Guarantee Foundation Act;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Korea Trade Insurance Corporation under the Trade Insurance Act;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Korea Housing Finance Corporation under the Korea Housing Finance Corporation Act;</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Housing and Urban Fund under the Housing and Urban Fund Act; and</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Surety insurance company under the Insurance Business Act.</w:t>
      </w:r>
    </w:p>
    <w:p>
      <w:pPr>
        <w:spacing w:after="0" w:line="207" w:lineRule="exact"/>
        <w:rPr>
          <w:sz w:val="20"/>
          <w:szCs w:val="20"/>
          <w:color w:val="auto"/>
        </w:rPr>
      </w:pPr>
    </w:p>
    <w:p>
      <w:pPr>
        <w:ind w:left="4" w:right="680" w:hanging="4"/>
        <w:spacing w:after="0" w:line="282"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amend, terminate or release, as applicable, other securities or guarantees if the joint guarantors consent thereto or if the Bank determines that the Mortgagor’s subrogation right will not be</w:t>
      </w:r>
    </w:p>
    <w:p>
      <w:pPr>
        <w:sectPr>
          <w:pgSz w:w="11900" w:h="16838" w:orient="portrait"/>
          <w:cols w:equalWidth="0" w:num="1">
            <w:col w:w="11024"/>
          </w:cols>
          <w:pgMar w:left="436" w:top="268" w:right="439" w:bottom="1440" w:gutter="0" w:footer="0" w:header="0"/>
        </w:sectPr>
      </w:pPr>
    </w:p>
    <w:bookmarkStart w:id="142" w:name="page143"/>
    <w:bookmarkEnd w:id="142"/>
    <w:p>
      <w:pPr>
        <w:ind w:left="9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4" w:right="260"/>
        <w:spacing w:after="0" w:line="312" w:lineRule="auto"/>
        <w:rPr>
          <w:sz w:val="20"/>
          <w:szCs w:val="20"/>
          <w:color w:val="auto"/>
        </w:rPr>
      </w:pPr>
      <w:r>
        <w:rPr>
          <w:rFonts w:ascii="Times New Roman" w:cs="Times New Roman" w:eastAsia="Times New Roman" w:hAnsi="Times New Roman"/>
          <w:sz w:val="17"/>
          <w:szCs w:val="17"/>
          <w:color w:val="auto"/>
        </w:rPr>
        <w:t>adversely affected by substituting the existing security with a higher value security or the guarantor with another guarantor with comparable financial resources, or the release of the security or the guarantee in proportion to the Obligor’s partial payment of the guaranteed or secured obligations.</w:t>
      </w:r>
    </w:p>
    <w:p>
      <w:pPr>
        <w:spacing w:after="0" w:line="140" w:lineRule="exact"/>
        <w:rPr>
          <w:sz w:val="20"/>
          <w:szCs w:val="20"/>
          <w:color w:val="auto"/>
        </w:rPr>
      </w:pPr>
    </w:p>
    <w:p>
      <w:pPr>
        <w:ind w:left="4" w:right="40" w:hanging="4"/>
        <w:spacing w:after="0" w:line="282"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separate guarantee for transactions between the Bank and the Obligor, such other guarantee shall not affect this guarantee provided under this Agreement.</w:t>
      </w:r>
    </w:p>
    <w:p>
      <w:pPr>
        <w:spacing w:after="0" w:line="161" w:lineRule="exact"/>
        <w:rPr>
          <w:rFonts w:ascii="Times New Roman" w:cs="Times New Roman" w:eastAsia="Times New Roman" w:hAnsi="Times New Roman"/>
          <w:sz w:val="18"/>
          <w:szCs w:val="18"/>
          <w:color w:val="auto"/>
        </w:rPr>
      </w:pPr>
    </w:p>
    <w:p>
      <w:pPr>
        <w:ind w:left="4" w:right="160" w:hanging="4"/>
        <w:spacing w:after="0" w:line="282"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the General Terms and Conditions for Credit Transactions shall be applied to the joint guarantors unless each provision thereof is contrary to the nature of the guarantee.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14      Special Terms and Conditions</w:t>
      </w:r>
    </w:p>
    <w:p>
      <w:pPr>
        <w:spacing w:after="0" w:line="135" w:lineRule="exact"/>
        <w:rPr>
          <w:sz w:val="20"/>
          <w:szCs w:val="20"/>
          <w:color w:val="auto"/>
        </w:rPr>
      </w:pPr>
    </w:p>
    <w:p>
      <w:pPr>
        <w:ind w:left="4" w:right="20" w:hanging="4"/>
        <w:spacing w:after="0" w:line="289" w:lineRule="auto"/>
        <w:tabs>
          <w:tab w:leader="none" w:pos="18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Bank determines that the recovery of claims becomes notably challenging due to substantial deterioration of the creditworthiness of the Obligor, the Bank may require the Obligor necessary measures to improve credit standing and the Obligor shall implement without delay. In the event that the Obligor fails to such implement, at the Bank’s request, all obligations which the Obligor owes to the Bank shall immediately become due and payable.</w:t>
      </w:r>
    </w:p>
    <w:p>
      <w:pPr>
        <w:sectPr>
          <w:pgSz w:w="11900" w:h="16838" w:orient="portrait"/>
          <w:cols w:equalWidth="0" w:num="1">
            <w:col w:w="11024"/>
          </w:cols>
          <w:pgMar w:left="436" w:top="268" w:right="439" w:bottom="1440" w:gutter="0" w:footer="0" w:header="0"/>
        </w:sectPr>
      </w:pP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The Undersigned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Magnachip Semiconductor, Ltd.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Joint Guarantor</w:t>
      </w:r>
    </w:p>
    <w:p>
      <w:pPr>
        <w:spacing w:after="0" w:line="39" w:lineRule="exact"/>
        <w:rPr>
          <w:sz w:val="20"/>
          <w:szCs w:val="20"/>
          <w:color w:val="auto"/>
        </w:rPr>
      </w:pPr>
    </w:p>
    <w:p>
      <w:pPr>
        <w:sectPr>
          <w:pgSz w:w="11900" w:h="16838" w:orient="portrait"/>
          <w:cols w:equalWidth="0" w:num="3">
            <w:col w:w="3284" w:space="720"/>
            <w:col w:w="2940" w:space="720"/>
            <w:col w:w="3360"/>
          </w:cols>
          <w:pgMar w:left="436" w:top="268" w:right="439" w:bottom="1440" w:gutter="0" w:footer="0" w:header="0"/>
          <w:type w:val="continuous"/>
        </w:sectPr>
      </w:pPr>
    </w:p>
    <w:p>
      <w:pPr>
        <w:ind w:left="4004"/>
        <w:spacing w:after="0"/>
        <w:rPr>
          <w:sz w:val="20"/>
          <w:szCs w:val="20"/>
          <w:color w:val="auto"/>
        </w:rPr>
      </w:pPr>
      <w:r>
        <w:rPr>
          <w:rFonts w:ascii="Times New Roman" w:cs="Times New Roman" w:eastAsia="Times New Roman" w:hAnsi="Times New Roman"/>
          <w:sz w:val="17"/>
          <w:szCs w:val="17"/>
          <w:color w:val="auto"/>
        </w:rPr>
        <w:t>76 Jikji-daero 436beon-gil, Heungdeok-gu,</w:t>
      </w:r>
    </w:p>
    <w:p>
      <w:pPr>
        <w:spacing w:after="0" w:line="21" w:lineRule="exact"/>
        <w:rPr>
          <w:sz w:val="20"/>
          <w:szCs w:val="20"/>
          <w:color w:val="auto"/>
        </w:rPr>
      </w:pPr>
    </w:p>
    <w:p>
      <w:pPr>
        <w:ind w:left="4004"/>
        <w:spacing w:after="0"/>
        <w:rPr>
          <w:sz w:val="20"/>
          <w:szCs w:val="20"/>
          <w:color w:val="auto"/>
        </w:rPr>
      </w:pPr>
      <w:r>
        <w:rPr>
          <w:rFonts w:ascii="Times New Roman" w:cs="Times New Roman" w:eastAsia="Times New Roman" w:hAnsi="Times New Roman"/>
          <w:sz w:val="18"/>
          <w:szCs w:val="18"/>
          <w:color w:val="auto"/>
        </w:rPr>
        <w:t>Cheongju-si, Chungcheongbuk-do</w:t>
      </w:r>
    </w:p>
    <w:p>
      <w:pPr>
        <w:sectPr>
          <w:pgSz w:w="11900" w:h="16838" w:orient="portrait"/>
          <w:cols w:equalWidth="0" w:num="1">
            <w:col w:w="11024"/>
          </w:cols>
          <w:pgMar w:left="436" w:top="268" w:right="439" w:bottom="1440" w:gutter="0" w:footer="0" w:header="0"/>
          <w:type w:val="continuous"/>
        </w:sectPr>
      </w:pPr>
    </w:p>
    <w:p>
      <w:pPr>
        <w:spacing w:after="0" w:line="9" w:lineRule="exact"/>
        <w:rPr>
          <w:sz w:val="20"/>
          <w:szCs w:val="20"/>
          <w:color w:val="auto"/>
        </w:rPr>
      </w:pPr>
    </w:p>
    <w:p>
      <w:pPr>
        <w:ind w:left="4004"/>
        <w:spacing w:after="0"/>
        <w:rPr>
          <w:sz w:val="20"/>
          <w:szCs w:val="20"/>
          <w:color w:val="auto"/>
        </w:rPr>
      </w:pPr>
      <w:r>
        <w:rPr>
          <w:rFonts w:ascii="Times New Roman" w:cs="Times New Roman" w:eastAsia="Times New Roman" w:hAnsi="Times New Roman"/>
          <w:sz w:val="17"/>
          <w:szCs w:val="17"/>
          <w:color w:val="auto"/>
        </w:rPr>
        <w:t>Representative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Joint Guarantor</w:t>
      </w:r>
    </w:p>
    <w:p>
      <w:pPr>
        <w:spacing w:after="0" w:line="21" w:lineRule="exact"/>
        <w:rPr>
          <w:sz w:val="20"/>
          <w:szCs w:val="20"/>
          <w:color w:val="auto"/>
        </w:rPr>
      </w:pPr>
    </w:p>
    <w:p>
      <w:pPr>
        <w:sectPr>
          <w:pgSz w:w="11900" w:h="16838" w:orient="portrait"/>
          <w:cols w:equalWidth="0" w:num="2">
            <w:col w:w="6944" w:space="720"/>
            <w:col w:w="3360"/>
          </w:cols>
          <w:pgMar w:left="436" w:top="268" w:right="439" w:bottom="1440" w:gutter="0" w:footer="0" w:header="0"/>
          <w:type w:val="continuous"/>
        </w:sectPr>
      </w:pPr>
    </w:p>
    <w:p>
      <w:pPr>
        <w:ind w:left="4004"/>
        <w:spacing w:after="0"/>
        <w:rPr>
          <w:sz w:val="20"/>
          <w:szCs w:val="20"/>
          <w:color w:val="auto"/>
        </w:rPr>
      </w:pPr>
      <w:r>
        <w:rPr>
          <w:rFonts w:ascii="Times New Roman" w:cs="Times New Roman" w:eastAsia="Times New Roman" w:hAnsi="Times New Roman"/>
          <w:sz w:val="18"/>
          <w:szCs w:val="18"/>
          <w:i w:val="1"/>
          <w:iCs w:val="1"/>
          <w:color w:val="auto"/>
        </w:rPr>
        <w:t>/s/ Young-Joon Kim</w:t>
      </w:r>
    </w:p>
    <w:p>
      <w:pPr>
        <w:spacing w:after="0" w:line="9" w:lineRule="exact"/>
        <w:rPr>
          <w:sz w:val="20"/>
          <w:szCs w:val="20"/>
          <w:color w:val="auto"/>
        </w:rPr>
      </w:pPr>
    </w:p>
    <w:p>
      <w:pPr>
        <w:ind w:left="400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seal stamped</w:t>
      </w:r>
      <w:r>
        <w:rPr>
          <w:rFonts w:ascii="Times New Roman" w:cs="Times New Roman" w:eastAsia="Times New Roman" w:hAnsi="Times New Roman"/>
          <w:sz w:val="17"/>
          <w:szCs w:val="17"/>
          <w:color w:val="auto"/>
        </w:rPr>
        <w:t>]</w:t>
      </w:r>
    </w:p>
    <w:p>
      <w:pPr>
        <w:sectPr>
          <w:pgSz w:w="11900" w:h="16838" w:orient="portrait"/>
          <w:cols w:equalWidth="0" w:num="1">
            <w:col w:w="11024"/>
          </w:cols>
          <w:pgMar w:left="436" w:top="268" w:right="4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Korea Development Bank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Terms and Conditions for Credit Transactions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Corporate Borrower)</w:t>
      </w:r>
    </w:p>
    <w:p>
      <w:pPr>
        <w:spacing w:after="0" w:line="225"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These General Terms and Conditions for Credit Transactions (the “</w:t>
      </w:r>
      <w:r>
        <w:rPr>
          <w:rFonts w:ascii="Times New Roman" w:cs="Times New Roman" w:eastAsia="Times New Roman" w:hAnsi="Times New Roman"/>
          <w:sz w:val="18"/>
          <w:szCs w:val="18"/>
          <w:b w:val="1"/>
          <w:bCs w:val="1"/>
          <w:color w:val="auto"/>
        </w:rPr>
        <w:t>General Terms and Conditions</w:t>
      </w:r>
      <w:r>
        <w:rPr>
          <w:rFonts w:ascii="Times New Roman" w:cs="Times New Roman" w:eastAsia="Times New Roman" w:hAnsi="Times New Roman"/>
          <w:sz w:val="18"/>
          <w:szCs w:val="18"/>
          <w:color w:val="auto"/>
        </w:rPr>
        <w:t>”) are established to facilitate the prompt and fair credit transactions between the Korea Development Bank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 the customer (the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based on mutual trust. The Bank shall post this General Terms and Conditions at all offices of the Bank and on the electronic financial media, and the Obligor may access the General Terms and Conditions and request to deliver a copy thereof.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Scope of Application</w:t>
      </w:r>
    </w:p>
    <w:p>
      <w:pPr>
        <w:spacing w:after="0" w:line="135" w:lineRule="exact"/>
        <w:rPr>
          <w:sz w:val="20"/>
          <w:szCs w:val="20"/>
          <w:color w:val="auto"/>
        </w:rPr>
      </w:pPr>
    </w:p>
    <w:p>
      <w:pPr>
        <w:ind w:left="960" w:right="200" w:hanging="532"/>
        <w:spacing w:after="0" w:line="261"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Terms and Conditions shall apply to all credit transactions arising between the Bank and the Obligor (which is the person or entity owing obligations to the Bank including a borrower, a discount applicant and a payment guarantee applicant; hereinafter the same shall apply) that includes without limitation to loans, subscription of public and corporate bonds, payment guarantees, lending of instruments and securities, foreign exchange-related transactions, etc.</w:t>
      </w:r>
    </w:p>
    <w:p>
      <w:pPr>
        <w:spacing w:after="0" w:line="85"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Bank has, through credit transactions with any third party, acquired bills (including checks, hereinafter the same) drawn, endorsed, accepted, accepted for honor or guaranteed by the Obligor, the General Terms and Conditions shall apply to the Obligor’s performance of the obligations evidenced by such bills; provided however, Articles 2, 3, 5, 7, 12(1) and 15(1) shall not apply.</w:t>
      </w:r>
    </w:p>
    <w:p>
      <w:pPr>
        <w:spacing w:after="0" w:line="81" w:lineRule="exact"/>
        <w:rPr>
          <w:rFonts w:ascii="Times New Roman" w:cs="Times New Roman" w:eastAsia="Times New Roman" w:hAnsi="Times New Roman"/>
          <w:sz w:val="18"/>
          <w:szCs w:val="18"/>
          <w:color w:val="auto"/>
        </w:rPr>
      </w:pPr>
    </w:p>
    <w:p>
      <w:pPr>
        <w:ind w:left="960" w:right="120" w:hanging="532"/>
        <w:spacing w:after="0" w:line="266" w:lineRule="auto"/>
        <w:tabs>
          <w:tab w:leader="none" w:pos="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Terms and Conditions shall apply to all transactions and performance of obligations between the head office or branches of the Bank and the head office or branches of the Obligor to the extent that the transaction or the performance of obligations falls within the scope of Paragraph (1) or (2)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Obligations on Bills and Credits</w:t>
      </w:r>
    </w:p>
    <w:p>
      <w:pPr>
        <w:spacing w:after="0" w:line="121" w:lineRule="exact"/>
        <w:rPr>
          <w:sz w:val="20"/>
          <w:szCs w:val="20"/>
          <w:color w:val="auto"/>
        </w:rPr>
      </w:pPr>
    </w:p>
    <w:p>
      <w:pPr>
        <w:ind w:left="440" w:right="160"/>
        <w:spacing w:after="0" w:line="266" w:lineRule="auto"/>
        <w:rPr>
          <w:sz w:val="20"/>
          <w:szCs w:val="20"/>
          <w:color w:val="auto"/>
        </w:rPr>
      </w:pPr>
      <w:r>
        <w:rPr>
          <w:rFonts w:ascii="Times New Roman" w:cs="Times New Roman" w:eastAsia="Times New Roman" w:hAnsi="Times New Roman"/>
          <w:sz w:val="18"/>
          <w:szCs w:val="18"/>
          <w:color w:val="auto"/>
        </w:rPr>
        <w:t>In the event the Obligor receives credit from the bills drawn, endorsed, accepted, accepted for honor or guaranteed by the Obligor, the Bank may demand from the Obligor the performance of the Obligor’s obligations by exercising the Bank’s rights either under such bills or under such underlying credits.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Interest and Default Interest</w:t>
      </w:r>
    </w:p>
    <w:p>
      <w:pPr>
        <w:spacing w:after="0" w:line="135" w:lineRule="exact"/>
        <w:rPr>
          <w:sz w:val="20"/>
          <w:szCs w:val="20"/>
          <w:color w:val="auto"/>
        </w:rPr>
      </w:pPr>
    </w:p>
    <w:p>
      <w:pPr>
        <w:ind w:left="960" w:right="60" w:hanging="532"/>
        <w:spacing w:after="0" w:line="261" w:lineRule="auto"/>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calculation method or the time and manner of payment, respectively, of the interest, discount charge, guarantee fee or commission (“</w:t>
      </w:r>
      <w:r>
        <w:rPr>
          <w:rFonts w:ascii="Times New Roman" w:cs="Times New Roman" w:eastAsia="Times New Roman" w:hAnsi="Times New Roman"/>
          <w:sz w:val="18"/>
          <w:szCs w:val="18"/>
          <w:b w:val="1"/>
          <w:bCs w:val="1"/>
          <w:color w:val="auto"/>
        </w:rPr>
        <w:t>Interest and other fees</w:t>
      </w:r>
      <w:r>
        <w:rPr>
          <w:rFonts w:ascii="Times New Roman" w:cs="Times New Roman" w:eastAsia="Times New Roman" w:hAnsi="Times New Roman"/>
          <w:sz w:val="18"/>
          <w:szCs w:val="18"/>
          <w:color w:val="auto"/>
        </w:rPr>
        <w:t>”) shall be determined by the Bank to the extent permitted by applicable laws and regulations, and the Bank shall make available through product description and the Bank’s website for the Obligor to check the Interest and other fees prior to entering into relevant agreements.</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rate of the Interest and other fees, the Obligor may select one of the following at the time of the agreement: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not, in principle, change the rate until the Obligor’s obligations are fully performed; or</w:t>
      </w:r>
    </w:p>
    <w:p>
      <w:pPr>
        <w:sectPr>
          <w:pgSz w:w="11900" w:h="16838" w:orient="portrait"/>
          <w:cols w:equalWidth="0" w:num="1">
            <w:col w:w="11020"/>
          </w:cols>
          <w:pgMar w:left="440" w:top="268" w:right="4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1420" w:hanging="439"/>
        <w:spacing w:after="0"/>
        <w:tabs>
          <w:tab w:leader="none" w:pos="14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change the rate from time to time until the Obligor’s obligations are fully performed.</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1" w:lineRule="auto"/>
        <w:tabs>
          <w:tab w:leader="none" w:pos="9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Obligor selects Paragraph (2) 1. above and there is a material change in circumstances due to sudden changes in the national economy or financial situation, which could not be expected at the time of execution of the agreement, before the obligations are fully performed, then the Bank may increase or decrease the rates of the Interest and other fees by providing notice to the Obligor. In the event the cause for such change ceases to exist, the Bank shall change the rate of the Interest and other fees to conform to such circumstance.</w:t>
      </w:r>
    </w:p>
    <w:p>
      <w:pPr>
        <w:spacing w:after="0" w:line="69" w:lineRule="exact"/>
        <w:rPr>
          <w:rFonts w:ascii="Times New Roman" w:cs="Times New Roman" w:eastAsia="Times New Roman" w:hAnsi="Times New Roman"/>
          <w:sz w:val="17"/>
          <w:szCs w:val="17"/>
          <w:color w:val="auto"/>
        </w:rPr>
      </w:pPr>
    </w:p>
    <w:p>
      <w:pPr>
        <w:ind w:left="960" w:right="100" w:hanging="532"/>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 selects Paragraph (2) 2. above, the Bank shall increase or decrease the rates of Interest and other fees in accordance with the financial practices to a reasonable extent.</w:t>
      </w:r>
    </w:p>
    <w:p>
      <w:pPr>
        <w:spacing w:after="0" w:line="67"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not paid by the Obligor to the Bank when due and payable shall bear interest at the default rate determined by the Bank to the extent permitted under the applicable laws and regulations, calculated on a daily basis on 365 days in a year (366 days in a leap year); provided that, the Bank may change the rates to the extent permitted under the applicable laws and regulations in the event of change in financial condition or any other comparable causes.</w:t>
      </w:r>
    </w:p>
    <w:p>
      <w:pPr>
        <w:spacing w:after="0" w:line="85"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needs to change the calculation method or time and manner of payment of the Interest and other fees and the default interest due to changes in the financial circumstances or any other circumstances affecting credit transactions, such change may be made by the Bank to the extent permitted under the applicable laws and regulations, and shall apply from the date of the first interest payment after such change.</w:t>
      </w:r>
    </w:p>
    <w:p>
      <w:pPr>
        <w:spacing w:after="0" w:line="85"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is made pursuant to Paragraph (4), (5) or (6) above, the Bank shall post a notice of change at each office of the Bank and on electronic financial media as designated by the Bank for one (1) month from the effective date of such change; provided, that, if the change applies to certain Obligors, the change shall be notified to such Obligors separately.</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 incurs unexpected disadvantage pursuant to Paragraph (3) or (6) above, the Obligor may terminate the agreement within one</w:t>
      </w:r>
    </w:p>
    <w:p>
      <w:pPr>
        <w:spacing w:after="0" w:line="27" w:lineRule="exact"/>
        <w:rPr>
          <w:rFonts w:ascii="Times New Roman" w:cs="Times New Roman" w:eastAsia="Times New Roman" w:hAnsi="Times New Roman"/>
          <w:sz w:val="18"/>
          <w:szCs w:val="18"/>
          <w:color w:val="auto"/>
        </w:rPr>
      </w:pPr>
    </w:p>
    <w:p>
      <w:pPr>
        <w:ind w:left="9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month from the date of the first interest payment after such change. In this case, the interest shall accrue at the rate effective prior to the change until the date of termination, and any amount not paid by the Obligor to the Bank when due and payable as a result of such termination shall bear interest at the default interest rate that was effective prior to such change.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Costs and Expenses</w:t>
      </w:r>
    </w:p>
    <w:p>
      <w:pPr>
        <w:spacing w:after="0" w:line="135" w:lineRule="exact"/>
        <w:rPr>
          <w:sz w:val="20"/>
          <w:szCs w:val="20"/>
          <w:color w:val="auto"/>
        </w:rPr>
      </w:pPr>
    </w:p>
    <w:p>
      <w:pPr>
        <w:ind w:left="960" w:right="760" w:hanging="532"/>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bear the costs and expenses set forth in the following as a result of default or non-performance of the Obligor’s obligation:</w:t>
      </w:r>
    </w:p>
    <w:p>
      <w:pPr>
        <w:spacing w:after="0" w:line="67" w:lineRule="exact"/>
        <w:rPr>
          <w:rFonts w:ascii="Times New Roman" w:cs="Times New Roman" w:eastAsia="Times New Roman" w:hAnsi="Times New Roman"/>
          <w:sz w:val="18"/>
          <w:szCs w:val="18"/>
          <w:color w:val="auto"/>
        </w:rPr>
      </w:pPr>
    </w:p>
    <w:p>
      <w:pPr>
        <w:ind w:left="1420" w:right="320" w:hanging="439"/>
        <w:spacing w:after="0" w:line="266" w:lineRule="auto"/>
        <w:tabs>
          <w:tab w:leader="none" w:pos="14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incurred by the Bank in enforcing or protecting the Bank’s rights including without limitation to claims or security right against the Obligor, guarantor or guarantor in rem [including provisional attachment or provisional injunction (including termination thereof)];</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incurred by the Bank for inspection of any collateral or collection of claims; and</w:t>
      </w:r>
    </w:p>
    <w:p>
      <w:pPr>
        <w:sectPr>
          <w:pgSz w:w="11900" w:h="16838" w:orient="portrait"/>
          <w:cols w:equalWidth="0" w:num="1">
            <w:col w:w="11020"/>
          </w:cols>
          <w:pgMar w:left="440" w:top="268" w:right="4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1424" w:hanging="439"/>
        <w:spacing w:after="0"/>
        <w:tabs>
          <w:tab w:leader="none" w:pos="142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incurred by the Bank for sending notices to demand performance of the Obligor’s obligations.</w:t>
      </w:r>
    </w:p>
    <w:p>
      <w:pPr>
        <w:spacing w:after="0" w:line="130" w:lineRule="exact"/>
        <w:rPr>
          <w:rFonts w:ascii="Times New Roman" w:cs="Times New Roman" w:eastAsia="Times New Roman" w:hAnsi="Times New Roman"/>
          <w:sz w:val="18"/>
          <w:szCs w:val="18"/>
          <w:color w:val="auto"/>
        </w:rPr>
      </w:pPr>
    </w:p>
    <w:p>
      <w:pPr>
        <w:jc w:val="both"/>
        <w:ind w:left="964" w:right="80" w:hanging="532"/>
        <w:spacing w:after="0" w:line="258"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Bank pays on the Obligor’s behalf any cost and expenses set forth in Paragraph (1) above not paid by the Obligor, the Obligor shall immediately reimburse the Bank for such payment. Any of such payment not paid immediately shall bear the agreed interest of which the maximum rate is 6% per annum as stipulated in Article 54 of the Korean Commercial Code, calculated on a daily basis based on 365 days in a year (366 days in leap year) for the period from the date of the payment by the Bank to the date of full reimbursement by the Obligor.</w:t>
      </w:r>
    </w:p>
    <w:p>
      <w:pPr>
        <w:spacing w:after="0" w:line="88" w:lineRule="exact"/>
        <w:rPr>
          <w:rFonts w:ascii="Times New Roman" w:cs="Times New Roman" w:eastAsia="Times New Roman" w:hAnsi="Times New Roman"/>
          <w:sz w:val="18"/>
          <w:szCs w:val="18"/>
          <w:color w:val="auto"/>
        </w:rPr>
      </w:pPr>
    </w:p>
    <w:p>
      <w:pPr>
        <w:ind w:left="964" w:right="220" w:hanging="532"/>
        <w:spacing w:after="0" w:line="266"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executing any loan agreement, the Bank shall inform the Obligor in writing in advance of the type and amount of incidental costs and expenses required for extending loans, in addition to the agreed interest and prepayment fees. Further, the Bank shall calculate and inform the actual interest which adds up to the agreed interest and any other charges of similar nature to be borne by the Obligor.</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4-2 Withdrawal of Offer</w:t>
      </w:r>
    </w:p>
    <w:p>
      <w:pPr>
        <w:spacing w:after="0" w:line="117" w:lineRule="exact"/>
        <w:rPr>
          <w:sz w:val="20"/>
          <w:szCs w:val="20"/>
          <w:color w:val="auto"/>
        </w:rPr>
      </w:pPr>
    </w:p>
    <w:p>
      <w:pPr>
        <w:ind w:left="4" w:right="500" w:hanging="4"/>
        <w:spacing w:after="0" w:line="286" w:lineRule="auto"/>
        <w:tabs>
          <w:tab w:leader="none" w:pos="180" w:val="left"/>
        </w:tabs>
        <w:numPr>
          <w:ilvl w:val="0"/>
          <w:numId w:val="90"/>
        </w:numPr>
        <w:rPr>
          <w:rFonts w:ascii="Arial" w:cs="Arial" w:eastAsia="Arial" w:hAnsi="Arial"/>
          <w:sz w:val="13"/>
          <w:szCs w:val="13"/>
          <w:b w:val="1"/>
          <w:bCs w:val="1"/>
          <w:color w:val="auto"/>
        </w:rPr>
      </w:pPr>
      <w:r>
        <w:rPr>
          <w:rFonts w:ascii="Times New Roman" w:cs="Times New Roman" w:eastAsia="Times New Roman" w:hAnsi="Times New Roman"/>
          <w:sz w:val="18"/>
          <w:szCs w:val="18"/>
          <w:b w:val="1"/>
          <w:bCs w:val="1"/>
          <w:color w:val="auto"/>
        </w:rPr>
        <w:t>Please note that the underlined portion of this Article is different from the “General Terms and Conditions for Credit Transactions (for Corporate Borrower)” set out by the Korea Fair Trade Commission.</w:t>
      </w:r>
    </w:p>
    <w:p>
      <w:pPr>
        <w:spacing w:after="0" w:line="64" w:lineRule="exact"/>
        <w:rPr>
          <w:rFonts w:ascii="Arial" w:cs="Arial" w:eastAsia="Arial" w:hAnsi="Arial"/>
          <w:sz w:val="13"/>
          <w:szCs w:val="13"/>
          <w:b w:val="1"/>
          <w:bCs w:val="1"/>
          <w:color w:val="auto"/>
        </w:rPr>
      </w:pPr>
    </w:p>
    <w:p>
      <w:pPr>
        <w:ind w:left="964" w:right="780" w:hanging="532"/>
        <w:spacing w:after="0" w:line="282" w:lineRule="auto"/>
        <w:tabs>
          <w:tab w:leader="none" w:pos="96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Obligor may withdraw its offer of the loan contract concluded with the Bank in accordance with Article 46 of the Act on the Protection of Financial Consumers and related regulations.</w:t>
      </w:r>
    </w:p>
    <w:p>
      <w:pPr>
        <w:spacing w:after="0" w:line="67" w:lineRule="exact"/>
        <w:rPr>
          <w:rFonts w:ascii="Times New Roman" w:cs="Times New Roman" w:eastAsia="Times New Roman" w:hAnsi="Times New Roman"/>
          <w:sz w:val="18"/>
          <w:szCs w:val="18"/>
          <w:color w:val="auto"/>
        </w:rPr>
      </w:pPr>
    </w:p>
    <w:p>
      <w:pPr>
        <w:ind w:left="964" w:right="360" w:hanging="532"/>
        <w:spacing w:after="0" w:line="312" w:lineRule="auto"/>
        <w:tabs>
          <w:tab w:leader="none" w:pos="964"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the event that the Obligor, who has withdrawn its offer of the loan contract concluded with the Bank pursuant to Paragraph 1 above, insists on repaying the loan amount in whole, the Bank shall process upon confirming the Obligor’s intention to withdraw its offer.</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4-3 Termination of illegal contract</w:t>
      </w:r>
    </w:p>
    <w:p>
      <w:pPr>
        <w:spacing w:after="0" w:line="117" w:lineRule="exact"/>
        <w:rPr>
          <w:sz w:val="20"/>
          <w:szCs w:val="20"/>
          <w:color w:val="auto"/>
        </w:rPr>
      </w:pPr>
    </w:p>
    <w:p>
      <w:pPr>
        <w:ind w:left="4" w:right="140" w:hanging="4"/>
        <w:spacing w:after="0" w:line="286" w:lineRule="auto"/>
        <w:tabs>
          <w:tab w:leader="none" w:pos="180" w:val="left"/>
        </w:tabs>
        <w:numPr>
          <w:ilvl w:val="0"/>
          <w:numId w:val="91"/>
        </w:numPr>
        <w:rPr>
          <w:rFonts w:ascii="Arial" w:cs="Arial" w:eastAsia="Arial" w:hAnsi="Arial"/>
          <w:sz w:val="13"/>
          <w:szCs w:val="13"/>
          <w:b w:val="1"/>
          <w:bCs w:val="1"/>
          <w:color w:val="auto"/>
        </w:rPr>
      </w:pPr>
      <w:r>
        <w:rPr>
          <w:rFonts w:ascii="Times New Roman" w:cs="Times New Roman" w:eastAsia="Times New Roman" w:hAnsi="Times New Roman"/>
          <w:sz w:val="18"/>
          <w:szCs w:val="18"/>
          <w:b w:val="1"/>
          <w:bCs w:val="1"/>
          <w:color w:val="auto"/>
        </w:rPr>
        <w:t>Please note that this Article is different from the “General Terms and Conditions for Credit Transactions (for Corporate Borrower)” set out by the Korea Fair Trade Commission.</w:t>
      </w:r>
    </w:p>
    <w:p>
      <w:pPr>
        <w:spacing w:after="0" w:line="5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If the Obligor executed a contract with illegality with the Bank, the Obligor may request the termination of the contract in accordance with Article 47 of the Act on the Protection of Financial Consumers and related regulations.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5       Purpose and Use of Fund</w:t>
      </w:r>
    </w:p>
    <w:p>
      <w:pPr>
        <w:spacing w:after="0" w:line="135" w:lineRule="exact"/>
        <w:rPr>
          <w:sz w:val="20"/>
          <w:szCs w:val="20"/>
          <w:color w:val="auto"/>
        </w:rPr>
      </w:pPr>
    </w:p>
    <w:p>
      <w:pPr>
        <w:ind w:left="964" w:right="40" w:hanging="532"/>
        <w:spacing w:after="0" w:line="266"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clearly describe the purpose of the fund in the application for credit. The fund disbursed to the Obligor by the Bank or the securities borrowed by the Obligor from the Bank under the credit transactions shall not be used for any purpose other than the purpose agreed to under the agreement. The same shall apply to payment guarantees and other types of credits extended by the Bank.</w:t>
      </w:r>
    </w:p>
    <w:p>
      <w:pPr>
        <w:spacing w:after="0" w:line="81" w:lineRule="exact"/>
        <w:rPr>
          <w:rFonts w:ascii="Times New Roman" w:cs="Times New Roman" w:eastAsia="Times New Roman" w:hAnsi="Times New Roman"/>
          <w:sz w:val="18"/>
          <w:szCs w:val="18"/>
          <w:color w:val="auto"/>
        </w:rPr>
      </w:pPr>
    </w:p>
    <w:p>
      <w:pPr>
        <w:ind w:left="964" w:right="380" w:hanging="532"/>
        <w:spacing w:after="0" w:line="282" w:lineRule="auto"/>
        <w:tabs>
          <w:tab w:leader="none" w:pos="9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actively cooperate with any and all actions of the Bank in relation to the use and management of the fund, borrowed securities or credit under Paragraph (1) above.</w:t>
      </w:r>
    </w:p>
    <w:p>
      <w:pPr>
        <w:sectPr>
          <w:pgSz w:w="11900" w:h="16838" w:orient="portrait"/>
          <w:cols w:equalWidth="0" w:num="1">
            <w:col w:w="11024"/>
          </w:cols>
          <w:pgMar w:left="436" w:top="268" w:right="4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Security and Insurance</w:t>
      </w:r>
    </w:p>
    <w:p>
      <w:pPr>
        <w:spacing w:after="0" w:line="135" w:lineRule="exact"/>
        <w:rPr>
          <w:sz w:val="20"/>
          <w:szCs w:val="20"/>
          <w:color w:val="auto"/>
        </w:rPr>
      </w:pPr>
    </w:p>
    <w:p>
      <w:pPr>
        <w:ind w:left="960" w:hanging="532"/>
        <w:spacing w:after="0"/>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provide the Bank with security as prescribed by the Bank in connection with the obligations owed to the Bank.</w:t>
      </w:r>
    </w:p>
    <w:p>
      <w:pPr>
        <w:spacing w:after="0" w:line="130" w:lineRule="exact"/>
        <w:rPr>
          <w:rFonts w:ascii="Times New Roman" w:cs="Times New Roman" w:eastAsia="Times New Roman" w:hAnsi="Times New Roman"/>
          <w:sz w:val="18"/>
          <w:szCs w:val="18"/>
          <w:color w:val="auto"/>
        </w:rPr>
      </w:pPr>
    </w:p>
    <w:p>
      <w:pPr>
        <w:jc w:val="both"/>
        <w:ind w:left="960" w:right="160" w:hanging="532"/>
        <w:spacing w:after="0" w:line="261"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Bank demands otherwise, the Obligor shall provide the Bank with the facilities to be installed with the fund, together with the land and the building on or in which the facilities are installed including any and all facilities within the land and the building as security, and shall enter into an insurance agreement with respect to any security as instructed by the Bank and pledge the insurance claim in favor of the Bank.</w:t>
      </w:r>
    </w:p>
    <w:p>
      <w:pPr>
        <w:spacing w:after="0" w:line="85"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deterioration in the Obligor’s or the guarantor’s creditworthiness due to a reason attributable to the Obligor or the guarantor or a significant reduction in the value of any security, the Obligor or the guarantor shall, upon demand by the Bank for the protection of security, effect the restoration or supplementation of such security.</w:t>
      </w:r>
    </w:p>
    <w:p>
      <w:pPr>
        <w:spacing w:after="0" w:line="81" w:lineRule="exact"/>
        <w:rPr>
          <w:rFonts w:ascii="Times New Roman" w:cs="Times New Roman" w:eastAsia="Times New Roman" w:hAnsi="Times New Roman"/>
          <w:sz w:val="18"/>
          <w:szCs w:val="18"/>
          <w:color w:val="auto"/>
        </w:rPr>
      </w:pPr>
    </w:p>
    <w:p>
      <w:pPr>
        <w:ind w:left="960" w:right="20" w:hanging="532"/>
        <w:spacing w:after="0" w:line="254"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security shall, in principle, be disposed of in accordance with the procedures prescribed by the voluntary auction procedure in accordance with the Civil Execution Act (provided, in the case that the Trust Act or other specific laws prescribe for the disposition of such security, then in accordance with the foregoing),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in the case of each of the following sub-paragraphs, the Bank may directly apply the security for the payment of the Obligor’s obligations, or may sell the security and may deduct any expenses incurred from the proceeds and apply the remaining amount to the payment of the Obligor’s obligations to the Bank pursuant to Article 13 hereof. In this case, the Obligor shall agree to promptly repay any outstanding obligations if applicable, and the Bank shall pay to the Obligor, etc. any amount remaining after deducting the amount of the Obligor’s obligations from the assessed value of the security or sale proceeds. “Obligor, etc.” shall mean the Obligor, pledger, the third party acquirer of the security.</w:t>
      </w:r>
    </w:p>
    <w:p>
      <w:pPr>
        <w:spacing w:after="0" w:line="9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 value of the security is insignificant such that an auction shall be impractical;</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there exist circumstances that make it difficult for a fair value to be assessed during an auction;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a fair market value is available such that a fair value can be assessed without recourse to an auction;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a justifiable reason can be seen to exist.</w:t>
      </w:r>
    </w:p>
    <w:p>
      <w:pPr>
        <w:spacing w:after="0" w:line="130" w:lineRule="exact"/>
        <w:rPr>
          <w:rFonts w:ascii="Times New Roman" w:cs="Times New Roman" w:eastAsia="Times New Roman" w:hAnsi="Times New Roman"/>
          <w:sz w:val="18"/>
          <w:szCs w:val="18"/>
          <w:color w:val="auto"/>
        </w:rPr>
      </w:pPr>
    </w:p>
    <w:p>
      <w:pPr>
        <w:ind w:left="960" w:right="100" w:hanging="532"/>
        <w:spacing w:after="0" w:line="256" w:lineRule="auto"/>
        <w:tabs>
          <w:tab w:leader="none" w:pos="9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that reliance is not made on the voluntary auction procedure (or a method of disposition of security prescribed under specific laws and regulations), the Bank shall notify the content of each of the following sub-paragraphs to the Obligor, etc. and persons of interest of which the Bank is aware, and only in the event that the person of interest does not provide a method of disposition resulting in an amount greater than the amount of expected sale proceeds assessed by the Bank during the period that is 1 months from the date of delivery of the above-referenced notice may the disposition be made. Provided, the foregoing shall not be applicable if there is a risk of loss or damage to the security or there is a risk of a rapid decrease in value of the security.</w:t>
      </w:r>
    </w:p>
    <w:p>
      <w:pPr>
        <w:spacing w:after="0" w:line="9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of enforcing security;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the secured obligations;</w:t>
      </w:r>
    </w:p>
    <w:p>
      <w:pPr>
        <w:sectPr>
          <w:pgSz w:w="11900" w:h="16838" w:orient="portrait"/>
          <w:cols w:equalWidth="0" w:num="1">
            <w:col w:w="11020"/>
          </w:cols>
          <w:pgMar w:left="440" w:top="268" w:right="4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1424" w:hanging="439"/>
        <w:spacing w:after="0"/>
        <w:tabs>
          <w:tab w:leader="none" w:pos="14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assessed value of the security or the amount of expected sales proceeds; and</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 for directly applying the security for the payment of the Obligor’s obligations or for selling the security.</w:t>
      </w:r>
    </w:p>
    <w:p>
      <w:pPr>
        <w:spacing w:after="0" w:line="130"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delay in the Obligor’s performance of any obligations owing to the Bank, the Bank may continue to possess, or make collections on or dispose of, pursuant to the Paragraph (4) above, all or part of the Obligor’s personal properties, bills, and other negotiable instruments and securities in the Bank’s possession or management, even if it was not furnished to the Bank as security.</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7      Acceleration of Payment</w:t>
      </w:r>
    </w:p>
    <w:p>
      <w:pPr>
        <w:spacing w:after="0" w:line="117" w:lineRule="exact"/>
        <w:rPr>
          <w:sz w:val="20"/>
          <w:szCs w:val="20"/>
          <w:color w:val="auto"/>
        </w:rPr>
      </w:pPr>
    </w:p>
    <w:p>
      <w:pPr>
        <w:ind w:left="4" w:right="500" w:hanging="4"/>
        <w:spacing w:after="0" w:line="286" w:lineRule="auto"/>
        <w:tabs>
          <w:tab w:leader="none" w:pos="180" w:val="left"/>
        </w:tabs>
        <w:numPr>
          <w:ilvl w:val="0"/>
          <w:numId w:val="96"/>
        </w:numPr>
        <w:rPr>
          <w:rFonts w:ascii="Arial" w:cs="Arial" w:eastAsia="Arial" w:hAnsi="Arial"/>
          <w:sz w:val="13"/>
          <w:szCs w:val="13"/>
          <w:b w:val="1"/>
          <w:bCs w:val="1"/>
          <w:color w:val="auto"/>
        </w:rPr>
      </w:pPr>
      <w:r>
        <w:rPr>
          <w:rFonts w:ascii="Times New Roman" w:cs="Times New Roman" w:eastAsia="Times New Roman" w:hAnsi="Times New Roman"/>
          <w:sz w:val="18"/>
          <w:szCs w:val="18"/>
          <w:b w:val="1"/>
          <w:bCs w:val="1"/>
          <w:color w:val="auto"/>
        </w:rPr>
        <w:t>Please note that the underlined portion of this Article is different from the “General Terms and Conditions for Credit Transactions (for Corporate Borrower)” set out by the Korea Fair Trade Commission.</w:t>
      </w:r>
    </w:p>
    <w:p>
      <w:pPr>
        <w:spacing w:after="0" w:line="64" w:lineRule="exact"/>
        <w:rPr>
          <w:rFonts w:ascii="Arial" w:cs="Arial" w:eastAsia="Arial" w:hAnsi="Arial"/>
          <w:sz w:val="13"/>
          <w:szCs w:val="13"/>
          <w:b w:val="1"/>
          <w:bCs w:val="1"/>
          <w:color w:val="auto"/>
        </w:rPr>
      </w:pPr>
    </w:p>
    <w:p>
      <w:pPr>
        <w:ind w:left="964" w:right="100" w:hanging="532"/>
        <w:spacing w:after="0" w:line="261" w:lineRule="auto"/>
        <w:tabs>
          <w:tab w:leader="none" w:pos="9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occurrence of any of the events set forth below, all obligations which the Obligor owes to the Bank shall immediately become due and payable without notice or demand from the Bank, and the Obligor shall immediately pay (or perform) such obligations (including without limitation the obligation to make advance reimbursements for a payment guarantee, and the obligation to return and to release any registered security interests on the instruments and securities on loan by the Bank to the Obligor; hereinafter the same shall apply):</w:t>
      </w:r>
    </w:p>
    <w:p>
      <w:pPr>
        <w:spacing w:after="0" w:line="85" w:lineRule="exact"/>
        <w:rPr>
          <w:rFonts w:ascii="Times New Roman" w:cs="Times New Roman" w:eastAsia="Times New Roman" w:hAnsi="Times New Roman"/>
          <w:sz w:val="18"/>
          <w:szCs w:val="18"/>
          <w:color w:val="auto"/>
        </w:rPr>
      </w:pPr>
    </w:p>
    <w:p>
      <w:pPr>
        <w:ind w:left="1424" w:right="100" w:hanging="439"/>
        <w:spacing w:after="0" w:line="261" w:lineRule="auto"/>
        <w:tabs>
          <w:tab w:leader="none" w:pos="142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 order or notice of attachment, provisional attachment, or attachment for delinquent taxes or public imposts is issued with respect to any of the Obligor’s deposit with or other claims against the Bank (“</w:t>
      </w:r>
      <w:r>
        <w:rPr>
          <w:rFonts w:ascii="Times New Roman" w:cs="Times New Roman" w:eastAsia="Times New Roman" w:hAnsi="Times New Roman"/>
          <w:sz w:val="18"/>
          <w:szCs w:val="18"/>
          <w:b w:val="1"/>
          <w:bCs w:val="1"/>
          <w:u w:val="single" w:color="auto"/>
          <w:color w:val="auto"/>
        </w:rPr>
        <w:t>Deposits and other claims</w:t>
      </w:r>
      <w:r>
        <w:rPr>
          <w:rFonts w:ascii="Times New Roman" w:cs="Times New Roman" w:eastAsia="Times New Roman" w:hAnsi="Times New Roman"/>
          <w:sz w:val="18"/>
          <w:szCs w:val="18"/>
          <w:u w:val="single" w:color="auto"/>
          <w:color w:val="auto"/>
        </w:rPr>
        <w:t>”); provided however, in case of obligations secured by any collateral, such obligation shall be immediately due and payable for the reason of provisional attachment only if the recovery of claims is notably difficult;</w:t>
      </w:r>
    </w:p>
    <w:p>
      <w:pPr>
        <w:spacing w:after="0" w:line="85" w:lineRule="exact"/>
        <w:rPr>
          <w:rFonts w:ascii="Times New Roman" w:cs="Times New Roman" w:eastAsia="Times New Roman" w:hAnsi="Times New Roman"/>
          <w:sz w:val="18"/>
          <w:szCs w:val="18"/>
          <w:color w:val="auto"/>
        </w:rPr>
      </w:pPr>
    </w:p>
    <w:p>
      <w:pPr>
        <w:ind w:left="1424" w:right="780" w:hanging="439"/>
        <w:spacing w:after="0" w:line="282" w:lineRule="auto"/>
        <w:tabs>
          <w:tab w:leader="none" w:pos="142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 decision to commence a compulsory execution or public auction by exercise of a security right is made or disposition for delinquent taxes or public imposts is commenced with respect to any of the collaterals provided by the Obligor;</w:t>
      </w:r>
    </w:p>
    <w:p>
      <w:pPr>
        <w:spacing w:after="0" w:line="67" w:lineRule="exact"/>
        <w:rPr>
          <w:rFonts w:ascii="Times New Roman" w:cs="Times New Roman" w:eastAsia="Times New Roman" w:hAnsi="Times New Roman"/>
          <w:sz w:val="18"/>
          <w:szCs w:val="18"/>
          <w:color w:val="auto"/>
        </w:rPr>
      </w:pPr>
    </w:p>
    <w:p>
      <w:pPr>
        <w:ind w:left="1424" w:right="300" w:hanging="439"/>
        <w:spacing w:after="0" w:line="282" w:lineRule="auto"/>
        <w:tabs>
          <w:tab w:leader="none" w:pos="142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 application is filed for bankruptcy, rehabilitation or debtor rehabilitation of the Obligor, or an application is filed for listing the Obligor on the registry of delinquent debtors;</w:t>
      </w:r>
    </w:p>
    <w:p>
      <w:pPr>
        <w:spacing w:after="0" w:line="67" w:lineRule="exact"/>
        <w:rPr>
          <w:rFonts w:ascii="Times New Roman" w:cs="Times New Roman" w:eastAsia="Times New Roman" w:hAnsi="Times New Roman"/>
          <w:sz w:val="18"/>
          <w:szCs w:val="18"/>
          <w:color w:val="auto"/>
        </w:rPr>
      </w:pPr>
    </w:p>
    <w:p>
      <w:pPr>
        <w:ind w:left="1424" w:right="80" w:hanging="439"/>
        <w:spacing w:after="0" w:line="282" w:lineRule="auto"/>
        <w:tabs>
          <w:tab w:leader="none" w:pos="142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is received for the collection of taxes or other public imposts prior to the due date thereof or the clearing house suspends the Obligor’s transactions;</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is deemed to fail to make payment due to its suspension of business or its fleeing or otherwise;</w:t>
      </w:r>
    </w:p>
    <w:p>
      <w:pPr>
        <w:spacing w:after="0" w:line="130" w:lineRule="exact"/>
        <w:rPr>
          <w:rFonts w:ascii="Times New Roman" w:cs="Times New Roman" w:eastAsia="Times New Roman" w:hAnsi="Times New Roman"/>
          <w:sz w:val="18"/>
          <w:szCs w:val="18"/>
          <w:color w:val="auto"/>
        </w:rPr>
      </w:pPr>
    </w:p>
    <w:p>
      <w:pPr>
        <w:ind w:left="1424" w:right="680" w:hanging="439"/>
        <w:spacing w:after="0" w:line="282" w:lineRule="auto"/>
        <w:tabs>
          <w:tab w:leader="none" w:pos="142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any of the events described in subparagraph 1 above occurs with respect to the Deposit and other claims of any oligopolistic shareholder or </w:t>
      </w:r>
      <w:r>
        <w:rPr>
          <w:rFonts w:ascii="Times New Roman" w:cs="Times New Roman" w:eastAsia="Times New Roman" w:hAnsi="Times New Roman"/>
          <w:sz w:val="18"/>
          <w:szCs w:val="18"/>
          <w:i w:val="1"/>
          <w:iCs w:val="1"/>
          <w:u w:val="single" w:color="auto"/>
          <w:color w:val="auto"/>
        </w:rPr>
        <w:t>de facto</w:t>
      </w:r>
      <w:r>
        <w:rPr>
          <w:rFonts w:ascii="Times New Roman" w:cs="Times New Roman" w:eastAsia="Times New Roman" w:hAnsi="Times New Roman"/>
          <w:sz w:val="18"/>
          <w:szCs w:val="18"/>
          <w:u w:val="single" w:color="auto"/>
          <w:color w:val="auto"/>
        </w:rPr>
        <w:t xml:space="preserve"> owner of the Obligor who is also a comprehensive keun-guarantor; or</w:t>
      </w:r>
    </w:p>
    <w:p>
      <w:pPr>
        <w:spacing w:after="0" w:line="67"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obligation is accelerated by any applicable law or regulation.</w:t>
      </w:r>
    </w:p>
    <w:p>
      <w:pPr>
        <w:spacing w:after="0" w:line="130" w:lineRule="exact"/>
        <w:rPr>
          <w:rFonts w:ascii="Times New Roman" w:cs="Times New Roman" w:eastAsia="Times New Roman" w:hAnsi="Times New Roman"/>
          <w:sz w:val="18"/>
          <w:szCs w:val="18"/>
          <w:color w:val="auto"/>
        </w:rPr>
      </w:pPr>
    </w:p>
    <w:p>
      <w:pPr>
        <w:ind w:left="964" w:right="340" w:hanging="532"/>
        <w:spacing w:after="0" w:line="282" w:lineRule="auto"/>
        <w:tabs>
          <w:tab w:leader="none" w:pos="96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the occurrence of any of the events set forth below and as a result the preservation of the Bank’s rights are notably and adversely affected, the Bank may, in its sole discretion upon providing notice</w:t>
      </w:r>
    </w:p>
    <w:p>
      <w:pPr>
        <w:sectPr>
          <w:pgSz w:w="11900" w:h="16838" w:orient="portrait"/>
          <w:cols w:equalWidth="0" w:num="1">
            <w:col w:w="11024"/>
          </w:cols>
          <w:pgMar w:left="436" w:top="268" w:right="439" w:bottom="1440" w:gutter="0" w:footer="0" w:header="0"/>
        </w:sectPr>
      </w:pPr>
    </w:p>
    <w:bookmarkStart w:id="148" w:name="page149"/>
    <w:bookmarkEnd w:id="148"/>
    <w:p>
      <w:pPr>
        <w:ind w:left="9012"/>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jc w:val="both"/>
        <w:ind w:left="552" w:right="180"/>
        <w:spacing w:after="0" w:line="261" w:lineRule="auto"/>
        <w:rPr>
          <w:sz w:val="20"/>
          <w:szCs w:val="20"/>
          <w:color w:val="auto"/>
        </w:rPr>
      </w:pPr>
      <w:r>
        <w:rPr>
          <w:rFonts w:ascii="Times New Roman" w:cs="Times New Roman" w:eastAsia="Times New Roman" w:hAnsi="Times New Roman"/>
          <w:sz w:val="18"/>
          <w:szCs w:val="18"/>
          <w:u w:val="single" w:color="auto"/>
          <w:color w:val="auto"/>
        </w:rPr>
        <w:t xml:space="preserve">to the Obligor, demand the Obligor to repay the obligations, to cancel attachment, etc. and to restore creditworthiness, and all obligations that the Obligor owes to the Bank will immediately become due and payable on the date when the grace period (which should be at least ten (10) days) designated in a written notice or demand given by the Bank has elapsed after the receipt of such notice or demand, and the </w:t>
      </w:r>
      <w:r>
        <w:rPr>
          <w:rFonts w:ascii="Times New Roman" w:cs="Times New Roman" w:eastAsia="Times New Roman" w:hAnsi="Times New Roman"/>
          <w:sz w:val="18"/>
          <w:szCs w:val="18"/>
          <w:color w:val="auto"/>
        </w:rPr>
        <w:t>Obligor shall immediately pay (or perform)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-36830</wp:posOffset>
            </wp:positionV>
            <wp:extent cx="28524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2852420" cy="8255"/>
                    </a:xfrm>
                    <a:prstGeom prst="rect">
                      <a:avLst/>
                    </a:prstGeom>
                    <a:noFill/>
                  </pic:spPr>
                </pic:pic>
              </a:graphicData>
            </a:graphic>
          </wp:anchor>
        </w:drawing>
      </w:r>
    </w:p>
    <w:p>
      <w:pPr>
        <w:spacing w:after="0" w:line="65" w:lineRule="exact"/>
        <w:rPr>
          <w:sz w:val="20"/>
          <w:szCs w:val="20"/>
          <w:color w:val="auto"/>
        </w:rPr>
      </w:pPr>
    </w:p>
    <w:p>
      <w:pPr>
        <w:ind w:left="992" w:right="180" w:hanging="439"/>
        <w:spacing w:after="0" w:line="282"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Obligor fails to pay any of its obligations owed to the Bank on the due date or fails to pay the obligations which are accelerated pursuant to Paragraph (3) of this Article;</w:t>
      </w:r>
    </w:p>
    <w:p>
      <w:pPr>
        <w:spacing w:after="0" w:line="67" w:lineRule="exact"/>
        <w:rPr>
          <w:rFonts w:ascii="Times New Roman" w:cs="Times New Roman" w:eastAsia="Times New Roman" w:hAnsi="Times New Roman"/>
          <w:sz w:val="18"/>
          <w:szCs w:val="18"/>
          <w:color w:val="auto"/>
        </w:rPr>
      </w:pPr>
    </w:p>
    <w:p>
      <w:pPr>
        <w:ind w:left="992" w:right="40" w:hanging="439"/>
        <w:spacing w:after="0" w:line="282"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it becomes difficult for the Bank to maintain a client relationship with the Obligor due to the breach by the Obligor of any provisions </w:t>
      </w:r>
      <w:r>
        <w:rPr>
          <w:rFonts w:ascii="Times New Roman" w:cs="Times New Roman" w:eastAsia="Times New Roman" w:hAnsi="Times New Roman"/>
          <w:sz w:val="18"/>
          <w:szCs w:val="18"/>
          <w:color w:val="auto"/>
        </w:rPr>
        <w:t>in Article 5, 9 or 19 hereof;</w:t>
      </w:r>
    </w:p>
    <w:p>
      <w:pPr>
        <w:spacing w:after="0" w:line="67" w:lineRule="exact"/>
        <w:rPr>
          <w:rFonts w:ascii="Times New Roman" w:cs="Times New Roman" w:eastAsia="Times New Roman" w:hAnsi="Times New Roman"/>
          <w:sz w:val="18"/>
          <w:szCs w:val="18"/>
          <w:color w:val="auto"/>
        </w:rPr>
      </w:pPr>
    </w:p>
    <w:p>
      <w:pPr>
        <w:ind w:left="992" w:right="100" w:hanging="439"/>
        <w:spacing w:after="0" w:line="266"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 decision to commence a compulsory execution or public auction by exercise of security right is made or disposition for delinquent taxes or public imposts is commenced with respect to the property other than the property set forth in Paragraph (1)1 or (1)2 of this Article;</w:t>
      </w:r>
    </w:p>
    <w:p>
      <w:pPr>
        <w:spacing w:after="0" w:line="81" w:lineRule="exact"/>
        <w:rPr>
          <w:rFonts w:ascii="Times New Roman" w:cs="Times New Roman" w:eastAsia="Times New Roman" w:hAnsi="Times New Roman"/>
          <w:sz w:val="18"/>
          <w:szCs w:val="18"/>
          <w:color w:val="auto"/>
        </w:rPr>
      </w:pPr>
    </w:p>
    <w:p>
      <w:pPr>
        <w:jc w:val="both"/>
        <w:ind w:left="992" w:right="540" w:hanging="439"/>
        <w:spacing w:after="0" w:line="266"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 order of provisional attachment is made with respect to the property other than the property set forth Paragraph (1)1 of this Article, and the recovery of claims becomes notably challenging due to substantial deterioration of the creditworthiness of the Obligor;</w:t>
      </w:r>
    </w:p>
    <w:p>
      <w:pPr>
        <w:spacing w:after="0" w:line="81" w:lineRule="exact"/>
        <w:rPr>
          <w:rFonts w:ascii="Times New Roman" w:cs="Times New Roman" w:eastAsia="Times New Roman" w:hAnsi="Times New Roman"/>
          <w:sz w:val="18"/>
          <w:szCs w:val="18"/>
          <w:color w:val="auto"/>
        </w:rPr>
      </w:pPr>
    </w:p>
    <w:p>
      <w:pPr>
        <w:ind w:left="992" w:right="340" w:hanging="439"/>
        <w:spacing w:after="0" w:line="282"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is determined that the Obligor obtained any loan by illegal and/or fraudulent methods including but not limited to intentionally submitting documents that are forged or altered to the Bank in violation of financial order;</w:t>
      </w:r>
    </w:p>
    <w:p>
      <w:pPr>
        <w:spacing w:after="0" w:line="67" w:lineRule="exact"/>
        <w:rPr>
          <w:rFonts w:ascii="Times New Roman" w:cs="Times New Roman" w:eastAsia="Times New Roman" w:hAnsi="Times New Roman"/>
          <w:sz w:val="18"/>
          <w:szCs w:val="18"/>
          <w:color w:val="auto"/>
        </w:rPr>
      </w:pPr>
    </w:p>
    <w:p>
      <w:pPr>
        <w:ind w:left="992" w:right="260" w:hanging="439"/>
        <w:spacing w:after="0" w:line="282"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project or business related to the Bank’s loan is delayed or suspended for a considerable period without prior consent from the Bank;</w:t>
      </w:r>
    </w:p>
    <w:p>
      <w:pPr>
        <w:spacing w:after="0" w:line="67" w:lineRule="exact"/>
        <w:rPr>
          <w:rFonts w:ascii="Times New Roman" w:cs="Times New Roman" w:eastAsia="Times New Roman" w:hAnsi="Times New Roman"/>
          <w:sz w:val="18"/>
          <w:szCs w:val="18"/>
          <w:color w:val="auto"/>
        </w:rPr>
      </w:pPr>
    </w:p>
    <w:p>
      <w:pPr>
        <w:ind w:left="992" w:right="360" w:hanging="439"/>
        <w:spacing w:after="0" w:line="282"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Obligor receives financial sanctions from governmental authorities or other entities due to violation of the applicable laws or regulations;</w:t>
      </w:r>
    </w:p>
    <w:p>
      <w:pPr>
        <w:spacing w:after="0" w:line="67" w:lineRule="exact"/>
        <w:rPr>
          <w:rFonts w:ascii="Times New Roman" w:cs="Times New Roman" w:eastAsia="Times New Roman" w:hAnsi="Times New Roman"/>
          <w:sz w:val="18"/>
          <w:szCs w:val="18"/>
          <w:color w:val="auto"/>
        </w:rPr>
      </w:pPr>
    </w:p>
    <w:p>
      <w:pPr>
        <w:jc w:val="both"/>
        <w:ind w:left="992" w:right="320" w:hanging="439"/>
        <w:spacing w:after="0" w:line="266"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of the Obligor decreases substantially as a result of the commencement of liquidation procedures against the Obligor, merger with another company having a deficit, lockout or suspension of business due to labor disputes, bankruptcy of a related company or occurrence of any legal disputes which may affect the management of the Obligor, or otherwise;</w:t>
      </w:r>
    </w:p>
    <w:p>
      <w:pPr>
        <w:spacing w:after="0" w:line="81" w:lineRule="exact"/>
        <w:rPr>
          <w:rFonts w:ascii="Times New Roman" w:cs="Times New Roman" w:eastAsia="Times New Roman" w:hAnsi="Times New Roman"/>
          <w:sz w:val="18"/>
          <w:szCs w:val="18"/>
          <w:color w:val="auto"/>
        </w:rPr>
      </w:pPr>
    </w:p>
    <w:p>
      <w:pPr>
        <w:ind w:left="992" w:right="140" w:hanging="439"/>
        <w:spacing w:after="0" w:line="282" w:lineRule="auto"/>
        <w:tabs>
          <w:tab w:leader="none" w:pos="992"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Obligor’s credit information is registered as information on default, subrogation or substitute payment, dishonor, related parties, disruption of financial order or public records under the Credit Information Management Rules.</w:t>
      </w:r>
    </w:p>
    <w:p>
      <w:pPr>
        <w:spacing w:after="0" w:line="67" w:lineRule="exact"/>
        <w:rPr>
          <w:rFonts w:ascii="Times New Roman" w:cs="Times New Roman" w:eastAsia="Times New Roman" w:hAnsi="Times New Roman"/>
          <w:sz w:val="18"/>
          <w:szCs w:val="18"/>
          <w:color w:val="auto"/>
        </w:rPr>
      </w:pPr>
    </w:p>
    <w:p>
      <w:pPr>
        <w:ind w:left="532" w:right="20" w:hanging="532"/>
        <w:spacing w:after="0" w:line="258" w:lineRule="auto"/>
        <w:tabs>
          <w:tab w:leader="none" w:pos="53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Upon the occurrence of any of the events set forth below, the Bank may, in its sole discretion upon providing notice to the Obligor, demand the Obligor to repay the obligations, to cancel attachment, etc. and to restore creditworthiness, and all obligations that the Obligor owes to the Bank immediately become due and payable on the date when the grace period (which should be at least ten (10) days) designated in a written notice or demand given by the Bank has elapsed after the receipt of such notice or demand, and the Obligor shall immediately pay (or perform) such obligations:</w:t>
      </w:r>
    </w:p>
    <w:p>
      <w:pPr>
        <w:spacing w:after="0" w:line="88" w:lineRule="exact"/>
        <w:rPr>
          <w:rFonts w:ascii="Times New Roman" w:cs="Times New Roman" w:eastAsia="Times New Roman" w:hAnsi="Times New Roman"/>
          <w:sz w:val="18"/>
          <w:szCs w:val="18"/>
          <w:color w:val="auto"/>
        </w:rPr>
      </w:pPr>
    </w:p>
    <w:p>
      <w:pPr>
        <w:ind w:left="992" w:hanging="439"/>
        <w:spacing w:after="0"/>
        <w:tabs>
          <w:tab w:leader="none" w:pos="992"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violates any provisions in Article 6(3) and/or Article 15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wp:posOffset>
            </wp:positionH>
            <wp:positionV relativeFrom="paragraph">
              <wp:posOffset>-3856990</wp:posOffset>
            </wp:positionV>
            <wp:extent cx="13100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ectPr>
          <w:pgSz w:w="11900" w:h="16838" w:orient="portrait"/>
          <w:cols w:equalWidth="0" w:num="1">
            <w:col w:w="10592"/>
          </w:cols>
          <w:pgMar w:left="868" w:top="268" w:right="4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1420" w:right="200" w:hanging="439"/>
        <w:spacing w:after="0" w:line="258"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determines it to be difficult to maintain a client relationship with the Obligor due to the breach by the Obligor of the provisions of the agreement with the Bank, including without limitation such as the Obligor does not obtain fire insurance with respect to the collateral, intentionally transfers the collateral to a third party without the consent of the Bank to the detriment of the Bank’s interest, or delays providing collateral to the Bank the machinery or building which has been constructed, installed or manufactured with the proceeds of the loans extended by the Bank to the Obligor;</w:t>
      </w:r>
    </w:p>
    <w:p>
      <w:pPr>
        <w:spacing w:after="0" w:line="88" w:lineRule="exact"/>
        <w:rPr>
          <w:rFonts w:ascii="Times New Roman" w:cs="Times New Roman" w:eastAsia="Times New Roman" w:hAnsi="Times New Roman"/>
          <w:sz w:val="18"/>
          <w:szCs w:val="18"/>
          <w:color w:val="auto"/>
        </w:rPr>
      </w:pPr>
    </w:p>
    <w:p>
      <w:pPr>
        <w:ind w:left="1420" w:right="440" w:hanging="439"/>
        <w:spacing w:after="0" w:line="282"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if the guarantor falls in any of the events under Paragraph (1)1 to (1)5, (1)7, (2)3 or (2)4 of this Article, and the guarantor is not replaced within a considerable period; or</w:t>
      </w:r>
    </w:p>
    <w:p>
      <w:pPr>
        <w:spacing w:after="0" w:line="67" w:lineRule="exact"/>
        <w:rPr>
          <w:rFonts w:ascii="Times New Roman" w:cs="Times New Roman" w:eastAsia="Times New Roman" w:hAnsi="Times New Roman"/>
          <w:sz w:val="18"/>
          <w:szCs w:val="18"/>
          <w:color w:val="auto"/>
        </w:rPr>
      </w:pPr>
    </w:p>
    <w:p>
      <w:pPr>
        <w:ind w:left="1420" w:right="640" w:hanging="439"/>
        <w:spacing w:after="0" w:line="282"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any of the events under Paragraph (1)1 or (1)2 of this Article occurs to the collateral provided by a third party in favor of the Obligor.</w:t>
      </w:r>
    </w:p>
    <w:p>
      <w:pPr>
        <w:spacing w:after="0" w:line="67"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 when the Obligor’s obligation to the Bank is accelerated under Article 7 Paragraphs (1) to (3) of this Article, if the Bank expressly waives its rights or if the normal transactions are resumed between the Bank and the Obligor notwithstanding the acceleration (e.g., the Bank receives an installment payment, interest or default interest), the obligation or the obligation designated by the Bank shall be deemed to have been restored to its original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Notice to Joint Guarantors of Accelerated Obligations</w:t>
      </w:r>
    </w:p>
    <w:p>
      <w:pPr>
        <w:spacing w:after="0" w:line="135" w:lineRule="exact"/>
        <w:rPr>
          <w:sz w:val="20"/>
          <w:szCs w:val="20"/>
          <w:color w:val="auto"/>
        </w:rPr>
      </w:pPr>
    </w:p>
    <w:p>
      <w:pPr>
        <w:ind w:left="960" w:right="100" w:hanging="532"/>
        <w:spacing w:after="0" w:line="261"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Obligor’s payment obligation is accelerated pursuant to each subparagraph of Article 7(1), the Bank shall notify of such event of acceleration in writing to the joint guarantor within fifteen (15) business days from the date on which any event of acceleration under subparagraph 1 or 6 of Article 7(1) occurs or the Clearing House suspends the Obligor’s transactions under subparagraph 4 of Article 7(1) or otherwise, within fifteen (15) business days from the date on which the Bank recognizes such event of acceleration.</w:t>
      </w:r>
    </w:p>
    <w:p>
      <w:pPr>
        <w:spacing w:after="0" w:line="85"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obligations are accelerated pursuant to Article 7(2) or (3), the Bank shall notify the joint guarantors thereof in writing within fifteen (15) business days from the date when such obligations are accelerated.</w:t>
      </w:r>
    </w:p>
    <w:p>
      <w:pPr>
        <w:spacing w:after="0" w:line="67"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case such event of acceleration of obligations is notified to the joint guarantors pursuant to Paragraph (1) or (2) above, the consent of the joint guarantors for continuous transaction is not required with respect to the obligations of which acceleration has been withdrawn pursuant to Article 7(4). In this case, the Bank shall give a notice of withdrawal of acceleration in writing to the joint guarantor of such obligations within fifteen (15) business days.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Obligation to Maintain the Debt Repayment Capacity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Obligor shall maintain a minimum financial ratio that is required by the Bank in order to repay the obligations owed to the Bank.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Set-off by the Bank</w:t>
      </w:r>
    </w:p>
    <w:p>
      <w:pPr>
        <w:spacing w:after="0" w:line="135" w:lineRule="exact"/>
        <w:rPr>
          <w:sz w:val="20"/>
          <w:szCs w:val="20"/>
          <w:color w:val="auto"/>
        </w:rPr>
      </w:pPr>
    </w:p>
    <w:p>
      <w:pPr>
        <w:ind w:left="960" w:right="140" w:hanging="532"/>
        <w:spacing w:after="0" w:line="261"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Obligor’s obligation is due and payable whether by maturity in accordance with its term or by acceleration upon occurrence of any of the events described in Article 7, the Bank may set off by written notice to the Obligor and/or Guarantor (hereinafter “</w:t>
      </w:r>
      <w:r>
        <w:rPr>
          <w:rFonts w:ascii="Times New Roman" w:cs="Times New Roman" w:eastAsia="Times New Roman" w:hAnsi="Times New Roman"/>
          <w:sz w:val="18"/>
          <w:szCs w:val="18"/>
          <w:b w:val="1"/>
          <w:bCs w:val="1"/>
          <w:color w:val="auto"/>
        </w:rPr>
        <w:t>Obligor, etc.</w:t>
      </w:r>
      <w:r>
        <w:rPr>
          <w:rFonts w:ascii="Times New Roman" w:cs="Times New Roman" w:eastAsia="Times New Roman" w:hAnsi="Times New Roman"/>
          <w:sz w:val="18"/>
          <w:szCs w:val="18"/>
          <w:color w:val="auto"/>
        </w:rPr>
        <w:t>”) any such obligation at any time against any of the Deposits and other claims of the Obligor or the guarantors irrespective of the due dates thereof.</w:t>
      </w:r>
    </w:p>
    <w:p>
      <w:pPr>
        <w:sectPr>
          <w:pgSz w:w="11900" w:h="16838" w:orient="portrait"/>
          <w:cols w:equalWidth="0" w:num="1">
            <w:col w:w="11020"/>
          </w:cols>
          <w:pgMar w:left="440" w:top="268" w:right="4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960" w:right="40" w:hanging="532"/>
        <w:spacing w:after="0" w:line="258"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Obligor’s obligation becomes due and payable to the Bank as referred to in Paragraph (1) above, the Bank may, on behalf of the Obligor, etc., also make withdrawals from the Obligor, etc.’s deposits in the Obligor, etc.’s name provided by the Obligor, etc. as security, and may apply such withdrawals to the payment of the Obligor’s obligations regardless of whether the maturity of such deposit is due yet without any prior notice and without complying with any particular procedures; provided however, that immediately after such withdrawal and application, the Bank shall give a notice to the Obligor, etc. of the withdrawal and application.</w:t>
      </w:r>
    </w:p>
    <w:p>
      <w:pPr>
        <w:spacing w:after="0" w:line="88"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sets off any obligation of the Obligor against the Obligor, etc.’s Deposits and other claims pursuant to Paragraphs (1) above, the Bank may take payment suspension measures in respect of or on the Obligor, etc.’s Deposits and other claims for the time being prior to set-off; provided that, if the Bank takes payment suspension measures on the Obligor, etc.’s Deposits and other claims, the Bank shall immediately notify the title holder thereof.</w:t>
      </w:r>
    </w:p>
    <w:p>
      <w:pPr>
        <w:spacing w:after="0" w:line="85" w:lineRule="exact"/>
        <w:rPr>
          <w:rFonts w:ascii="Times New Roman" w:cs="Times New Roman" w:eastAsia="Times New Roman" w:hAnsi="Times New Roman"/>
          <w:sz w:val="18"/>
          <w:szCs w:val="18"/>
          <w:color w:val="auto"/>
        </w:rPr>
      </w:pPr>
    </w:p>
    <w:p>
      <w:pPr>
        <w:ind w:left="960" w:right="40" w:hanging="532"/>
        <w:spacing w:after="0" w:line="254" w:lineRule="auto"/>
        <w:tabs>
          <w:tab w:leader="none" w:pos="9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Bank sets off against the Obligor’s obligation in accordance with the provisions of Paragraphs (1) above or makes any withdrawals and application in accordance with the provisions of Paragraph (2) above, such set-off or withdrawal and application shall be promptly effected taking into account the fair benefits of the Obligor, guarantors and security providers. The period for the purpose of calculation of Interest and other fees on the Obligor’s credits and obligations and default interest, shall extend up to and include the date on which the notice of set-off is sent to the Obligor or the date on which the calculation for withdrawal and application is made, of which the rate shall be determined by the Bank, and the foreign exchange rate shall be determined as the market rate prevailing at the time of the calculation by the Bank. In this case, as for any of the Deposits and other claims of the Obligor with the Bank of which the maturity is not due yet, the interest rate agreed with the Bank at the time of opening the account shall apply.</w:t>
      </w:r>
    </w:p>
    <w:p>
      <w:pPr>
        <w:spacing w:after="0" w:line="29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 xml:space="preserve">Article 11    </w:t>
        <w:tab/>
        <w:t>Set-off by the Obligor</w:t>
      </w:r>
    </w:p>
    <w:p>
      <w:pPr>
        <w:spacing w:after="0" w:line="135" w:lineRule="exact"/>
        <w:rPr>
          <w:sz w:val="20"/>
          <w:szCs w:val="20"/>
          <w:color w:val="auto"/>
        </w:rPr>
      </w:pPr>
    </w:p>
    <w:p>
      <w:pPr>
        <w:ind w:left="960" w:right="520" w:hanging="532"/>
        <w:spacing w:after="0" w:line="282"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may set off any of the Obligor’s Deposits and other claims which became due against any obligations owed to the Bank irrespective of the due dates of such obligations.</w:t>
      </w:r>
    </w:p>
    <w:p>
      <w:pPr>
        <w:spacing w:after="0" w:line="67" w:lineRule="exact"/>
        <w:rPr>
          <w:rFonts w:ascii="Times New Roman" w:cs="Times New Roman" w:eastAsia="Times New Roman" w:hAnsi="Times New Roman"/>
          <w:sz w:val="18"/>
          <w:szCs w:val="18"/>
          <w:color w:val="auto"/>
        </w:rPr>
      </w:pPr>
    </w:p>
    <w:p>
      <w:pPr>
        <w:ind w:left="960" w:right="80" w:hanging="532"/>
        <w:spacing w:after="0" w:line="289" w:lineRule="auto"/>
        <w:tabs>
          <w:tab w:leader="none" w:pos="9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Obligor sets off its claims against the obligation to repurchase the bill discounted by the Bank prior to its due date, the Obligor shall repurchase such bill at the remaining value after having deducted from its face value an amount discounted from the date of repurchase to the maturity; provided that, the Obligor shall not set off against any bills which the Bank has negotiated to any third party.</w:t>
      </w:r>
    </w:p>
    <w:p>
      <w:pPr>
        <w:spacing w:after="0" w:line="63" w:lineRule="exact"/>
        <w:rPr>
          <w:rFonts w:ascii="Times New Roman" w:cs="Times New Roman" w:eastAsia="Times New Roman" w:hAnsi="Times New Roman"/>
          <w:sz w:val="17"/>
          <w:szCs w:val="17"/>
          <w:color w:val="auto"/>
        </w:rPr>
      </w:pPr>
    </w:p>
    <w:p>
      <w:pPr>
        <w:ind w:left="960" w:right="240" w:hanging="532"/>
        <w:spacing w:after="0" w:line="266"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Paragraph (1) and (2) above, the Obligor may not set off any claims and obligations denominated in a foreign currency until their respective due date and unless all procedures are completed in accordance with the applicable laws and regulations with respect to foreign exchange.</w:t>
      </w:r>
    </w:p>
    <w:p>
      <w:pPr>
        <w:spacing w:after="0" w:line="81"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Obligor sets off its claims against the Bank in accordance with Paragraphs (1) to (3) above, the Obligor shall give the Bank a written notice thereof and shall promptly submit to the Bank any passbook or certificate evidencing deposits or claims against which such claim is set off, together with the reported signature and/or seal affixed thereon.</w:t>
      </w:r>
    </w:p>
    <w:p>
      <w:pPr>
        <w:sectPr>
          <w:pgSz w:w="11900" w:h="16838" w:orient="portrait"/>
          <w:cols w:equalWidth="0" w:num="1">
            <w:col w:w="11020"/>
          </w:cols>
          <w:pgMar w:left="440" w:top="268" w:right="4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[English Translation]</w:t>
      </w:r>
    </w:p>
    <w:p>
      <w:pPr>
        <w:spacing w:after="0" w:line="160" w:lineRule="exact"/>
        <w:rPr>
          <w:sz w:val="20"/>
          <w:szCs w:val="20"/>
          <w:color w:val="auto"/>
        </w:rPr>
      </w:pPr>
    </w:p>
    <w:p>
      <w:pPr>
        <w:ind w:left="960" w:right="40" w:hanging="532"/>
        <w:spacing w:after="0" w:line="258" w:lineRule="auto"/>
        <w:tabs>
          <w:tab w:leader="none" w:pos="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Obligor sets off its claims against the Bank in accordance with Paragraphs (1) to (3) above, the period for purposes of calculating Interest and other fees on the Obligor’s claims and obligations, and default interests shall be up to and including the date on which the Bank receives the Obligor’s notice of set-off, and the rate of interest shall be determined by the Bank, and the foreign exchange rate shall be determined as the market rate prevailing at the time of calculation by the Bank. The Obligor shall pay to the Bank such fees as are agreed to be payable between the Bank and the Obligor with respect to the prepayment prior to the maturity.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Presentment and Delivery of Bills</w:t>
      </w:r>
    </w:p>
    <w:p>
      <w:pPr>
        <w:spacing w:after="0" w:line="135" w:lineRule="exact"/>
        <w:rPr>
          <w:sz w:val="20"/>
          <w:szCs w:val="20"/>
          <w:color w:val="auto"/>
        </w:rPr>
      </w:pPr>
    </w:p>
    <w:p>
      <w:pPr>
        <w:ind w:left="960" w:right="160" w:hanging="532"/>
        <w:spacing w:after="0" w:line="258" w:lineRule="auto"/>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sets off against the Obligor’s obligation or makes withdrawals and application as set forth in Article 10 without exercising the Bank’s rights under the bills in accordance with Article 2, the Bank will not be required to simultaneously return any such bills to the Obligor. The bills shall be returned at the Bank’s office which conducts banking transactions with the Obligor, and the Bank shall notify the Obligor to promptly receive the bills. The same procedures shall apply to the case of returning the bills in the event of set-offs by the Obligor under Article 11.</w:t>
      </w:r>
    </w:p>
    <w:p>
      <w:pPr>
        <w:spacing w:after="0" w:line="88"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sets off against the Obligor’s obligation or makes withdrawals and application as set forth in Article 10 by exercising the Bank’s rights under the bills pursuant to Article 2, the Bank will not be required to present or deliver any such bills to the Obligor if any of the following conditions is satisfied, and the provisions of Paragraph (1) above shall apply with respect to returning the bills: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does not know the Obligor’s current whereabouts;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is the place designated as the place at which such bills are payable; or</w:t>
      </w:r>
    </w:p>
    <w:p>
      <w:pPr>
        <w:spacing w:after="0" w:line="130" w:lineRule="exact"/>
        <w:rPr>
          <w:rFonts w:ascii="Times New Roman" w:cs="Times New Roman" w:eastAsia="Times New Roman" w:hAnsi="Times New Roman"/>
          <w:sz w:val="18"/>
          <w:szCs w:val="18"/>
          <w:color w:val="auto"/>
        </w:rPr>
      </w:pPr>
    </w:p>
    <w:p>
      <w:pPr>
        <w:ind w:left="1420" w:right="560" w:hanging="439"/>
        <w:spacing w:after="0" w:line="282" w:lineRule="auto"/>
        <w:tabs>
          <w:tab w:leader="none" w:pos="14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deems it unavoidable to omit presentment or delivery of the bills to the Obligor for such reasons as interruption of transport or communication or its use for collection, or otherwise.</w:t>
      </w:r>
    </w:p>
    <w:p>
      <w:pPr>
        <w:spacing w:after="0" w:line="67"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Obligor’s obligations to the Bank that are due and payable are not paid in full after being set off as set forth in Articles 10 and 11 and other parties are liable under the bills in addition to the Obligor, the Bank may retain such bills and may apply the proceeds collected or received by the disposition of the bills to the payment of the Obligor’s obligations in accordance with Article 13.</w:t>
      </w:r>
    </w:p>
    <w:p>
      <w:pPr>
        <w:spacing w:after="0" w:line="81"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may make a demand for payment without presenting the bills for the purpose of tolling the statute of limitations for claims of the bills.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       Order of Application by the Bank</w:t>
      </w:r>
    </w:p>
    <w:p>
      <w:pPr>
        <w:spacing w:after="0" w:line="135" w:lineRule="exact"/>
        <w:rPr>
          <w:sz w:val="20"/>
          <w:szCs w:val="20"/>
          <w:color w:val="auto"/>
        </w:rPr>
      </w:pPr>
    </w:p>
    <w:p>
      <w:pPr>
        <w:ind w:left="960" w:right="260" w:hanging="532"/>
        <w:spacing w:after="0" w:line="258"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payments made by the Obligor, set-offs or withdrawals and application made by the Bank as provided for in Article 10, are insufficient to satisfy all of the Obligor’s obligations, the Bank shall apply such payments and/or such set-offs or withdrawals and application to the satisfaction in the following order of (i) any expenses, (ii) default interest, and (iii) the interest and the principal of the Obligor’s obligation; provided however, the Bank may change the order of application unless such change is adverse to the Obligor’s interest.</w:t>
      </w:r>
    </w:p>
    <w:p>
      <w:pPr>
        <w:spacing w:after="0" w:line="88" w:lineRule="exact"/>
        <w:rPr>
          <w:rFonts w:ascii="Times New Roman" w:cs="Times New Roman" w:eastAsia="Times New Roman" w:hAnsi="Times New Roman"/>
          <w:sz w:val="18"/>
          <w:szCs w:val="18"/>
          <w:color w:val="auto"/>
        </w:rPr>
      </w:pPr>
    </w:p>
    <w:p>
      <w:pPr>
        <w:ind w:left="960" w:right="200" w:hanging="532"/>
        <w:spacing w:after="0" w:line="266"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are two (2) or more of the Obligor’s obligations against which payment or set-off is made and such obligations are not discharged in full by such payment or set-off, Article 477 of the Korean Civil Code shall apply to the amount recovered in the court auction or public sale by exercise of security rights.</w:t>
      </w:r>
    </w:p>
    <w:p>
      <w:pPr>
        <w:sectPr>
          <w:pgSz w:w="11900" w:h="16838" w:orient="portrait"/>
          <w:cols w:equalWidth="0" w:num="1">
            <w:col w:w="11020"/>
          </w:cols>
          <w:pgMar w:left="440" w:top="268" w:right="4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[English Translation]</w:t>
      </w:r>
    </w:p>
    <w:p>
      <w:pPr>
        <w:spacing w:after="0" w:line="160" w:lineRule="exact"/>
        <w:rPr>
          <w:sz w:val="20"/>
          <w:szCs w:val="20"/>
          <w:color w:val="auto"/>
        </w:rPr>
      </w:pPr>
    </w:p>
    <w:p>
      <w:pPr>
        <w:ind w:left="960" w:right="180" w:hanging="532"/>
        <w:spacing w:after="0" w:line="255"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are two (2) or more of the Obligor’s obligations against which payment or set-off is made and any voluntary repayments or Deposits and other claims which do not fall under Paragraph (2) above are insufficient to satisfy all of the Obligor’s obligations, such repayments or Deposits and other claims may be applied to the satisfaction of the Obligor’s obligations in such order of application as the Obligor may determine. In this case, if the determination of the order of application is likely to adversely affect the Bank’s rights, the Bank may without delay raise an objection thereto and change the order of application of the obligations to be paid or set-off by considering the availability of property security or guarantees, the value and marketability of such property security or guarantees, the due date and the possibility of collection of the discounted bills, or otherwise.</w:t>
      </w:r>
    </w:p>
    <w:p>
      <w:pPr>
        <w:spacing w:after="0" w:line="94"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Bank applies the payments and/or set-offs or withdrawals and application to the satisfaction of the Obligor’s obligations in such order of application different from the statutory order specified in the Korean Civil Code or any other applicable laws in accordance with Paragraph (3) above, the Bank shall take into consideration the reasonable interests of the Obligor, the security provider or the guarantor to the extent such does not adversely affect the protection of the Bank’s claims.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       Order of Application by the Obligor</w:t>
      </w:r>
    </w:p>
    <w:p>
      <w:pPr>
        <w:spacing w:after="0" w:line="135" w:lineRule="exact"/>
        <w:rPr>
          <w:sz w:val="20"/>
          <w:szCs w:val="20"/>
          <w:color w:val="auto"/>
        </w:rPr>
      </w:pPr>
    </w:p>
    <w:p>
      <w:pPr>
        <w:ind w:left="960" w:right="80" w:hanging="532"/>
        <w:spacing w:after="0" w:line="266"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set-off effected by the Obligor as set forth in Article 11, if the Deposits and other claims are insufficient to satisfy all of the Obligor’s obligations, such Deposits and other claims may be applied to the satisfaction of the Obligor’s obligations in such order of application as the Obligor may determine.</w:t>
      </w:r>
    </w:p>
    <w:p>
      <w:pPr>
        <w:spacing w:after="0" w:line="81" w:lineRule="exact"/>
        <w:rPr>
          <w:rFonts w:ascii="Times New Roman" w:cs="Times New Roman" w:eastAsia="Times New Roman" w:hAnsi="Times New Roman"/>
          <w:sz w:val="18"/>
          <w:szCs w:val="18"/>
          <w:color w:val="auto"/>
        </w:rPr>
      </w:pPr>
    </w:p>
    <w:p>
      <w:pPr>
        <w:ind w:left="960" w:right="80" w:hanging="532"/>
        <w:spacing w:after="0" w:line="266"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Obligor fails to make the determination as set forth in Paragraph (1) above or if the determination of the order of application provided in Paragraph (1) above is likely to adversely affect the preservation of the Bank’s rights, the Bank shall designate the order of the application of the obligations to be satisfied by set-off pursuant to Article 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15       Assumption of Risks and Indemnification</w:t>
      </w:r>
    </w:p>
    <w:p>
      <w:pPr>
        <w:spacing w:after="0" w:line="135" w:lineRule="exact"/>
        <w:rPr>
          <w:sz w:val="20"/>
          <w:szCs w:val="20"/>
          <w:color w:val="auto"/>
        </w:rPr>
      </w:pPr>
    </w:p>
    <w:p>
      <w:pPr>
        <w:ind w:left="960" w:right="160" w:hanging="532"/>
        <w:spacing w:after="0" w:line="256"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bills which the Obligor has drawn, endorsed, accepted, accepted for honor or guaranteed, or instruments which the Obligor has furnished to the Bank are lost, destroyed, damaged or delayed in delivery due to causes not attributable to the Bank such as force majeure, disasters, calamities or accidents during transit, the Obligor shall pay the Obligor’s obligations as recorded on the Bank’s books, slips, or otherwise; provided that, if the Obligor presents any evidence different from the Bank’s books and slips, or otherwise, the Bank shall compare the evidence and fix the Obligor’s obligations as it thinks fit and then the Obligor shall pay and perform such obligations.</w:t>
      </w:r>
    </w:p>
    <w:p>
      <w:pPr>
        <w:spacing w:after="0" w:line="92" w:lineRule="exact"/>
        <w:rPr>
          <w:rFonts w:ascii="Times New Roman" w:cs="Times New Roman" w:eastAsia="Times New Roman" w:hAnsi="Times New Roman"/>
          <w:sz w:val="18"/>
          <w:szCs w:val="18"/>
          <w:color w:val="auto"/>
        </w:rPr>
      </w:pPr>
    </w:p>
    <w:p>
      <w:pPr>
        <w:ind w:left="960" w:right="180" w:hanging="532"/>
        <w:spacing w:after="0" w:line="261"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bills which the Obligor has drawn, endorsed, accepted, accepted for honor or guaranteed, or the instruments which the Obligor has furnished to the Bank are lost, damaged or destroyed as set forth in Paragraph (1), the Obligor shall upon the Bank’s demand forthwith provide the Bank with substitute bills or other instruments; provided however, this does not apply to such bills and instruments acquired by the Bank in the course of transactions with a third party.</w:t>
      </w:r>
    </w:p>
    <w:p>
      <w:pPr>
        <w:spacing w:after="0" w:line="85" w:lineRule="exact"/>
        <w:rPr>
          <w:rFonts w:ascii="Times New Roman" w:cs="Times New Roman" w:eastAsia="Times New Roman" w:hAnsi="Times New Roman"/>
          <w:sz w:val="18"/>
          <w:szCs w:val="18"/>
          <w:color w:val="auto"/>
        </w:rPr>
      </w:pPr>
    </w:p>
    <w:p>
      <w:pPr>
        <w:ind w:left="960" w:right="40" w:hanging="532"/>
        <w:spacing w:after="0" w:line="282"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undertake to indemnify the Obligor who bears losses from double payments without any negligence as a result of payments or substitute bills or other instruments pursuant to Paragraph (1) or (2) above.</w:t>
      </w:r>
    </w:p>
    <w:p>
      <w:pPr>
        <w:sectPr>
          <w:pgSz w:w="11900" w:h="16838" w:orient="portrait"/>
          <w:cols w:equalWidth="0" w:num="1">
            <w:col w:w="11020"/>
          </w:cols>
          <w:pgMar w:left="440" w:top="268" w:right="4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[English Translation]</w:t>
      </w:r>
    </w:p>
    <w:p>
      <w:pPr>
        <w:spacing w:after="0" w:line="160" w:lineRule="exact"/>
        <w:rPr>
          <w:sz w:val="20"/>
          <w:szCs w:val="20"/>
          <w:color w:val="auto"/>
        </w:rPr>
      </w:pPr>
    </w:p>
    <w:p>
      <w:pPr>
        <w:ind w:left="960" w:right="200" w:hanging="532"/>
        <w:spacing w:after="0" w:line="258" w:lineRule="auto"/>
        <w:tabs>
          <w:tab w:leader="none" w:pos="9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 has entered into transactions or has handled matters after making adequate visual inspection with due care to check the seal impression or signature on the bills or instruments against the Obligor’s specimen seal impression or specimen signature previously filed with the Bank and finding such to be genuine, the Obligor shall be liable for any losses and damages arising from any forgery, alteration, wrongful use, or otherwise of the bills, instruments and seals or signatures, and shall be liable in accordance with the terms of any such bills or instruments.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16       Filings with the Bank and Changes thereof</w:t>
      </w:r>
    </w:p>
    <w:p>
      <w:pPr>
        <w:spacing w:after="0" w:line="135" w:lineRule="exact"/>
        <w:rPr>
          <w:sz w:val="20"/>
          <w:szCs w:val="20"/>
          <w:color w:val="auto"/>
        </w:rPr>
      </w:pPr>
    </w:p>
    <w:p>
      <w:pPr>
        <w:ind w:left="960" w:right="80" w:hanging="532"/>
        <w:spacing w:after="0" w:line="266"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file with the Bank in the form prescribed by the Bank in advance the following: the Obligor’s name, trade name, representative, address and seal or signature, etc., and the name and seal or signature of the Obligor’s agent if any transaction is performed with the Bank through the Obligor’s agent.</w:t>
      </w:r>
    </w:p>
    <w:p>
      <w:pPr>
        <w:spacing w:after="0" w:line="81"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notify the Bank of any change in what is filed with the Bank as set forth in Paragraph (1) above. The Obligor shall also notify the Bank of any changes to what has been registered in the Company Registry.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17       Obligation to Prepare Documents in Good Faith</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Obligor shall in good faith prepare and submit the required documents to the Bank in connection with a credit transaction.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18       Effect of Notice</w:t>
      </w:r>
    </w:p>
    <w:p>
      <w:pPr>
        <w:spacing w:after="0" w:line="135" w:lineRule="exact"/>
        <w:rPr>
          <w:sz w:val="20"/>
          <w:szCs w:val="20"/>
          <w:color w:val="auto"/>
        </w:rPr>
      </w:pPr>
    </w:p>
    <w:p>
      <w:pPr>
        <w:ind w:left="960" w:right="380" w:hanging="532"/>
        <w:spacing w:after="0" w:line="282" w:lineRule="auto"/>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by the Bank or any document sent by the Bank to the Obligor’s latest address filed with the Bank shall be deemed to have been delivered by the time it normally takes to be delivered by mail.</w:t>
      </w:r>
    </w:p>
    <w:p>
      <w:pPr>
        <w:spacing w:after="0" w:line="67" w:lineRule="exact"/>
        <w:rPr>
          <w:rFonts w:ascii="Times New Roman" w:cs="Times New Roman" w:eastAsia="Times New Roman" w:hAnsi="Times New Roman"/>
          <w:sz w:val="18"/>
          <w:szCs w:val="18"/>
          <w:color w:val="auto"/>
        </w:rPr>
      </w:pPr>
    </w:p>
    <w:p>
      <w:pPr>
        <w:jc w:val="both"/>
        <w:ind w:left="960" w:right="100" w:hanging="532"/>
        <w:spacing w:after="0" w:line="261" w:lineRule="auto"/>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notice given or any documents sent by the Bank in accordance with Paragraph (1) above has not been delivered or is delayed due to the Obligor’s negligence to notify any change pursuant to Article 16(2), such notice or documents shall be deemed to have been delivered at the time it normally should have been delivered by mail; provided that, notice of set-off, acceleration of payment or any other important indication of intention shall be deemed to have been delivered only if such notice was sent by content-certified mail.</w:t>
      </w:r>
    </w:p>
    <w:p>
      <w:pPr>
        <w:spacing w:after="0" w:line="85" w:lineRule="exact"/>
        <w:rPr>
          <w:rFonts w:ascii="Times New Roman" w:cs="Times New Roman" w:eastAsia="Times New Roman" w:hAnsi="Times New Roman"/>
          <w:sz w:val="18"/>
          <w:szCs w:val="18"/>
          <w:color w:val="auto"/>
        </w:rPr>
      </w:pPr>
    </w:p>
    <w:p>
      <w:pPr>
        <w:ind w:left="960" w:right="460" w:hanging="532"/>
        <w:spacing w:after="0" w:line="282" w:lineRule="auto"/>
        <w:tabs>
          <w:tab w:leader="none" w:pos="9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retained by the Bank of the notices or documents forwarded by the Bank to the Obligor and the Bank’s record indicating such delivery shall constitute prima facie evidence that the Bank has given such notices or documents.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19       Report and Investigation</w:t>
      </w:r>
    </w:p>
    <w:p>
      <w:pPr>
        <w:spacing w:after="0" w:line="135" w:lineRule="exact"/>
        <w:rPr>
          <w:sz w:val="20"/>
          <w:szCs w:val="20"/>
          <w:color w:val="auto"/>
        </w:rPr>
      </w:pPr>
    </w:p>
    <w:p>
      <w:pPr>
        <w:ind w:left="960" w:right="180" w:hanging="532"/>
        <w:spacing w:after="0" w:line="261" w:lineRule="auto"/>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Bank’s request, the Obligor shall promptly submit to the Bank, reports with respect to the Obligor’s assets, liabilities, management conditions, the status of business or performance of credit conditions and any other important matters, and the Obligor shall also provide any assistance necessary for the Bank’s investigation of the Obligor’s book records, factories, place of business or any other matters, upon the Bank’s request.</w:t>
      </w:r>
    </w:p>
    <w:p>
      <w:pPr>
        <w:sectPr>
          <w:pgSz w:w="11900" w:h="16838" w:orient="portrait"/>
          <w:cols w:equalWidth="0" w:num="1">
            <w:col w:w="11020"/>
          </w:cols>
          <w:pgMar w:left="440" w:top="268" w:right="4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[English Translation]</w:t>
      </w:r>
    </w:p>
    <w:p>
      <w:pPr>
        <w:spacing w:after="0" w:line="160" w:lineRule="exact"/>
        <w:rPr>
          <w:sz w:val="20"/>
          <w:szCs w:val="20"/>
          <w:color w:val="auto"/>
        </w:rPr>
      </w:pPr>
    </w:p>
    <w:p>
      <w:pPr>
        <w:ind w:left="964" w:right="100" w:hanging="532"/>
        <w:spacing w:after="0" w:line="266" w:lineRule="auto"/>
        <w:tabs>
          <w:tab w:leader="none" w:pos="9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shall promptly submit to the Bank, even without the Bank’s request, a report of any material change that has occurred or is likely to occur with respect to the Obligor’s assets, liabilities, management conditions or the status of business or other matters which may affect the Obligor’s transactions with the Bank.</w:t>
      </w:r>
    </w:p>
    <w:p>
      <w:pPr>
        <w:spacing w:after="0" w:line="81" w:lineRule="exact"/>
        <w:rPr>
          <w:rFonts w:ascii="Times New Roman" w:cs="Times New Roman" w:eastAsia="Times New Roman" w:hAnsi="Times New Roman"/>
          <w:sz w:val="18"/>
          <w:szCs w:val="18"/>
          <w:color w:val="auto"/>
        </w:rPr>
      </w:pPr>
    </w:p>
    <w:p>
      <w:pPr>
        <w:ind w:left="964" w:right="200" w:hanging="532"/>
        <w:spacing w:after="0" w:line="258" w:lineRule="auto"/>
        <w:tabs>
          <w:tab w:leader="none" w:pos="9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likely that it would not be possible for the Bank to collect its credit extended to the Obligor due to the measure of transaction suspension by the clearing house, non-performing credit or rapid deterioration of management conditions of the Obligor based on the reports, and investigations or notifications submitted in accordance with Paragraphs (1) and (2) above, the Bank may at any time send its staff, to the extent necessary for the purpose of protecting the Bank’s rights, to manage or supervise the Obligor’s assets and business management.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20       Change to Terms of Credit Transaction</w:t>
      </w:r>
    </w:p>
    <w:p>
      <w:pPr>
        <w:spacing w:after="0" w:line="135" w:lineRule="exact"/>
        <w:rPr>
          <w:sz w:val="20"/>
          <w:szCs w:val="20"/>
          <w:color w:val="auto"/>
        </w:rPr>
      </w:pPr>
    </w:p>
    <w:p>
      <w:pPr>
        <w:jc w:val="both"/>
        <w:ind w:left="964" w:right="120" w:hanging="532"/>
        <w:spacing w:after="0" w:line="312" w:lineRule="auto"/>
        <w:tabs>
          <w:tab w:leader="none" w:pos="964"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of changes to the creditworthiness of the Obligor, the Bank may adjust the credit rating as determined by the Bank and change the credit limit, maturity, interest rate and/or other terms of the credit transaction by giving a written notice of such adjustment and/or change.</w:t>
      </w:r>
    </w:p>
    <w:p>
      <w:pPr>
        <w:spacing w:after="0" w:line="45" w:lineRule="exact"/>
        <w:rPr>
          <w:rFonts w:ascii="Times New Roman" w:cs="Times New Roman" w:eastAsia="Times New Roman" w:hAnsi="Times New Roman"/>
          <w:sz w:val="17"/>
          <w:szCs w:val="17"/>
          <w:color w:val="auto"/>
        </w:rPr>
      </w:pPr>
    </w:p>
    <w:p>
      <w:pPr>
        <w:ind w:left="964" w:right="180" w:hanging="532"/>
        <w:spacing w:after="0" w:line="261" w:lineRule="auto"/>
        <w:tabs>
          <w:tab w:leader="none" w:pos="9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 has any objection to the change to the credit limit or maturity under Paragraph (1) above, the Obligor may terminate the agreement within one (1) month from the date when such change to the credit limit or maturity takes effect. As for any objection to the change in the interest rate, the Obligor may terminate the agreement within one (1) month from the first interest payment date under such change. The terms before the change shall apply until the termination date of the agreement.</w:t>
      </w:r>
    </w:p>
    <w:p>
      <w:pPr>
        <w:spacing w:after="0" w:line="85"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Obligor acknowledges that its creditworthiness has improved, the Obligor may demand in writing that the Bank change the credit limit, maturity, interest rate and/or other terms of the credit transaction that has been determined by the Bank. In this case, after review of such request, the Bank shall take necessary measures and notify the Obligor of the results of such review.</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21       Place of Performance and the Governing Law</w:t>
      </w:r>
    </w:p>
    <w:p>
      <w:pPr>
        <w:spacing w:after="0" w:line="135" w:lineRule="exact"/>
        <w:rPr>
          <w:sz w:val="20"/>
          <w:szCs w:val="20"/>
          <w:color w:val="auto"/>
        </w:rPr>
      </w:pPr>
    </w:p>
    <w:p>
      <w:pPr>
        <w:ind w:left="964" w:right="160" w:hanging="532"/>
        <w:spacing w:after="0" w:line="261" w:lineRule="auto"/>
        <w:tabs>
          <w:tab w:leader="none" w:pos="9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in connection with the Obligor’s transactions with the Bank shall be performed at the Bank’s office that conducts transactions with the Obligor, unless otherwise agreed; provided however, if the Bank transfers the task of credit management to headquarter or other offices for the management of non-performing credit or for any other reasonable causes, such transferred obligations of the Obligor shall be performed at such headquarter or other offices.</w:t>
      </w:r>
    </w:p>
    <w:p>
      <w:pPr>
        <w:spacing w:after="0" w:line="85" w:lineRule="exact"/>
        <w:rPr>
          <w:rFonts w:ascii="Times New Roman" w:cs="Times New Roman" w:eastAsia="Times New Roman" w:hAnsi="Times New Roman"/>
          <w:sz w:val="18"/>
          <w:szCs w:val="18"/>
          <w:color w:val="auto"/>
        </w:rPr>
      </w:pPr>
    </w:p>
    <w:p>
      <w:pPr>
        <w:ind w:left="964" w:right="140" w:hanging="532"/>
        <w:spacing w:after="0" w:line="282" w:lineRule="auto"/>
        <w:tabs>
          <w:tab w:leader="none" w:pos="9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transactions under the General Terms and Conditions shall be governed by and be construed in accordance with the laws of the Republic of Korea, even if the Obligor is not a Korean person or company.</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Article 22       Amendment to General Terms and Conditions and the agreements</w:t>
      </w:r>
    </w:p>
    <w:p>
      <w:pPr>
        <w:spacing w:after="0" w:line="117" w:lineRule="exact"/>
        <w:rPr>
          <w:sz w:val="20"/>
          <w:szCs w:val="20"/>
          <w:color w:val="auto"/>
        </w:rPr>
      </w:pPr>
    </w:p>
    <w:p>
      <w:pPr>
        <w:ind w:left="4" w:right="500" w:hanging="4"/>
        <w:spacing w:after="0" w:line="286" w:lineRule="auto"/>
        <w:tabs>
          <w:tab w:leader="none" w:pos="180" w:val="left"/>
        </w:tabs>
        <w:numPr>
          <w:ilvl w:val="0"/>
          <w:numId w:val="118"/>
        </w:numPr>
        <w:rPr>
          <w:rFonts w:ascii="Arial" w:cs="Arial" w:eastAsia="Arial" w:hAnsi="Arial"/>
          <w:sz w:val="13"/>
          <w:szCs w:val="13"/>
          <w:b w:val="1"/>
          <w:bCs w:val="1"/>
          <w:color w:val="auto"/>
        </w:rPr>
      </w:pPr>
      <w:r>
        <w:rPr>
          <w:rFonts w:ascii="Times New Roman" w:cs="Times New Roman" w:eastAsia="Times New Roman" w:hAnsi="Times New Roman"/>
          <w:sz w:val="18"/>
          <w:szCs w:val="18"/>
          <w:b w:val="1"/>
          <w:bCs w:val="1"/>
          <w:color w:val="auto"/>
        </w:rPr>
        <w:t>Please note that the underlined portion of this Article is different from the “General Terms and Conditions for Credit Transactions (for Corporate Borrower)” set out by the Korea Fair Trade Commission.</w:t>
      </w:r>
    </w:p>
    <w:p>
      <w:pPr>
        <w:sectPr>
          <w:pgSz w:w="11900" w:h="16838" w:orient="portrait"/>
          <w:cols w:equalWidth="0" w:num="1">
            <w:col w:w="11024"/>
          </w:cols>
          <w:pgMar w:left="436" w:top="268" w:right="4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[English Translation]</w:t>
      </w:r>
    </w:p>
    <w:p>
      <w:pPr>
        <w:spacing w:after="0" w:line="160" w:lineRule="exact"/>
        <w:rPr>
          <w:sz w:val="20"/>
          <w:szCs w:val="20"/>
          <w:color w:val="auto"/>
        </w:rPr>
      </w:pPr>
    </w:p>
    <w:p>
      <w:pPr>
        <w:ind w:left="960" w:right="140" w:hanging="532"/>
        <w:spacing w:after="0" w:line="261"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Bank intends to amend the General Terms and Conditions or the ancillary agreements thereto in a manner that will adversely affect the Obligor, the Bank shall post notices of the amendment in the Bank’s offices and on the webpage of the Bank for one (1) month preceding the scheduled date of the amendment; </w:t>
      </w:r>
      <w:r>
        <w:rPr>
          <w:rFonts w:ascii="Times New Roman" w:cs="Times New Roman" w:eastAsia="Times New Roman" w:hAnsi="Times New Roman"/>
          <w:sz w:val="18"/>
          <w:szCs w:val="18"/>
          <w:u w:val="single" w:color="auto"/>
          <w:color w:val="auto"/>
        </w:rPr>
        <w:t>provided however, the Bank shall post notices of the amendment for seven (7) days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effective date of the amendment in the case of each of the following sub-paragraphs:</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the amendment is in accordance with the enactment or revision of laws;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the amendment is beneficial to the customer or does not apply to existing customers; or</w:t>
      </w:r>
    </w:p>
    <w:p>
      <w:pPr>
        <w:spacing w:after="0" w:line="130" w:lineRule="exact"/>
        <w:rPr>
          <w:rFonts w:ascii="Times New Roman" w:cs="Times New Roman" w:eastAsia="Times New Roman" w:hAnsi="Times New Roman"/>
          <w:sz w:val="18"/>
          <w:szCs w:val="18"/>
          <w:color w:val="auto"/>
        </w:rPr>
      </w:pPr>
    </w:p>
    <w:p>
      <w:pPr>
        <w:ind w:left="1420" w:right="380" w:hanging="439"/>
        <w:spacing w:after="0" w:line="282" w:lineRule="auto"/>
        <w:tabs>
          <w:tab w:leader="none" w:pos="14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When the amendment is about simple wording change which does not substantially change the content of the existing terms and conditions.</w:t>
      </w:r>
    </w:p>
    <w:p>
      <w:pPr>
        <w:spacing w:after="0" w:line="67" w:lineRule="exact"/>
        <w:rPr>
          <w:rFonts w:ascii="Times New Roman" w:cs="Times New Roman" w:eastAsia="Times New Roman" w:hAnsi="Times New Roman"/>
          <w:sz w:val="18"/>
          <w:szCs w:val="18"/>
          <w:color w:val="auto"/>
        </w:rPr>
      </w:pPr>
    </w:p>
    <w:p>
      <w:pPr>
        <w:ind w:left="960" w:right="140" w:hanging="532"/>
        <w:spacing w:after="0" w:line="261"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amendment under Paragraph (1) above will adversely affect the Obligor, the Bank shall notify the Obligor of such amendment through means agreed in advance with the Obligor, at least thirty (30) days before the amendment. However, no notice is necessary if the terms before the amendment shall apply to the Obligor or in case the Obligor expressly indicates the intention of not receiving such notification of any amendment.</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Bank gives notice to the Obligor under Paragraph (2) above, it shall include in the notice the following: “The Obligor may terminate the agreement within thirty (30) days from the date when the notice arrives in case of disagreement with the amendment, and the proposed amendment shall be deemed accepted and agreed to by the Obligor unless the Obligor provides notice of intention to terminate the General Terms and Conditions and the ancillary terms thereto”.</w:t>
      </w:r>
    </w:p>
    <w:p>
      <w:pPr>
        <w:spacing w:after="0" w:line="85" w:lineRule="exact"/>
        <w:rPr>
          <w:rFonts w:ascii="Times New Roman" w:cs="Times New Roman" w:eastAsia="Times New Roman" w:hAnsi="Times New Roman"/>
          <w:sz w:val="18"/>
          <w:szCs w:val="18"/>
          <w:color w:val="auto"/>
        </w:rPr>
      </w:pPr>
    </w:p>
    <w:p>
      <w:pPr>
        <w:ind w:left="960" w:right="140" w:hanging="532"/>
        <w:spacing w:after="0" w:line="261"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amendment to the General Terms and Conditions and the ancillary terms thereto shall be deemed accepted and agreed to by the Obligor, unless the Bank receives the Obligor’s objection to such amendment within thirty (30) days after the notice in Paragraph</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above is received by the Obligor.</w:t>
      </w:r>
    </w:p>
    <w:p>
      <w:pPr>
        <w:spacing w:after="0" w:line="112"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shall post or keep a copy of the General Terms and Conditions in the offices of the Bank and deliver them to the Obligor upon the Obligor’s request.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23       Jurisdiction</w:t>
      </w:r>
    </w:p>
    <w:p>
      <w:pPr>
        <w:spacing w:after="0" w:line="121" w:lineRule="exact"/>
        <w:rPr>
          <w:sz w:val="20"/>
          <w:szCs w:val="20"/>
          <w:color w:val="auto"/>
        </w:rPr>
      </w:pPr>
    </w:p>
    <w:p>
      <w:pPr>
        <w:ind w:left="440" w:right="160"/>
        <w:spacing w:after="0" w:line="255" w:lineRule="auto"/>
        <w:rPr>
          <w:sz w:val="20"/>
          <w:szCs w:val="20"/>
          <w:color w:val="auto"/>
        </w:rPr>
      </w:pPr>
      <w:r>
        <w:rPr>
          <w:rFonts w:ascii="Times New Roman" w:cs="Times New Roman" w:eastAsia="Times New Roman" w:hAnsi="Times New Roman"/>
          <w:sz w:val="18"/>
          <w:szCs w:val="18"/>
          <w:color w:val="auto"/>
        </w:rPr>
        <w:t>The Obligor hereby agrees and consents that, in addition to the jurisdiction prescribed by the applicable law, the district court having jurisdiction over the headquarter or the offices of the Bank that conduct transactions with the Obligor shall have jurisdiction over any legal action instituted between the Bank and the Obligor, the guarantor or the guarantor in rem in connection with the credit transaction under the General Terms and Conditions; provided however, if the Bank transferred the management of credit to the headquarter or other offices of the Bank to manage non-performing credit which occurred due to a cause attributable to the Obligor, the Obligor agrees and consents, in addition to the jurisdiction prescribed by the applicable law, that the district court having jurisdiction over the headquarter or other offices of the Bank to which the management of credit has been transferred shall have jurisdiction over such legal actions.</w:t>
      </w:r>
    </w:p>
    <w:p>
      <w:pPr>
        <w:sectPr>
          <w:pgSz w:w="11900" w:h="16838" w:orient="portrait"/>
          <w:cols w:equalWidth="0" w:num="1">
            <w:col w:w="11020"/>
          </w:cols>
          <w:pgMar w:left="440" w:top="268" w:right="4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December 13,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Purpose</w:t>
      </w:r>
    </w:p>
    <w:p>
      <w:pPr>
        <w:spacing w:after="0" w:line="117"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MagnaChip Semiconductor Corporation and its subsidiaries (the “</w:t>
      </w:r>
      <w:r>
        <w:rPr>
          <w:rFonts w:ascii="Times New Roman" w:cs="Times New Roman" w:eastAsia="Times New Roman" w:hAnsi="Times New Roman"/>
          <w:sz w:val="18"/>
          <w:szCs w:val="18"/>
          <w:b w:val="1"/>
          <w:bCs w:val="1"/>
          <w:i w:val="1"/>
          <w:iCs w:val="1"/>
          <w:u w:val="single" w:color="auto"/>
          <w:color w:val="auto"/>
        </w:rPr>
        <w:t>Company</w:t>
      </w:r>
      <w:r>
        <w:rPr>
          <w:rFonts w:ascii="Times New Roman" w:cs="Times New Roman" w:eastAsia="Times New Roman" w:hAnsi="Times New Roman"/>
          <w:sz w:val="18"/>
          <w:szCs w:val="18"/>
          <w:color w:val="auto"/>
        </w:rPr>
        <w:t>”) have adopted this Securities Trading Policy (this “</w:t>
      </w:r>
      <w:r>
        <w:rPr>
          <w:rFonts w:ascii="Times New Roman" w:cs="Times New Roman" w:eastAsia="Times New Roman" w:hAnsi="Times New Roman"/>
          <w:sz w:val="18"/>
          <w:szCs w:val="18"/>
          <w:b w:val="1"/>
          <w:bCs w:val="1"/>
          <w:i w:val="1"/>
          <w:iCs w:val="1"/>
          <w:u w:val="single" w:color="auto"/>
          <w:color w:val="auto"/>
        </w:rPr>
        <w:t>Policy</w:t>
      </w:r>
      <w:r>
        <w:rPr>
          <w:rFonts w:ascii="Times New Roman" w:cs="Times New Roman" w:eastAsia="Times New Roman" w:hAnsi="Times New Roman"/>
          <w:sz w:val="18"/>
          <w:szCs w:val="18"/>
          <w:color w:val="auto"/>
        </w:rPr>
        <w:t>”) for directors, officers and employees of the Company. The purpose of this Policy is to describe the standards concerning the handling of non-public information relating to the Company and the buying and selling of securities of the Company.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Persons Affected and Prohibited Transactions</w:t>
      </w:r>
    </w:p>
    <w:p>
      <w:pPr>
        <w:spacing w:after="0" w:line="121"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This Policy applies to directors, officers and employees of the Company. Please note that </w:t>
      </w:r>
      <w:r>
        <w:rPr>
          <w:rFonts w:ascii="Times New Roman" w:cs="Times New Roman" w:eastAsia="Times New Roman" w:hAnsi="Times New Roman"/>
          <w:sz w:val="18"/>
          <w:szCs w:val="18"/>
          <w:u w:val="single" w:color="auto"/>
          <w:color w:val="auto"/>
        </w:rPr>
        <w:t>the general prohibitions apply to all directors,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employees of the Company</w:t>
      </w:r>
      <w:r>
        <w:rPr>
          <w:rFonts w:ascii="Times New Roman" w:cs="Times New Roman" w:eastAsia="Times New Roman" w:hAnsi="Times New Roman"/>
          <w:sz w:val="18"/>
          <w:szCs w:val="18"/>
          <w:color w:val="auto"/>
        </w:rPr>
        <w:t>, while the restrictions set forth in Part V (Blackout Periods) and Part VI (Pre-Clearance) apply only to directors, executive officers and certain designated officers and employees. If you are unsure whether you are subject to the restrictions set forth in Part V or VI, please contact the Company’s General Counsel or his or her designee.</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same restrictions described in this Policy also apply to your spouse, minor children and anyone else living in your household, partnerships in which you are a general partner, trusts of which you are a trustee, estates of which you are an executor and investment funds or other similar vehicles with which you are affiliated (collectively “</w:t>
      </w:r>
      <w:r>
        <w:rPr>
          <w:rFonts w:ascii="Times New Roman" w:cs="Times New Roman" w:eastAsia="Times New Roman" w:hAnsi="Times New Roman"/>
          <w:sz w:val="18"/>
          <w:szCs w:val="18"/>
          <w:b w:val="1"/>
          <w:bCs w:val="1"/>
          <w:i w:val="1"/>
          <w:iCs w:val="1"/>
          <w:u w:val="single" w:color="auto"/>
          <w:color w:val="auto"/>
        </w:rPr>
        <w:t>Related Parties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You will be responsible for compliance with this Policy by your Related 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For purposes of this Policy, references to “</w:t>
      </w:r>
      <w:r>
        <w:rPr>
          <w:rFonts w:ascii="Times New Roman" w:cs="Times New Roman" w:eastAsia="Times New Roman" w:hAnsi="Times New Roman"/>
          <w:sz w:val="18"/>
          <w:szCs w:val="18"/>
          <w:b w:val="1"/>
          <w:bCs w:val="1"/>
          <w:i w:val="1"/>
          <w:iCs w:val="1"/>
          <w:u w:val="single" w:color="auto"/>
          <w:color w:val="auto"/>
        </w:rPr>
        <w:t>trading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u w:val="single" w:color="auto"/>
          <w:color w:val="auto"/>
        </w:rPr>
        <w:t>transactions in securities of the Company</w:t>
      </w:r>
      <w:r>
        <w:rPr>
          <w:rFonts w:ascii="Times New Roman" w:cs="Times New Roman" w:eastAsia="Times New Roman" w:hAnsi="Times New Roman"/>
          <w:sz w:val="18"/>
          <w:szCs w:val="18"/>
          <w:color w:val="auto"/>
        </w:rPr>
        <w:t>” (or other words or phrases with substantially the same meaning)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 stock acquired upon the exercise of stock options, exercises of stock options, market sales to raise cash to fund the exercise of stock options and trades in Company stock made under an employee benefit plan, such as a 401(k)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Policy Statement</w:t>
      </w:r>
    </w:p>
    <w:p>
      <w:pPr>
        <w:spacing w:after="0" w:line="117"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If a director, officer or employee has material nonpublic information (as further discussed below) relating to the Company, it is our policy that neither that person nor any Related Party:</w:t>
      </w:r>
    </w:p>
    <w:p>
      <w:pPr>
        <w:spacing w:after="0" w:line="60" w:lineRule="exact"/>
        <w:rPr>
          <w:sz w:val="20"/>
          <w:szCs w:val="20"/>
          <w:color w:val="auto"/>
        </w:rPr>
      </w:pPr>
    </w:p>
    <w:p>
      <w:pPr>
        <w:ind w:left="960" w:right="120" w:hanging="532"/>
        <w:spacing w:after="0" w:line="263" w:lineRule="auto"/>
        <w:tabs>
          <w:tab w:leader="none" w:pos="9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effect transactions in securities of the Company (other than pursuant to a pre-arranged trading plan that complies with Rule 10b5-1 (“</w:t>
      </w:r>
      <w:r>
        <w:rPr>
          <w:rFonts w:ascii="Times New Roman" w:cs="Times New Roman" w:eastAsia="Times New Roman" w:hAnsi="Times New Roman"/>
          <w:sz w:val="18"/>
          <w:szCs w:val="18"/>
          <w:b w:val="1"/>
          <w:bCs w:val="1"/>
          <w:i w:val="1"/>
          <w:iCs w:val="1"/>
          <w:u w:val="single" w:color="auto"/>
          <w:color w:val="auto"/>
        </w:rPr>
        <w:t>Rule 10b5-1</w:t>
      </w:r>
      <w:r>
        <w:rPr>
          <w:rFonts w:ascii="Times New Roman" w:cs="Times New Roman" w:eastAsia="Times New Roman" w:hAnsi="Times New Roman"/>
          <w:sz w:val="18"/>
          <w:szCs w:val="18"/>
          <w:b w:val="1"/>
          <w:bCs w:val="1"/>
          <w:color w:val="auto"/>
        </w:rPr>
        <w:t>”) under the U.S. Securities Exchange Act of 1934, as amended (the “</w:t>
      </w:r>
      <w:r>
        <w:rPr>
          <w:rFonts w:ascii="Times New Roman" w:cs="Times New Roman" w:eastAsia="Times New Roman" w:hAnsi="Times New Roman"/>
          <w:sz w:val="18"/>
          <w:szCs w:val="18"/>
          <w:b w:val="1"/>
          <w:bCs w:val="1"/>
          <w:i w:val="1"/>
          <w:iCs w:val="1"/>
          <w:u w:val="single" w:color="auto"/>
          <w:color w:val="auto"/>
        </w:rPr>
        <w:t>Exchange Act</w:t>
      </w:r>
      <w:r>
        <w:rPr>
          <w:rFonts w:ascii="Times New Roman" w:cs="Times New Roman" w:eastAsia="Times New Roman" w:hAnsi="Times New Roman"/>
          <w:sz w:val="18"/>
          <w:szCs w:val="18"/>
          <w:b w:val="1"/>
          <w:bCs w:val="1"/>
          <w:color w:val="auto"/>
        </w:rPr>
        <w:t>”) as described in</w:t>
      </w:r>
    </w:p>
    <w:p>
      <w:pPr>
        <w:ind w:left="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 VIII below) or engage in any other action to take advantage of that information;</w:t>
      </w:r>
    </w:p>
    <w:p>
      <w:pPr>
        <w:spacing w:after="0" w:line="108" w:lineRule="exact"/>
        <w:rPr>
          <w:rFonts w:ascii="Times New Roman" w:cs="Times New Roman" w:eastAsia="Times New Roman" w:hAnsi="Times New Roman"/>
          <w:sz w:val="18"/>
          <w:szCs w:val="18"/>
          <w:b w:val="1"/>
          <w:bCs w:val="1"/>
          <w:color w:val="auto"/>
        </w:rPr>
      </w:pPr>
    </w:p>
    <w:p>
      <w:pPr>
        <w:jc w:val="both"/>
        <w:ind w:left="960" w:right="20" w:hanging="532"/>
        <w:spacing w:after="0" w:line="268" w:lineRule="auto"/>
        <w:tabs>
          <w:tab w:leader="none" w:pos="9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pass that information on to any person outside the Company or suggest or otherwise recommend that any such person outside the Company effect a transaction in securities of the Company or engage in any other action to take advantage of that information; or</w:t>
      </w:r>
    </w:p>
    <w:p>
      <w:pPr>
        <w:spacing w:after="0" w:line="76"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assist anyone engaged in any of the above activities.</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Policy will continue to apply after termination of employment to the extent that a former director, officer or employee is in possession of material nonpublic information at the time of termination. In such case, no transaction in securities of the Company may take place until the information becomes public or ceases to be material.</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This Policy also applies to information, obtained in the course of employment with, or by serving as a director of, the Company, relating to any other company, including:</w:t>
      </w:r>
    </w:p>
    <w:p>
      <w:pPr>
        <w:spacing w:after="0" w:line="67" w:lineRule="exact"/>
        <w:rPr>
          <w:sz w:val="20"/>
          <w:szCs w:val="20"/>
          <w:color w:val="auto"/>
        </w:rPr>
      </w:pPr>
    </w:p>
    <w:p>
      <w:pPr>
        <w:ind w:left="960" w:hanging="532"/>
        <w:spacing w:after="0"/>
        <w:tabs>
          <w:tab w:leader="none" w:pos="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clients or suppliers,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57" w:name="page158"/>
    <w:bookmarkEnd w:id="157"/>
    <w:p>
      <w:pPr>
        <w:ind w:left="960" w:hanging="532"/>
        <w:spacing w:after="0"/>
        <w:tabs>
          <w:tab w:leader="none" w:pos="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entity with which we may be negotiating a major transaction or business combination, or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as to which we have an indirect or direct control relationship or a designee on the board of directors.</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 director, officer or employee may effect transactions in the securities of any such other company while in possession of material nonpublic information concerning such company that was obtained in the course of employment with the Company.</w:t>
      </w:r>
    </w:p>
    <w:p>
      <w:pPr>
        <w:spacing w:after="0" w:line="162" w:lineRule="exact"/>
        <w:rPr>
          <w:sz w:val="20"/>
          <w:szCs w:val="20"/>
          <w:color w:val="auto"/>
        </w:rPr>
      </w:pPr>
    </w:p>
    <w:p>
      <w:pPr>
        <w:jc w:val="both"/>
        <w:ind w:right="80" w:firstLine="440"/>
        <w:spacing w:after="0" w:line="312" w:lineRule="auto"/>
        <w:rPr>
          <w:sz w:val="20"/>
          <w:szCs w:val="20"/>
          <w:color w:val="auto"/>
        </w:rPr>
      </w:pPr>
      <w:r>
        <w:rPr>
          <w:rFonts w:ascii="Times New Roman" w:cs="Times New Roman" w:eastAsia="Times New Roman" w:hAnsi="Times New Roman"/>
          <w:sz w:val="17"/>
          <w:szCs w:val="17"/>
          <w:color w:val="auto"/>
        </w:rPr>
        <w:t>Transactions that may be necessary or justifiable for independent reasons (such as the need to raise money for an emergency expenditure) are no exception. Even the appearance of an improper transaction must be avoided to preserve our reputation for adhering to the highest standards of conduct.</w:t>
      </w:r>
    </w:p>
    <w:p>
      <w:pPr>
        <w:spacing w:after="0" w:line="136"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i w:val="1"/>
          <w:iCs w:val="1"/>
          <w:color w:val="auto"/>
        </w:rPr>
        <w:t>Material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u w:val="single" w:color="auto"/>
          <w:color w:val="auto"/>
        </w:rPr>
        <w:t>Material information</w:t>
      </w:r>
      <w:r>
        <w:rPr>
          <w:rFonts w:ascii="Times New Roman" w:cs="Times New Roman" w:eastAsia="Times New Roman" w:hAnsi="Times New Roman"/>
          <w:sz w:val="18"/>
          <w:szCs w:val="18"/>
          <w:color w:val="auto"/>
        </w:rPr>
        <w:t>” is any information that a reasonable investor would consider important in a decision to effect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 securities of the Company. In short, any information that could reasonably affect the price of such securities. Either positive or negative information may be material. Common examples of information that will frequently be regarded as material are:</w:t>
      </w:r>
    </w:p>
    <w:p>
      <w:pPr>
        <w:spacing w:after="0" w:line="80" w:lineRule="exact"/>
        <w:rPr>
          <w:sz w:val="20"/>
          <w:szCs w:val="20"/>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guidance concerning earnings;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earnings are inconsistent with consensus expectations;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joint venture, acquisition or tender offer;</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sale of assets or the disposition of a subsidiary or business unit;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or the declaration of a stock split or the offering of additional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changes in senior management or other key employees;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or regulatory exposure due to a pending or threatened lawsuit or investigation;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other financial liquidity problems;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affecting our business;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substantial customer, client or supplier.</w:t>
      </w:r>
    </w:p>
    <w:p>
      <w:pPr>
        <w:spacing w:after="0" w:line="223"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20-20 Hindsight</w:t>
      </w:r>
      <w:r>
        <w:rPr>
          <w:rFonts w:ascii="Times New Roman" w:cs="Times New Roman" w:eastAsia="Times New Roman" w:hAnsi="Times New Roman"/>
          <w:sz w:val="18"/>
          <w:szCs w:val="18"/>
          <w:color w:val="auto"/>
        </w:rPr>
        <w:t>. Remember, if your transaction in securities of the Company becomes the subject of scrutiny, it will be viewed after-the-fact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benefit of hindsight. As a result, before engaging in any transaction you should carefully consider how regulators and others might view your transaction in hindsight.</w:t>
      </w:r>
    </w:p>
    <w:p>
      <w:pPr>
        <w:spacing w:after="0" w:line="173"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Tipping Information to Others</w:t>
      </w:r>
      <w:r>
        <w:rPr>
          <w:rFonts w:ascii="Times New Roman" w:cs="Times New Roman" w:eastAsia="Times New Roman" w:hAnsi="Times New Roman"/>
          <w:sz w:val="18"/>
          <w:szCs w:val="18"/>
          <w:color w:val="auto"/>
        </w:rPr>
        <w:t>. Whether the information is proprietary information about the Company or other information that could have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on the price of the Company’s securities, directors, officers and employees must not pass the information on to third parties. Penalties will apply whether or not you derive, or even intend to derive, any profit or other benefit from another’s actions.</w:t>
      </w:r>
    </w:p>
    <w:p>
      <w:pPr>
        <w:spacing w:after="0" w:line="17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When Information is Public</w:t>
      </w:r>
      <w:r>
        <w:rPr>
          <w:rFonts w:ascii="Times New Roman" w:cs="Times New Roman" w:eastAsia="Times New Roman" w:hAnsi="Times New Roman"/>
          <w:sz w:val="18"/>
          <w:szCs w:val="18"/>
          <w:color w:val="auto"/>
        </w:rPr>
        <w:t>. You may not trade on the basis of material information that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broadly disclosed to the marketplace,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through a press release or a filing with the U.S. Securities and Exchange Commission (the “</w:t>
      </w:r>
      <w:r>
        <w:rPr>
          <w:rFonts w:ascii="Times New Roman" w:cs="Times New Roman" w:eastAsia="Times New Roman" w:hAnsi="Times New Roman"/>
          <w:sz w:val="18"/>
          <w:szCs w:val="18"/>
          <w:b w:val="1"/>
          <w:bCs w:val="1"/>
          <w:i w:val="1"/>
          <w:iCs w:val="1"/>
          <w:u w:val="single" w:color="auto"/>
          <w:color w:val="auto"/>
        </w:rPr>
        <w:t>SEC</w:t>
      </w:r>
      <w:r>
        <w:rPr>
          <w:rFonts w:ascii="Times New Roman" w:cs="Times New Roman" w:eastAsia="Times New Roman" w:hAnsi="Times New Roman"/>
          <w:sz w:val="18"/>
          <w:szCs w:val="18"/>
          <w:color w:val="auto"/>
        </w:rPr>
        <w:t>”), and the marketplace has had time to absorb the information. As a general rule, information should not be considered fully absorbed by the marketplace until the end of the first business day after the information is released. Thus, if information is released on a Monday, trading should not take place until Wednesday. However, if the information in question is contained in a regular quarterly earnings release and the release is issued prior to the opening of the market on a given day, trading may take place on the next business day following the day of release.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58" w:name="page159"/>
    <w:bookmarkEnd w:id="158"/>
    <w:p>
      <w:pPr>
        <w:ind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Transactions under Company Plans. </w:t>
      </w:r>
      <w:r>
        <w:rPr>
          <w:rFonts w:ascii="Times New Roman" w:cs="Times New Roman" w:eastAsia="Times New Roman" w:hAnsi="Times New Roman"/>
          <w:sz w:val="18"/>
          <w:szCs w:val="18"/>
          <w:color w:val="auto"/>
        </w:rPr>
        <w:t>This Policy applies to the exercise of employee stock options and to the sale of common stock received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This Policy also applies to the sale as part of a broker-assisted cashless exercise of a stock option and the market sale for the purpose of raising cash to fund the exercise of an option. This Policy also applies to the following elections under a 401(k) plan (if and when the Company makes Company securities an investment alternative under our 401(k) plan):</w:t>
      </w:r>
    </w:p>
    <w:p>
      <w:pPr>
        <w:spacing w:after="0" w:line="87" w:lineRule="exact"/>
        <w:rPr>
          <w:sz w:val="20"/>
          <w:szCs w:val="20"/>
          <w:color w:val="auto"/>
        </w:rPr>
      </w:pPr>
    </w:p>
    <w:p>
      <w:pPr>
        <w:ind w:left="960" w:hanging="532"/>
        <w:spacing w:after="0"/>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decreasing periodic contributions allocated to the purchase of Company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intra-plan transfers of an existing balance in or out of Company securities;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money against the account if the loan results in the liquidation of any portion of Company securities;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pre-paying a loan if the pre-payment results in allocation of the proceeds to Company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this policy applies to purchases under any employee stock purchase plan.</w:t>
      </w:r>
    </w:p>
    <w:p>
      <w:pPr>
        <w:spacing w:after="0" w:line="22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Confidentiality Obligations</w:t>
      </w:r>
      <w:r>
        <w:rPr>
          <w:rFonts w:ascii="Times New Roman" w:cs="Times New Roman" w:eastAsia="Times New Roman" w:hAnsi="Times New Roman"/>
          <w:sz w:val="18"/>
          <w:szCs w:val="18"/>
          <w:color w:val="auto"/>
        </w:rPr>
        <w:t>. The restrictions set forth in this Policy are designed to avoid misuse of material nonpublic information in violation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laws. These restrictions are in addition to, and in no way alter, the general obligations that each director, officer 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Additional Prohibited Transactions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Because we believe it is improper and inappropriate for any person to engage in short-term or speculative transactions involving the Company’s securities, it is the policy of the Company that directors, officers and employees of the Company, and their Related Parties, are prohibited from engaging in any of the following activities with respect to securities of the Company:</w:t>
      </w:r>
    </w:p>
    <w:p>
      <w:pPr>
        <w:spacing w:after="0" w:line="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Pledging</w:t>
      </w:r>
      <w:r>
        <w:rPr>
          <w:rFonts w:ascii="Times New Roman" w:cs="Times New Roman" w:eastAsia="Times New Roman" w:hAnsi="Times New Roman"/>
          <w:sz w:val="18"/>
          <w:szCs w:val="18"/>
          <w:color w:val="auto"/>
        </w:rPr>
        <w:t>. You may not pledge Company securities, including as security for margin accounts.</w:t>
      </w:r>
    </w:p>
    <w:p>
      <w:pPr>
        <w:spacing w:after="0" w:line="117" w:lineRule="exact"/>
        <w:rPr>
          <w:sz w:val="20"/>
          <w:szCs w:val="20"/>
          <w:color w:val="auto"/>
        </w:rPr>
      </w:pPr>
    </w:p>
    <w:p>
      <w:pPr>
        <w:ind w:left="440" w:right="380"/>
        <w:spacing w:after="0" w:line="284" w:lineRule="auto"/>
        <w:rPr>
          <w:sz w:val="20"/>
          <w:szCs w:val="20"/>
          <w:color w:val="auto"/>
        </w:rPr>
      </w:pPr>
      <w:r>
        <w:rPr>
          <w:rFonts w:ascii="Times New Roman" w:cs="Times New Roman" w:eastAsia="Times New Roman" w:hAnsi="Times New Roman"/>
          <w:sz w:val="18"/>
          <w:szCs w:val="18"/>
          <w:i w:val="1"/>
          <w:iCs w:val="1"/>
          <w:color w:val="auto"/>
        </w:rPr>
        <w:t>Short sales</w:t>
      </w:r>
      <w:r>
        <w:rPr>
          <w:rFonts w:ascii="Times New Roman" w:cs="Times New Roman" w:eastAsia="Times New Roman" w:hAnsi="Times New Roman"/>
          <w:sz w:val="18"/>
          <w:szCs w:val="18"/>
          <w:color w:val="auto"/>
        </w:rPr>
        <w:t>. The SEC effectively prohibits directors and officers from selling Company securities short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selling stock you do not own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the shares to make delivery). This Policy is simply expanding this prohibition to cover all employees.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Puts, call, options and other derivatives</w:t>
      </w:r>
      <w:r>
        <w:rPr>
          <w:rFonts w:ascii="Times New Roman" w:cs="Times New Roman" w:eastAsia="Times New Roman" w:hAnsi="Times New Roman"/>
          <w:sz w:val="18"/>
          <w:szCs w:val="18"/>
          <w:color w:val="auto"/>
        </w:rPr>
        <w:t>. You may not buy or sell puts, calls, options or other derivatives in respect of securities of the Company.</w:t>
      </w:r>
    </w:p>
    <w:p>
      <w:pPr>
        <w:spacing w:after="0" w:line="22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Although the Company discourages speculative hedging transactions, the Company does permit long-term hedging transactions that are designed to protect an individual’s investment in Company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hedge must be for at least twelve (12) months and relate to stock or options held by the individual). If you wish to engage in any such transaction, you must pre-clear it in accordance with the pre-clearance procedures described in Part VI below (even if you are not one of the persons otherwise required to submit your transaction in Company securities to pre-clearance). Because these activities raise issues under U.S. federal securities laws, any person intending to engage in permitted hedging transactions is strongly urged to consult legal counsel.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Blackout Periods — For Directors, Executive Officers and Certain Other Personnel with Access to Our Results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Company’s announcement of quarterly financial results has the potential to have a material impact on the market for the Company’s securities. Therefore, in order to avoid any appearance that its directors, officers, employees and other insiders are trading while aware of material nonpublic information, all directors, executive officers, any other officers who have obligations to file reports under Section 16 of the Exchange Act (such directors, executive officers and other officers collectively being referred to herein as “</w:t>
      </w:r>
      <w:r>
        <w:rPr>
          <w:rFonts w:ascii="Times New Roman" w:cs="Times New Roman" w:eastAsia="Times New Roman" w:hAnsi="Times New Roman"/>
          <w:sz w:val="18"/>
          <w:szCs w:val="18"/>
          <w:b w:val="1"/>
          <w:bCs w:val="1"/>
          <w:i w:val="1"/>
          <w:iCs w:val="1"/>
          <w:u w:val="single" w:color="auto"/>
          <w:color w:val="auto"/>
        </w:rPr>
        <w:t>Section 16 Insiders</w:t>
      </w:r>
      <w:r>
        <w:rPr>
          <w:rFonts w:ascii="Times New Roman" w:cs="Times New Roman" w:eastAsia="Times New Roman" w:hAnsi="Times New Roman"/>
          <w:sz w:val="18"/>
          <w:szCs w:val="18"/>
          <w:color w:val="auto"/>
        </w:rPr>
        <w:t>”) and certain other persons who are or may be expected to be aware of quarterly financial results of the Company will be subject to quarterly blackouts on trading.</w:t>
      </w:r>
    </w:p>
    <w:p>
      <w:pPr>
        <w:spacing w:after="0" w:line="179"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The Company has established the following “</w:t>
      </w:r>
      <w:r>
        <w:rPr>
          <w:rFonts w:ascii="Times New Roman" w:cs="Times New Roman" w:eastAsia="Times New Roman" w:hAnsi="Times New Roman"/>
          <w:sz w:val="18"/>
          <w:szCs w:val="18"/>
          <w:b w:val="1"/>
          <w:bCs w:val="1"/>
          <w:i w:val="1"/>
          <w:iCs w:val="1"/>
          <w:u w:val="single" w:color="auto"/>
          <w:color w:val="auto"/>
        </w:rPr>
        <w:t>blackout periods</w:t>
      </w:r>
      <w:r>
        <w:rPr>
          <w:rFonts w:ascii="Times New Roman" w:cs="Times New Roman" w:eastAsia="Times New Roman" w:hAnsi="Times New Roman"/>
          <w:sz w:val="18"/>
          <w:szCs w:val="18"/>
          <w:color w:val="auto"/>
        </w:rPr>
        <w:t xml:space="preserve">” in relation to the publication of its annual and quarterly results: </w:t>
      </w:r>
      <w:r>
        <w:rPr>
          <w:rFonts w:ascii="Times New Roman" w:cs="Times New Roman" w:eastAsia="Times New Roman" w:hAnsi="Times New Roman"/>
          <w:sz w:val="18"/>
          <w:szCs w:val="18"/>
          <w:b w:val="1"/>
          <w:bCs w:val="1"/>
          <w:color w:val="auto"/>
        </w:rPr>
        <w:t>(a) the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commencing seven (7) days prior to the end of its fiscal year and ending twenty-four (24) hours following public announcement of the Company’s annual financial results; (b) the period commencing seven (7) days prior to the end of each of its fiscal quarters and ending twenty-four (24) hours following public announcement of the Company’s financial results for such quarter; and (c) for directors and executive officers, to the extent and during the periods as the General Counsel or his or her designee may direct, including as required by Section 306 of the Sarbanes-Oxley Act of 2002 or its implementing regulations.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159" w:name="page160"/>
    <w:bookmarkEnd w:id="15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During these blackout periods, the following persons and their Related Parties are </w:t>
      </w:r>
      <w:r>
        <w:rPr>
          <w:rFonts w:ascii="Times New Roman" w:cs="Times New Roman" w:eastAsia="Times New Roman" w:hAnsi="Times New Roman"/>
          <w:sz w:val="18"/>
          <w:szCs w:val="18"/>
          <w:u w:val="single" w:color="auto"/>
          <w:color w:val="auto"/>
        </w:rPr>
        <w:t>prohibited</w:t>
      </w:r>
      <w:r>
        <w:rPr>
          <w:rFonts w:ascii="Times New Roman" w:cs="Times New Roman" w:eastAsia="Times New Roman" w:hAnsi="Times New Roman"/>
          <w:sz w:val="18"/>
          <w:szCs w:val="18"/>
          <w:color w:val="auto"/>
        </w:rPr>
        <w:t xml:space="preserve"> from effecting transactions in securities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including option exercises and purchases under employee stock purchase plans (except as otherwise expressly provided below):</w:t>
      </w:r>
    </w:p>
    <w:p>
      <w:pPr>
        <w:spacing w:after="0" w:line="112" w:lineRule="exact"/>
        <w:rPr>
          <w:sz w:val="20"/>
          <w:szCs w:val="20"/>
          <w:color w:val="auto"/>
        </w:rPr>
      </w:pPr>
    </w:p>
    <w:p>
      <w:pPr>
        <w:ind w:left="964" w:hanging="532"/>
        <w:spacing w:after="0"/>
        <w:tabs>
          <w:tab w:leader="none" w:pos="9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Insiders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Insiders’ secretaries and other assistants;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 the accounting, finance and legal departments;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designated by the General Counsel or his or her designee.</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You should be aware that the blackout periods described above may be modified by the Company at any time. In addition, the Company may from time to time determine that effecting transactions in securities of the Company is inappropriate at a time that is outside the blackout periods and, accordingly, may notify you of additional closed periods at any time. For example, a short blackout period may be imposed shortly before issuance of interim earnings guidance. Those subject to blackout period requirements will receive notice of any modification by the Company of the closed period policy or of any additional prohibition on trading during a non-blackout period. Persons subject to the blackout period restrictions who terminate their employment with the Company during a blackout period will remain subject to the restrictions until the end of such period.</w:t>
      </w:r>
    </w:p>
    <w:p>
      <w:pPr>
        <w:spacing w:after="0" w:line="187"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The prohibition described in this Part V shall not apply to gifts of Company securities and contributions of Company securities to a trust so long as the requirements of Part VI below are complied with. The General Counsel or his or her designee may, on a case-by-case basis, authorize effecting a transaction in Company securities during a blackout period if the person who wishes to effect such a transaction (i) has, at least two (2) business days prior to the anticipated transaction date, notified the Company in writing of the circumstances and the amount and nature of the proposed transaction and</w:t>
      </w:r>
    </w:p>
    <w:p>
      <w:pPr>
        <w:spacing w:after="0" w:line="3" w:lineRule="exact"/>
        <w:rPr>
          <w:sz w:val="20"/>
          <w:szCs w:val="20"/>
          <w:color w:val="auto"/>
        </w:rPr>
      </w:pPr>
    </w:p>
    <w:p>
      <w:pPr>
        <w:ind w:left="444" w:right="1840" w:hanging="444"/>
        <w:spacing w:after="0" w:line="511" w:lineRule="auto"/>
        <w:tabs>
          <w:tab w:leader="none" w:pos="26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certified to the Company that he or she is not in possession of material nonpublic information concerning the Company. See Part VIII below for the principles applicable to transactions under Rule 10b5-1 plans.</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 Pre-Clearance of Securities Transactions</w:t>
      </w:r>
    </w:p>
    <w:p>
      <w:pPr>
        <w:spacing w:after="0" w:line="12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of the law (which could result, for example, where a Section 16 Insider fails to comply with reporting obligations under the Exchange Act) and avoiding even the appearance of an improper transaction (which could result, for example, where an officer engages in a trade while unaware of a pending major development), we are implementing the following procedures:</w:t>
      </w:r>
    </w:p>
    <w:p>
      <w:pPr>
        <w:spacing w:after="0" w:line="64" w:lineRule="exact"/>
        <w:rPr>
          <w:sz w:val="20"/>
          <w:szCs w:val="20"/>
          <w:color w:val="auto"/>
        </w:rPr>
      </w:pPr>
    </w:p>
    <w:p>
      <w:pPr>
        <w:jc w:val="both"/>
        <w:ind w:left="4"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1.  All transactions in securities of the Company by Section 16 Insiders and any other persons whose transactions require reporting to the SEC under applicable laws must be pre-cleared both with the Chairman of the board of directors of the Company (the “</w:t>
      </w:r>
      <w:r>
        <w:rPr>
          <w:rFonts w:ascii="Times New Roman" w:cs="Times New Roman" w:eastAsia="Times New Roman" w:hAnsi="Times New Roman"/>
          <w:sz w:val="18"/>
          <w:szCs w:val="18"/>
          <w:b w:val="1"/>
          <w:bCs w:val="1"/>
          <w:i w:val="1"/>
          <w:iCs w:val="1"/>
          <w:u w:val="single" w:color="auto"/>
          <w:color w:val="auto"/>
        </w:rPr>
        <w:t>Board</w:t>
      </w:r>
      <w:r>
        <w:rPr>
          <w:rFonts w:ascii="Times New Roman" w:cs="Times New Roman" w:eastAsia="Times New Roman" w:hAnsi="Times New Roman"/>
          <w:sz w:val="18"/>
          <w:szCs w:val="18"/>
          <w:b w:val="1"/>
          <w:bCs w:val="1"/>
          <w:color w:val="auto"/>
        </w:rPr>
        <w:t>”) and the Company’s General Counsel.</w:t>
      </w:r>
    </w:p>
    <w:p>
      <w:pPr>
        <w:spacing w:after="0" w:line="17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Persons subject to the foregoing restriction should contact the General Counsel at least three (3) business days (or such shorter period as the Board may determine) in advance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2.   All transactions in securities of the Company by the following persons and their Related Parties must be pre-cleared with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Company’s General Counsel or his or her designee:</w:t>
      </w:r>
    </w:p>
    <w:p>
      <w:pPr>
        <w:spacing w:after="0" w:line="108" w:lineRule="exact"/>
        <w:rPr>
          <w:sz w:val="20"/>
          <w:szCs w:val="20"/>
          <w:color w:val="auto"/>
        </w:rPr>
      </w:pPr>
    </w:p>
    <w:p>
      <w:pPr>
        <w:ind w:left="964" w:hanging="532"/>
        <w:spacing w:after="0"/>
        <w:tabs>
          <w:tab w:leader="none" w:pos="96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16 Insiders’ secretaries and other assistants;</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in the accounting, finance and legal departments; and</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any other person designated by the General Counsel or his or her designee.</w:t>
      </w:r>
    </w:p>
    <w:p>
      <w:pPr>
        <w:spacing w:after="0" w:line="229"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Persons subject to the foregoing restriction should contact the General Counsel or his or her designee at least two (2) business days (or such shorter period as the General Counsel or his or her designee may determine) in advance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60" w:name="page161"/>
    <w:bookmarkEnd w:id="160"/>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pre-clearance of the proposed transaction is granted both by the Chairman of the Board and the General Counsel (under case 1 above) or the General Counsel or his or her designee (under case 2 above), as the case may be, such clearance will be valid only for three (3) business days following the approval date. If a transaction for which clearance has been granted is not effected (</w:t>
      </w:r>
      <w:r>
        <w:rPr>
          <w:rFonts w:ascii="Times New Roman" w:cs="Times New Roman" w:eastAsia="Times New Roman" w:hAnsi="Times New Roman"/>
          <w:sz w:val="18"/>
          <w:szCs w:val="18"/>
          <w:b w:val="1"/>
          <w:bCs w:val="1"/>
          <w:i w:val="1"/>
          <w:iCs w:val="1"/>
          <w:color w:val="auto"/>
        </w:rPr>
        <w:t>i.e.</w:t>
      </w:r>
      <w:r>
        <w:rPr>
          <w:rFonts w:ascii="Times New Roman" w:cs="Times New Roman" w:eastAsia="Times New Roman" w:hAnsi="Times New Roman"/>
          <w:sz w:val="18"/>
          <w:szCs w:val="18"/>
          <w:b w:val="1"/>
          <w:bCs w:val="1"/>
          <w:color w:val="auto"/>
        </w:rPr>
        <w:t>, the trade is not placed) within such three (3) business day period, the transaction must again be pre-cleared.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Note that the pre-clearance procedures may delay the disposition of any security after it is purchased.</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Company’s Compliance &amp; Internal Audit Team shall periodically report to the Board, but no less frequent than once per quarter, any and all trading activities by persons who are subject to the pre-clearance requirements set forth in this Part VI.</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Part VIII below for the principles applicable to transactions under Rule 10b5-1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Reporting of Stock Transactions by Section 16 Insiders; Speculative Trading</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Insiders are required to report to the SEC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transactions in Company securities by themselves or members of their household within two (2) business days of the transaction date. The Company makes voluntary filings with the SEC for such transactions, but the reporting obligations are ultimately the responsibility of the Section 16 Insider.</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Section 16 Insiders may not trade and realize a profit from any open market purchase and sale or sale and purchase within any period of less than six months. For example, if a Section 16 Insider buys Company stock, he or she may not sell any shares of Company stock at a higher price for six months. If such a transaction occurs, a lawsuit can be brought against the Section 16 Insider and the Company by any stockholder. Matchable transactions subject to short-swing profit rules include self-directed purchases and sales within the 401(k)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10b5-1 Plans</w:t>
      </w:r>
    </w:p>
    <w:p>
      <w:pPr>
        <w:spacing w:after="0" w:line="121" w:lineRule="exact"/>
        <w:rPr>
          <w:sz w:val="20"/>
          <w:szCs w:val="20"/>
          <w:color w:val="auto"/>
        </w:rPr>
      </w:pPr>
    </w:p>
    <w:p>
      <w:pPr>
        <w:jc w:val="both"/>
        <w:ind w:right="620" w:firstLine="440"/>
        <w:spacing w:after="0" w:line="266" w:lineRule="auto"/>
        <w:rPr>
          <w:sz w:val="20"/>
          <w:szCs w:val="20"/>
          <w:color w:val="auto"/>
        </w:rPr>
      </w:pPr>
      <w:r>
        <w:rPr>
          <w:rFonts w:ascii="Times New Roman" w:cs="Times New Roman" w:eastAsia="Times New Roman" w:hAnsi="Times New Roman"/>
          <w:sz w:val="18"/>
          <w:szCs w:val="18"/>
          <w:color w:val="auto"/>
        </w:rPr>
        <w:t>The SEC has adopted a safe harbor rule, Rule 10b5-1, which provides a defense against insider trading liability for trades that are effected pursuant to a pre-arranged trading plan that meets specified conditions. The trading plan must be properly documented and all of the procedural conditions of the Rule must be satisfied to avoid liability.</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 The insider must establish the plan at a time when he or she is not in possession of material nonpublic information and the insider may not exercise any subsequent influence over how, when or whether to effect transactions. In addition to other specified conditions, a Rule 10b5-1 plan would specify in writing in advance the amount and price of the securities to be sold and the date for the sale (or a formula for determining the amount, price and date) or would otherwise not permit the insider to exercise any subsequent influence over how, when or whether to effect the sales. After adopting a valid Rule 10b5-1 plan, the insider will have an affirmative defense that a sale under the plan was not made “on the basis of” material nonpublic information.</w:t>
      </w:r>
    </w:p>
    <w:p>
      <w:pPr>
        <w:spacing w:after="0" w:line="19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treat the creation,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subject to the blackout periods under Part V of this Policy.</w:t>
      </w:r>
    </w:p>
    <w:p>
      <w:pPr>
        <w:spacing w:after="0" w:line="176"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will treat the creation, modification or termination of a pre-planned trading program or arrangement established to meet the requirements of Rule 10b5-1 as a transaction subject to pre-clearance under Part VI of this Policy at the time the plan is established, modified or terminated. Persons subject to the pre-clearance policy should coordinate any such plans or arrangements with the Board or the Company’s General Counsel or his or her designee, as the case may be. Even though each transaction effected under a Rule 10b5-1 plan does not need to be pre-cleared, it nonetheless must be made in accordance with Rule 144 and must be reported on a Form 4 under Section 16 of the Exchange Act.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61" w:name="page162"/>
    <w:bookmarkEnd w:id="161"/>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publicly announce any contract, instruction or plan for Company share purchases adopted pursuant to Rule 10b5-1, and any subsequent amendments thereto. Such public disclosure will be included in the Company’s proxy statement, press releases, on the Company’s website and/or through a current or periodic report filed with the SEC.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IX. Consequences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SEC and the U.S. securities exchanges are extremely effective in detecting insider trading. The SEC and the U.S. Department of Justice have prosecuted cases involving trading or tipping by employees at all levels of a business, trading or tipping by family members and friends, trading involving offshore accounts and trading involving only a small amount of stock. The consequences of insider trading violations can be severe: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For individuals</w:t>
      </w:r>
      <w:r>
        <w:rPr>
          <w:rFonts w:ascii="Times New Roman" w:cs="Times New Roman" w:eastAsia="Times New Roman" w:hAnsi="Times New Roman"/>
          <w:sz w:val="18"/>
          <w:szCs w:val="18"/>
          <w:color w:val="auto"/>
        </w:rPr>
        <w:t xml:space="preserve"> who trade on inside information (or tip information to others):</w:t>
      </w:r>
    </w:p>
    <w:p>
      <w:pPr>
        <w:spacing w:after="0" w:line="131" w:lineRule="exact"/>
        <w:rPr>
          <w:sz w:val="20"/>
          <w:szCs w:val="20"/>
          <w:color w:val="auto"/>
        </w:rPr>
      </w:pPr>
    </w:p>
    <w:p>
      <w:pPr>
        <w:ind w:left="960" w:hanging="532"/>
        <w:spacing w:after="0"/>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penalties of up to three times the profit gained or loss avoided;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(no matter how small the profit);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terms.</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For a company</w:t>
      </w:r>
      <w:r>
        <w:rPr>
          <w:rFonts w:ascii="Times New Roman" w:cs="Times New Roman" w:eastAsia="Times New Roman" w:hAnsi="Times New Roman"/>
          <w:sz w:val="18"/>
          <w:szCs w:val="18"/>
          <w:color w:val="auto"/>
        </w:rPr>
        <w:t xml:space="preserve"> (as well as possibly any supervisory person) that fails to take appropriate steps to prevent illegal trading, civil and criminal penalties.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Moreover, if any employee violates this Policy, the Company may impose sanctions, including dismissal for misconduct or cause. In addition, the Company may seek reimbursement from an employee for any fees or expenses incurred by the Company directly as a result of such employee’s violation of this Policy. Needless to say, any of the above consequences, even an investigation by the SEC that does not result in prosecution, can tarnish the reputation of the Company, its management and the person involved, and irreparably damage a career.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Assistance</w:t>
      </w:r>
    </w:p>
    <w:p>
      <w:pPr>
        <w:spacing w:after="0" w:line="121"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Any person who has any questions about this Policy or about specific transactions may contact the Company’s General Counsel or his or her designee. Remember, however, that the ultimate responsibility for adhering to this Policy and avoiding improper transactions rests with you. In this regard, it is imperative that you use your best judgment and to ask before acting if you are unsure.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SUBSIDIARIES OF MAGNACHIP SEMICONDUCTOR CORPORATION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gridSpan w:val="2"/>
          </w:tcPr>
          <w:p>
            <w:pPr>
              <w:ind w:left="2500"/>
              <w:spacing w:after="0"/>
              <w:rPr>
                <w:sz w:val="20"/>
                <w:szCs w:val="20"/>
                <w:color w:val="auto"/>
              </w:rPr>
            </w:pPr>
            <w:r>
              <w:rPr>
                <w:rFonts w:ascii="Times New Roman" w:cs="Times New Roman" w:eastAsia="Times New Roman" w:hAnsi="Times New Roman"/>
                <w:sz w:val="14"/>
                <w:szCs w:val="14"/>
                <w:color w:val="auto"/>
              </w:rPr>
              <w:t>Subsidiary</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Jurisdiction of Incorporation</w:t>
            </w:r>
          </w:p>
        </w:tc>
      </w:tr>
      <w:tr>
        <w:trPr>
          <w:trHeight w:val="191"/>
        </w:trPr>
        <w:tc>
          <w:tcPr>
            <w:tcW w:w="5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MagnaChip Semiconductor S.A.</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Semiconductor B.V.</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Netherlands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Semiconductor, Ltd.</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Mixed-Signal, Ltd.</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Korea</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Semiconductor SA Holdings LLC</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Semiconductor Limited</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Semiconductor Limited</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 SAR</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Technology Holding Company, Limited</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 SAR</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Semiconductor Inc.</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Semiconductor Holding Company Limited</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British Virgin Islands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Semiconductor (Shanghai) Company Limited</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Magnachip Technology Company, Ltd.</w:t>
            </w: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bl>
    <w:p>
      <w:pPr>
        <w:sectPr>
          <w:pgSz w:w="11900" w:h="16838" w:orient="portrait"/>
          <w:cols w:equalWidth="0" w:num="1">
            <w:col w:w="11020"/>
          </w:cols>
          <w:pgMar w:left="440" w:top="117" w:right="4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333-172864, 333-180696, 333-186789, 333-202120, 333-209756, 333-216204, 333-223155, 333-229811, 333-236565, 333-239872 and 333-272902) of Magnachip Semiconductor Corporation of our report dated March 14, 2025 relating to the financial statements and the effectiveness of internal control over financial reporting, which appears in this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Samil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Seoul, Korea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020"/>
          </w:cols>
          <w:pgMar w:left="440" w:top="117" w:right="4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Young-Joon Kim, certify that:</w:t>
      </w:r>
    </w:p>
    <w:p>
      <w:pPr>
        <w:spacing w:after="0" w:line="131" w:lineRule="exact"/>
        <w:rPr>
          <w:sz w:val="20"/>
          <w:szCs w:val="20"/>
          <w:color w:val="auto"/>
        </w:rPr>
      </w:pPr>
    </w:p>
    <w:p>
      <w:pPr>
        <w:ind w:left="424" w:hanging="424"/>
        <w:spacing w:after="0"/>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Magnachip Semiconductor Corporation;</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Young-Joon Kim</w:t>
      </w:r>
    </w:p>
    <w:p>
      <w:pPr>
        <w:spacing w:after="0" w:line="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024"/>
          </w:cols>
          <w:pgMar w:left="436" w:top="117" w:right="4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Shin Young Park, certify that:</w:t>
      </w:r>
    </w:p>
    <w:p>
      <w:pPr>
        <w:spacing w:after="0" w:line="131" w:lineRule="exact"/>
        <w:rPr>
          <w:sz w:val="20"/>
          <w:szCs w:val="20"/>
          <w:color w:val="auto"/>
        </w:rPr>
      </w:pPr>
    </w:p>
    <w:p>
      <w:pPr>
        <w:ind w:left="424" w:hanging="424"/>
        <w:spacing w:after="0"/>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Magnachip Semiconductor Corporation;</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76" w:lineRule="auto"/>
        <w:tabs>
          <w:tab w:leader="none" w:pos="424"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Shin Young Park</w:t>
      </w:r>
    </w:p>
    <w:p>
      <w:pPr>
        <w:spacing w:after="0" w:line="2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024"/>
          </w:cols>
          <w:pgMar w:left="436" w:top="117" w:right="4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54" w:lineRule="exact"/>
        <w:rPr>
          <w:sz w:val="20"/>
          <w:szCs w:val="20"/>
          <w:color w:val="auto"/>
        </w:rPr>
      </w:pPr>
    </w:p>
    <w:p>
      <w:pPr>
        <w:ind w:left="660" w:hanging="224"/>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as filed with the Securities and Exchange</w:t>
      </w:r>
    </w:p>
    <w:p>
      <w:pPr>
        <w:spacing w:after="0" w:line="27" w:lineRule="exact"/>
        <w:rPr>
          <w:rFonts w:ascii="Times New Roman" w:cs="Times New Roman" w:eastAsia="Times New Roman" w:hAnsi="Times New Roman"/>
          <w:sz w:val="18"/>
          <w:szCs w:val="18"/>
          <w:color w:val="auto"/>
        </w:rPr>
      </w:pPr>
    </w:p>
    <w:p>
      <w:pPr>
        <w:ind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on the date hereof (the “Report”) fully complies with the requirements of Section 13(a) or Section 15(d), as applicable, of the Securities Exchange Act of 1934, as amended; and</w:t>
      </w:r>
    </w:p>
    <w:p>
      <w:pPr>
        <w:spacing w:after="0" w:line="181" w:lineRule="exact"/>
        <w:rPr>
          <w:rFonts w:ascii="Times New Roman" w:cs="Times New Roman" w:eastAsia="Times New Roman" w:hAnsi="Times New Roman"/>
          <w:sz w:val="18"/>
          <w:szCs w:val="18"/>
          <w:color w:val="auto"/>
        </w:rPr>
      </w:pPr>
    </w:p>
    <w:p>
      <w:pPr>
        <w:ind w:right="720" w:firstLine="436"/>
        <w:spacing w:after="0" w:line="282" w:lineRule="auto"/>
        <w:tabs>
          <w:tab w:leader="none" w:pos="7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Young-Joon Kim</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17" w:right="4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54" w:lineRule="exact"/>
        <w:rPr>
          <w:sz w:val="20"/>
          <w:szCs w:val="20"/>
          <w:color w:val="auto"/>
        </w:rPr>
      </w:pPr>
    </w:p>
    <w:p>
      <w:pPr>
        <w:ind w:left="660" w:hanging="224"/>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as filed with the Securities and Exchange</w:t>
      </w:r>
    </w:p>
    <w:p>
      <w:pPr>
        <w:spacing w:after="0" w:line="27" w:lineRule="exact"/>
        <w:rPr>
          <w:rFonts w:ascii="Times New Roman" w:cs="Times New Roman" w:eastAsia="Times New Roman" w:hAnsi="Times New Roman"/>
          <w:sz w:val="18"/>
          <w:szCs w:val="18"/>
          <w:color w:val="auto"/>
        </w:rPr>
      </w:pPr>
    </w:p>
    <w:p>
      <w:pPr>
        <w:ind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on the date hereof (the “Report”) fully complies with the requirements of Section 13(a) or Section 15(d), as applicable, of the Securities Exchange Act of 1934, as amended; and</w:t>
      </w:r>
    </w:p>
    <w:p>
      <w:pPr>
        <w:spacing w:after="0" w:line="181" w:lineRule="exact"/>
        <w:rPr>
          <w:rFonts w:ascii="Times New Roman" w:cs="Times New Roman" w:eastAsia="Times New Roman" w:hAnsi="Times New Roman"/>
          <w:sz w:val="18"/>
          <w:szCs w:val="18"/>
          <w:color w:val="auto"/>
        </w:rPr>
      </w:pPr>
    </w:p>
    <w:p>
      <w:pPr>
        <w:ind w:right="720" w:firstLine="436"/>
        <w:spacing w:after="0" w:line="282" w:lineRule="auto"/>
        <w:tabs>
          <w:tab w:leader="none" w:pos="7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14,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Shin 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Shin Young Park</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1)"/>
      <w:numFmt w:val="decimal"/>
      <w:start w:val="1"/>
    </w:lvl>
  </w:abstractNum>
  <w:abstractNum w:abstractNumId="25">
    <w:nsid w:val="1A32234B"/>
    <w:multiLevelType w:val="hybridMultilevel"/>
    <w:lvl w:ilvl="0">
      <w:lvlJc w:val="left"/>
      <w:lvlText w:val="(%1)"/>
      <w:numFmt w:val="decimal"/>
      <w:start w:val="2"/>
    </w:lvl>
  </w:abstractNum>
  <w:abstractNum w:abstractNumId="26">
    <w:nsid w:val="3B0FD379"/>
    <w:multiLevelType w:val="hybridMultilevel"/>
    <w:lvl w:ilvl="0">
      <w:lvlJc w:val="left"/>
      <w:lvlText w:val="(%1)"/>
      <w:numFmt w:val="lowerRoman"/>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1)"/>
      <w:numFmt w:val="lowerLetter"/>
      <w:start w:val="1"/>
    </w:lvl>
    <w:lvl w:ilvl="1">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1)"/>
      <w:numFmt w:val="lowerLetter"/>
      <w:start w:val="1"/>
    </w:lvl>
  </w:abstractNum>
  <w:abstractNum w:abstractNumId="31">
    <w:nsid w:val="14330624"/>
    <w:multiLevelType w:val="hybridMultilevel"/>
    <w:lvl w:ilvl="0">
      <w:lvlJc w:val="left"/>
      <w:lvlText w:val="(%1)"/>
      <w:numFmt w:val="lowerLetter"/>
      <w:start w:val="3"/>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1)"/>
      <w:numFmt w:val="lowerRoman"/>
      <w:start w:val="3"/>
    </w:lvl>
  </w:abstractNum>
  <w:abstractNum w:abstractNumId="34">
    <w:nsid w:val="71EA1109"/>
    <w:multiLevelType w:val="hybridMultilevel"/>
    <w:lvl w:ilvl="0">
      <w:lvlJc w:val="left"/>
      <w:lvlText w:val="(%1)"/>
      <w:numFmt w:val="lowerLetter"/>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1."/>
      <w:numFmt w:val="decimal"/>
      <w:start w:val="3"/>
    </w:lvl>
  </w:abstractNum>
  <w:abstractNum w:abstractNumId="38">
    <w:nsid w:val="6F6DD9AC"/>
    <w:multiLevelType w:val="hybridMultilevel"/>
    <w:lvl w:ilvl="0">
      <w:lvlJc w:val="left"/>
      <w:lvlText w:val=" "/>
      <w:numFmt w:val="bullet"/>
      <w:start w:val="1"/>
    </w:lvl>
  </w:abstractNum>
  <w:abstractNum w:abstractNumId="39">
    <w:nsid w:val="94211F2"/>
    <w:multiLevelType w:val="hybridMultilevel"/>
    <w:lvl w:ilvl="0">
      <w:lvlJc w:val="left"/>
      <w:lvlText w:val=" "/>
      <w:numFmt w:val="bullet"/>
      <w:start w:val="1"/>
    </w:lvl>
  </w:abstractNum>
  <w:abstractNum w:abstractNumId="40">
    <w:nsid w:val="885E1B"/>
    <w:multiLevelType w:val="hybridMultilevel"/>
    <w:lvl w:ilvl="0">
      <w:lvlJc w:val="left"/>
      <w:lvlText w:val=" "/>
      <w:numFmt w:val="bullet"/>
      <w:start w:val="1"/>
    </w:lvl>
  </w:abstractNum>
  <w:abstractNum w:abstractNumId="41">
    <w:nsid w:val="76272110"/>
    <w:multiLevelType w:val="hybridMultilevel"/>
    <w:lvl w:ilvl="0">
      <w:lvlJc w:val="left"/>
      <w:lvlText w:val=" "/>
      <w:numFmt w:val="bullet"/>
      <w:start w:val="1"/>
    </w:lvl>
  </w:abstractNum>
  <w:abstractNum w:abstractNumId="42">
    <w:nsid w:val="4C04A8AF"/>
    <w:multiLevelType w:val="hybridMultilevel"/>
    <w:lvl w:ilvl="0">
      <w:lvlJc w:val="left"/>
      <w:lvlText w:val=" "/>
      <w:numFmt w:val="bullet"/>
      <w:start w:val="1"/>
    </w:lvl>
  </w:abstractNum>
  <w:abstractNum w:abstractNumId="43">
    <w:nsid w:val="1716703B"/>
    <w:multiLevelType w:val="hybridMultilevel"/>
    <w:lvl w:ilvl="0">
      <w:lvlJc w:val="left"/>
      <w:lvlText w:val=" "/>
      <w:numFmt w:val="bullet"/>
      <w:start w:val="1"/>
    </w:lvl>
  </w:abstractNum>
  <w:abstractNum w:abstractNumId="44">
    <w:nsid w:val="14E17E33"/>
    <w:multiLevelType w:val="hybridMultilevel"/>
    <w:lvl w:ilvl="0">
      <w:lvlJc w:val="left"/>
      <w:lvlText w:val=" "/>
      <w:numFmt w:val="bullet"/>
      <w:start w:val="1"/>
    </w:lvl>
  </w:abstractNum>
  <w:abstractNum w:abstractNumId="45">
    <w:nsid w:val="3222E7CD"/>
    <w:multiLevelType w:val="hybridMultilevel"/>
    <w:lvl w:ilvl="0">
      <w:lvlJc w:val="left"/>
      <w:lvlText w:val=" "/>
      <w:numFmt w:val="bullet"/>
      <w:start w:val="1"/>
    </w:lvl>
  </w:abstractNum>
  <w:abstractNum w:abstractNumId="46">
    <w:nsid w:val="74DE0EE3"/>
    <w:multiLevelType w:val="hybridMultilevel"/>
    <w:lvl w:ilvl="0">
      <w:lvlJc w:val="left"/>
      <w:lvlText w:val="%1"/>
      <w:numFmt w:val="decimal"/>
      <w:start w:val="104"/>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1."/>
      <w:numFmt w:val="decimal"/>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1."/>
      <w:numFmt w:val="decimal"/>
      <w:start w:val="8"/>
    </w:lvl>
  </w:abstractNum>
  <w:abstractNum w:abstractNumId="55">
    <w:nsid w:val="60EF0119"/>
    <w:multiLevelType w:val="hybridMultilevel"/>
    <w:lvl w:ilvl="0">
      <w:lvlJc w:val="left"/>
      <w:lvlText w:val="%1."/>
      <w:numFmt w:val="decimal"/>
      <w:start w:val="11"/>
    </w:lvl>
  </w:abstractNum>
  <w:abstractNum w:abstractNumId="56">
    <w:nsid w:val="26F324BA"/>
    <w:multiLevelType w:val="hybridMultilevel"/>
    <w:lvl w:ilvl="0">
      <w:lvlJc w:val="left"/>
      <w:lvlText w:val="%1."/>
      <w:numFmt w:val="decimal"/>
      <w:start w:val="16"/>
    </w:lvl>
  </w:abstractNum>
  <w:abstractNum w:abstractNumId="57">
    <w:nsid w:val="7F01579B"/>
    <w:multiLevelType w:val="hybridMultilevel"/>
    <w:lvl w:ilvl="0">
      <w:lvlJc w:val="left"/>
      <w:lvlText w:val="%1."/>
      <w:numFmt w:val="decimal"/>
      <w:start w:val="22"/>
    </w:lvl>
  </w:abstractNum>
  <w:abstractNum w:abstractNumId="58">
    <w:nsid w:val="49DA307D"/>
    <w:multiLevelType w:val="hybridMultilevel"/>
    <w:lvl w:ilvl="0">
      <w:lvlJc w:val="left"/>
      <w:lvlText w:val="%1."/>
      <w:numFmt w:val="decimal"/>
      <w:start w:val="1"/>
    </w:lvl>
  </w:abstractNum>
  <w:abstractNum w:abstractNumId="59">
    <w:nsid w:val="7055A5F5"/>
    <w:multiLevelType w:val="hybridMultilevel"/>
    <w:lvl w:ilvl="0">
      <w:lvlJc w:val="left"/>
      <w:lvlText w:val="%1."/>
      <w:numFmt w:val="decimal"/>
      <w:start w:val="8"/>
    </w:lvl>
  </w:abstractNum>
  <w:abstractNum w:abstractNumId="60">
    <w:nsid w:val="5FB8370B"/>
    <w:multiLevelType w:val="hybridMultilevel"/>
    <w:lvl w:ilvl="0">
      <w:lvlJc w:val="left"/>
      <w:lvlText w:val="%1."/>
      <w:numFmt w:val="decimal"/>
      <w:start w:val="11"/>
    </w:lvl>
  </w:abstractNum>
  <w:abstractNum w:abstractNumId="61">
    <w:nsid w:val="50801EE1"/>
    <w:multiLevelType w:val="hybridMultilevel"/>
    <w:lvl w:ilvl="0">
      <w:lvlJc w:val="left"/>
      <w:lvlText w:val="%1."/>
      <w:numFmt w:val="decimal"/>
      <w:start w:val="16"/>
    </w:lvl>
  </w:abstractNum>
  <w:abstractNum w:abstractNumId="62">
    <w:nsid w:val="488AC1A"/>
    <w:multiLevelType w:val="hybridMultilevel"/>
    <w:lvl w:ilvl="0">
      <w:lvlJc w:val="left"/>
      <w:lvlText w:val="%1."/>
      <w:numFmt w:val="decimal"/>
      <w:start w:val="22"/>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1."/>
      <w:numFmt w:val="decimal"/>
      <w:start w:val="1"/>
    </w:lvl>
  </w:abstractNum>
  <w:abstractNum w:abstractNumId="68">
    <w:nsid w:val="7D5E18F8"/>
    <w:multiLevelType w:val="hybridMultilevel"/>
    <w:lvl w:ilvl="0">
      <w:lvlJc w:val="left"/>
      <w:lvlText w:val="(%1)"/>
      <w:numFmt w:val="decimal"/>
      <w:start w:val="1"/>
    </w:lvl>
  </w:abstractNum>
  <w:abstractNum w:abstractNumId="69">
    <w:nsid w:val="5F3534A4"/>
    <w:multiLevelType w:val="hybridMultilevel"/>
    <w:lvl w:ilvl="0">
      <w:lvlJc w:val="left"/>
      <w:lvlText w:val="(%1)"/>
      <w:numFmt w:val="decimal"/>
      <w:start w:val="1"/>
    </w:lvl>
    <w:lvl w:ilvl="1">
      <w:lvlJc w:val="left"/>
      <w:lvlText w:val="%2."/>
      <w:numFmt w:val="decimal"/>
      <w:start w:val="1"/>
    </w:lvl>
  </w:abstractNum>
  <w:abstractNum w:abstractNumId="70">
    <w:nsid w:val="73A1821B"/>
    <w:multiLevelType w:val="hybridMultilevel"/>
    <w:lvl w:ilvl="0">
      <w:lvlJc w:val="left"/>
      <w:lvlText w:val="%1"/>
      <w:numFmt w:val="decimal"/>
      <w:start w:val="1"/>
    </w:lvl>
    <w:lvl w:ilvl="1">
      <w:lvlJc w:val="left"/>
      <w:lvlText w:val="%2."/>
      <w:numFmt w:val="decimal"/>
      <w:start w:val="4"/>
    </w:lvl>
  </w:abstractNum>
  <w:abstractNum w:abstractNumId="71">
    <w:nsid w:val="7DE67713"/>
    <w:multiLevelType w:val="hybridMultilevel"/>
    <w:lvl w:ilvl="0">
      <w:lvlJc w:val="left"/>
      <w:lvlText w:val="(%1)"/>
      <w:numFmt w:val="decimal"/>
      <w:start w:val="2"/>
    </w:lvl>
    <w:lvl w:ilvl="1">
      <w:lvlJc w:val="left"/>
      <w:lvlText w:val="%2"/>
      <w:numFmt w:val="decimal"/>
      <w:start w:val="1"/>
    </w:lvl>
  </w:abstractNum>
  <w:abstractNum w:abstractNumId="72">
    <w:nsid w:val="555C55B5"/>
    <w:multiLevelType w:val="hybridMultilevel"/>
    <w:lvl w:ilvl="0">
      <w:lvlJc w:val="left"/>
      <w:lvlText w:val="(%1)"/>
      <w:numFmt w:val="decimal"/>
      <w:start w:val="1"/>
    </w:lvl>
  </w:abstractNum>
  <w:abstractNum w:abstractNumId="73">
    <w:nsid w:val="3FA62ACA"/>
    <w:multiLevelType w:val="hybridMultilevel"/>
    <w:lvl w:ilvl="0">
      <w:lvlJc w:val="left"/>
      <w:lvlText w:val="(%1)"/>
      <w:numFmt w:val="decimal"/>
      <w:start w:val="1"/>
    </w:lvl>
  </w:abstractNum>
  <w:abstractNum w:abstractNumId="74">
    <w:nsid w:val="14FCE74E"/>
    <w:multiLevelType w:val="hybridMultilevel"/>
    <w:lvl w:ilvl="0">
      <w:lvlJc w:val="left"/>
      <w:lvlText w:val="(%1)"/>
      <w:numFmt w:val="decimal"/>
      <w:start w:val="2"/>
    </w:lvl>
  </w:abstractNum>
  <w:abstractNum w:abstractNumId="75">
    <w:nsid w:val="6A3DD3E8"/>
    <w:multiLevelType w:val="hybridMultilevel"/>
    <w:lvl w:ilvl="0">
      <w:lvlJc w:val="left"/>
      <w:lvlText w:val="(%1)"/>
      <w:numFmt w:val="decimal"/>
      <w:start w:val="1"/>
    </w:lvl>
    <w:lvl w:ilvl="1">
      <w:lvlJc w:val="left"/>
      <w:lvlText w:val="%2."/>
      <w:numFmt w:val="decimal"/>
      <w:start w:val="1"/>
    </w:lvl>
  </w:abstractNum>
  <w:abstractNum w:abstractNumId="76">
    <w:nsid w:val="71C91298"/>
    <w:multiLevelType w:val="hybridMultilevel"/>
    <w:lvl w:ilvl="0">
      <w:lvlJc w:val="left"/>
      <w:lvlText w:val="(%1)"/>
      <w:numFmt w:val="decimal"/>
      <w:start w:val="1"/>
    </w:lvl>
  </w:abstractNum>
  <w:abstractNum w:abstractNumId="77">
    <w:nsid w:val="9DAF632"/>
    <w:multiLevelType w:val="hybridMultilevel"/>
    <w:lvl w:ilvl="0">
      <w:lvlJc w:val="left"/>
      <w:lvlText w:val="(%1)"/>
      <w:numFmt w:val="decimal"/>
      <w:start w:val="2"/>
    </w:lvl>
    <w:lvl w:ilvl="1">
      <w:lvlJc w:val="left"/>
      <w:lvlText w:val="%2."/>
      <w:numFmt w:val="decimal"/>
      <w:start w:val="1"/>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1)"/>
      <w:numFmt w:val="decimal"/>
      <w:start w:val="3"/>
    </w:lvl>
  </w:abstractNum>
  <w:abstractNum w:abstractNumId="80">
    <w:nsid w:val="5092CA79"/>
    <w:multiLevelType w:val="hybridMultilevel"/>
    <w:lvl w:ilvl="0">
      <w:lvlJc w:val="left"/>
      <w:lvlText w:val="(%1)"/>
      <w:numFmt w:val="decimal"/>
      <w:start w:val="4"/>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decimal"/>
      <w:start w:val="1"/>
    </w:lvl>
  </w:abstractNum>
  <w:abstractNum w:abstractNumId="83">
    <w:nsid w:val="288F1A34"/>
    <w:multiLevelType w:val="hybridMultilevel"/>
    <w:lvl w:ilvl="0">
      <w:lvlJc w:val="left"/>
      <w:lvlText w:val="(%1)"/>
      <w:numFmt w:val="decimal"/>
      <w:start w:val="1"/>
    </w:lvl>
    <w:lvl w:ilvl="1">
      <w:lvlJc w:val="left"/>
      <w:lvlText w:val="%2."/>
      <w:numFmt w:val="decimal"/>
      <w:start w:val="1"/>
    </w:lvl>
  </w:abstractNum>
  <w:abstractNum w:abstractNumId="84">
    <w:nsid w:val="2A155DBC"/>
    <w:multiLevelType w:val="hybridMultilevel"/>
    <w:lvl w:ilvl="0">
      <w:lvlJc w:val="left"/>
      <w:lvlText w:val="%1"/>
      <w:numFmt w:val="decimal"/>
      <w:start w:val="1"/>
    </w:lvl>
    <w:lvl w:ilvl="1">
      <w:lvlJc w:val="left"/>
      <w:lvlText w:val="%2."/>
      <w:numFmt w:val="decimal"/>
      <w:start w:val="2"/>
    </w:lvl>
  </w:abstractNum>
  <w:abstractNum w:abstractNumId="85">
    <w:nsid w:val="1D9F6E5F"/>
    <w:multiLevelType w:val="hybridMultilevel"/>
    <w:lvl w:ilvl="0">
      <w:lvlJc w:val="left"/>
      <w:lvlText w:val="(%1)"/>
      <w:numFmt w:val="decimal"/>
      <w:start w:val="3"/>
    </w:lvl>
    <w:lvl w:ilvl="1">
      <w:lvlJc w:val="left"/>
      <w:lvlText w:val="%2"/>
      <w:numFmt w:val="decimal"/>
      <w:start w:val="1"/>
    </w:lvl>
  </w:abstractNum>
  <w:abstractNum w:abstractNumId="86">
    <w:nsid w:val="97E1B4E"/>
    <w:multiLevelType w:val="hybridMultilevel"/>
    <w:lvl w:ilvl="0">
      <w:lvlJc w:val="left"/>
      <w:lvlText w:val="(%1)"/>
      <w:numFmt w:val="decimal"/>
      <w:start w:val="1"/>
    </w:lvl>
    <w:lvl w:ilvl="1">
      <w:lvlJc w:val="left"/>
      <w:lvlText w:val="%2."/>
      <w:numFmt w:val="decimal"/>
      <w:start w:val="1"/>
    </w:lvl>
  </w:abstractNum>
  <w:abstractNum w:abstractNumId="87">
    <w:nsid w:val="51088277"/>
    <w:multiLevelType w:val="hybridMultilevel"/>
    <w:lvl w:ilvl="0">
      <w:lvlJc w:val="left"/>
      <w:lvlText w:val="%1"/>
      <w:numFmt w:val="decimal"/>
      <w:start w:val="1"/>
    </w:lvl>
    <w:lvl w:ilvl="1">
      <w:lvlJc w:val="left"/>
      <w:lvlText w:val="%2."/>
      <w:numFmt w:val="decimal"/>
      <w:start w:val="3"/>
    </w:lvl>
  </w:abstractNum>
  <w:abstractNum w:abstractNumId="88">
    <w:nsid w:val="1CA0C5FA"/>
    <w:multiLevelType w:val="hybridMultilevel"/>
    <w:lvl w:ilvl="0">
      <w:lvlJc w:val="left"/>
      <w:lvlText w:val="(%1)"/>
      <w:numFmt w:val="decimal"/>
      <w:start w:val="2"/>
    </w:lvl>
    <w:lvl w:ilvl="1">
      <w:lvlJc w:val="left"/>
      <w:lvlText w:val="%2"/>
      <w:numFmt w:val="decimal"/>
      <w:start w:val="1"/>
    </w:lvl>
  </w:abstractNum>
  <w:abstractNum w:abstractNumId="89">
    <w:nsid w:val="53584BCB"/>
    <w:multiLevelType w:val="hybridMultilevel"/>
    <w:lvl w:ilvl="0">
      <w:lvlJc w:val="left"/>
      <w:lvlText w:val="ø"/>
      <w:numFmt w:val="bullet"/>
      <w:start w:val="1"/>
    </w:lvl>
    <w:lvl w:ilvl="1">
      <w:lvlJc w:val="left"/>
      <w:lvlText w:val="(%2)"/>
      <w:numFmt w:val="decimal"/>
      <w:start w:val="1"/>
    </w:lvl>
  </w:abstractNum>
  <w:abstractNum w:abstractNumId="90">
    <w:nsid w:val="415E286C"/>
    <w:multiLevelType w:val="hybridMultilevel"/>
    <w:lvl w:ilvl="0">
      <w:lvlJc w:val="left"/>
      <w:lvlText w:val="ø"/>
      <w:numFmt w:val="bullet"/>
      <w:start w:val="1"/>
    </w:lvl>
  </w:abstractNum>
  <w:abstractNum w:abstractNumId="91">
    <w:nsid w:val="7C58FD05"/>
    <w:multiLevelType w:val="hybridMultilevel"/>
    <w:lvl w:ilvl="0">
      <w:lvlJc w:val="left"/>
      <w:lvlText w:val="(%1)"/>
      <w:numFmt w:val="decimal"/>
      <w:start w:val="1"/>
    </w:lvl>
  </w:abstractNum>
  <w:abstractNum w:abstractNumId="92">
    <w:nsid w:val="23D86AAC"/>
    <w:multiLevelType w:val="hybridMultilevel"/>
    <w:lvl w:ilvl="0">
      <w:lvlJc w:val="left"/>
      <w:lvlText w:val="(%1)"/>
      <w:numFmt w:val="decimal"/>
      <w:start w:val="1"/>
    </w:lvl>
    <w:lvl w:ilvl="1">
      <w:lvlJc w:val="left"/>
      <w:lvlText w:val="%2."/>
      <w:numFmt w:val="decimal"/>
      <w:start w:val="1"/>
    </w:lvl>
  </w:abstractNum>
  <w:abstractNum w:abstractNumId="93">
    <w:nsid w:val="45E6D486"/>
    <w:multiLevelType w:val="hybridMultilevel"/>
    <w:lvl w:ilvl="0">
      <w:lvlJc w:val="left"/>
      <w:lvlText w:val="%1"/>
      <w:numFmt w:val="decimal"/>
      <w:start w:val="1"/>
    </w:lvl>
    <w:lvl w:ilvl="1">
      <w:lvlJc w:val="left"/>
      <w:lvlText w:val="%2."/>
      <w:numFmt w:val="decimal"/>
      <w:start w:val="3"/>
    </w:lvl>
  </w:abstractNum>
  <w:abstractNum w:abstractNumId="94">
    <w:nsid w:val="5C10FE21"/>
    <w:multiLevelType w:val="hybridMultilevel"/>
    <w:lvl w:ilvl="0">
      <w:lvlJc w:val="left"/>
      <w:lvlText w:val="(%1)"/>
      <w:numFmt w:val="decimal"/>
      <w:start w:val="6"/>
    </w:lvl>
    <w:lvl w:ilvl="1">
      <w:lvlJc w:val="left"/>
      <w:lvlText w:val="%2"/>
      <w:numFmt w:val="decimal"/>
      <w:start w:val="1"/>
    </w:lvl>
  </w:abstractNum>
  <w:abstractNum w:abstractNumId="95">
    <w:nsid w:val="E7FFA2B"/>
    <w:multiLevelType w:val="hybridMultilevel"/>
    <w:lvl w:ilvl="0">
      <w:lvlJc w:val="left"/>
      <w:lvlText w:val="ø"/>
      <w:numFmt w:val="bullet"/>
      <w:start w:val="1"/>
    </w:lvl>
    <w:lvl w:ilvl="1">
      <w:lvlJc w:val="left"/>
      <w:lvlText w:val="(%2)"/>
      <w:numFmt w:val="decimal"/>
      <w:start w:val="1"/>
    </w:lvl>
    <w:lvl w:ilvl="2">
      <w:lvlJc w:val="left"/>
      <w:lvlText w:val="%3."/>
      <w:numFmt w:val="decimal"/>
      <w:start w:val="1"/>
    </w:lvl>
  </w:abstractNum>
  <w:abstractNum w:abstractNumId="96">
    <w:nsid w:val="3C5991AA"/>
    <w:multiLevelType w:val="hybridMultilevel"/>
    <w:lvl w:ilvl="0">
      <w:lvlJc w:val="left"/>
      <w:lvlText w:val="%1"/>
      <w:numFmt w:val="decimal"/>
      <w:start w:val="1"/>
    </w:lvl>
    <w:lvl w:ilvl="1">
      <w:lvlJc w:val="left"/>
      <w:lvlText w:val="%2."/>
      <w:numFmt w:val="decimal"/>
      <w:start w:val="1"/>
    </w:lvl>
  </w:abstractNum>
  <w:abstractNum w:abstractNumId="97">
    <w:nsid w:val="4BD8591A"/>
    <w:multiLevelType w:val="hybridMultilevel"/>
    <w:lvl w:ilvl="0">
      <w:lvlJc w:val="left"/>
      <w:lvlText w:val="(%1)"/>
      <w:numFmt w:val="decimal"/>
      <w:start w:val="3"/>
    </w:lvl>
    <w:lvl w:ilvl="1">
      <w:lvlJc w:val="left"/>
      <w:lvlText w:val="%2."/>
      <w:numFmt w:val="decimal"/>
      <w:start w:val="1"/>
    </w:lvl>
  </w:abstractNum>
  <w:abstractNum w:abstractNumId="98">
    <w:nsid w:val="78DF6A55"/>
    <w:multiLevelType w:val="hybridMultilevel"/>
    <w:lvl w:ilvl="0">
      <w:lvlJc w:val="left"/>
      <w:lvlText w:val="%1"/>
      <w:numFmt w:val="decimal"/>
      <w:start w:val="1"/>
    </w:lvl>
    <w:lvl w:ilvl="1">
      <w:lvlJc w:val="left"/>
      <w:lvlText w:val="%2."/>
      <w:numFmt w:val="decimal"/>
      <w:start w:val="2"/>
    </w:lvl>
  </w:abstractNum>
  <w:abstractNum w:abstractNumId="99">
    <w:nsid w:val="39B7AAA2"/>
    <w:multiLevelType w:val="hybridMultilevel"/>
    <w:lvl w:ilvl="0">
      <w:lvlJc w:val="left"/>
      <w:lvlText w:val="(%1)"/>
      <w:numFmt w:val="decimal"/>
      <w:start w:val="4"/>
    </w:lvl>
    <w:lvl w:ilvl="1">
      <w:lvlJc w:val="left"/>
      <w:lvlText w:val="%2"/>
      <w:numFmt w:val="decimal"/>
      <w:start w:val="1"/>
    </w:lvl>
  </w:abstractNum>
  <w:abstractNum w:abstractNumId="100">
    <w:nsid w:val="2B0D8DBE"/>
    <w:multiLevelType w:val="hybridMultilevel"/>
    <w:lvl w:ilvl="0">
      <w:lvlJc w:val="left"/>
      <w:lvlText w:val="(%1)"/>
      <w:numFmt w:val="decimal"/>
      <w:start w:val="1"/>
    </w:lvl>
  </w:abstractNum>
  <w:abstractNum w:abstractNumId="101">
    <w:nsid w:val="6C80EC70"/>
    <w:multiLevelType w:val="hybridMultilevel"/>
    <w:lvl w:ilvl="0">
      <w:lvlJc w:val="left"/>
      <w:lvlText w:val="(%1)"/>
      <w:numFmt w:val="decimal"/>
      <w:start w:val="1"/>
    </w:lvl>
  </w:abstractNum>
  <w:abstractNum w:abstractNumId="102">
    <w:nsid w:val="379E21B5"/>
    <w:multiLevelType w:val="hybridMultilevel"/>
    <w:lvl w:ilvl="0">
      <w:lvlJc w:val="left"/>
      <w:lvlText w:val="(%1)"/>
      <w:numFmt w:val="decimal"/>
      <w:start w:val="2"/>
    </w:lvl>
  </w:abstractNum>
  <w:abstractNum w:abstractNumId="103">
    <w:nsid w:val="69E373"/>
    <w:multiLevelType w:val="hybridMultilevel"/>
    <w:lvl w:ilvl="0">
      <w:lvlJc w:val="left"/>
      <w:lvlText w:val="(%1)"/>
      <w:numFmt w:val="decimal"/>
      <w:start w:val="1"/>
    </w:lvl>
  </w:abstractNum>
  <w:abstractNum w:abstractNumId="104">
    <w:nsid w:val="2C27173B"/>
    <w:multiLevelType w:val="hybridMultilevel"/>
    <w:lvl w:ilvl="0">
      <w:lvlJc w:val="left"/>
      <w:lvlText w:val="(%1)"/>
      <w:numFmt w:val="decimal"/>
      <w:start w:val="5"/>
    </w:lvl>
  </w:abstractNum>
  <w:abstractNum w:abstractNumId="105">
    <w:nsid w:val="4C9B0904"/>
    <w:multiLevelType w:val="hybridMultilevel"/>
    <w:lvl w:ilvl="0">
      <w:lvlJc w:val="left"/>
      <w:lvlText w:val="(%1)"/>
      <w:numFmt w:val="decimal"/>
      <w:start w:val="1"/>
    </w:lvl>
    <w:lvl w:ilvl="1">
      <w:lvlJc w:val="left"/>
      <w:lvlText w:val="%2."/>
      <w:numFmt w:val="decimal"/>
      <w:start w:val="1"/>
    </w:lvl>
  </w:abstractNum>
  <w:abstractNum w:abstractNumId="106">
    <w:nsid w:val="6AA7B75C"/>
    <w:multiLevelType w:val="hybridMultilevel"/>
    <w:lvl w:ilvl="0">
      <w:lvlJc w:val="left"/>
      <w:lvlText w:val="(%1)"/>
      <w:numFmt w:val="decimal"/>
      <w:start w:val="1"/>
    </w:lvl>
  </w:abstractNum>
  <w:abstractNum w:abstractNumId="107">
    <w:nsid w:val="1DF029D3"/>
    <w:multiLevelType w:val="hybridMultilevel"/>
    <w:lvl w:ilvl="0">
      <w:lvlJc w:val="left"/>
      <w:lvlText w:val="(%1)"/>
      <w:numFmt w:val="decimal"/>
      <w:start w:val="3"/>
    </w:lvl>
  </w:abstractNum>
  <w:abstractNum w:abstractNumId="108">
    <w:nsid w:val="5675FF36"/>
    <w:multiLevelType w:val="hybridMultilevel"/>
    <w:lvl w:ilvl="0">
      <w:lvlJc w:val="left"/>
      <w:lvlText w:val="(%1)"/>
      <w:numFmt w:val="decimal"/>
      <w:start w:val="1"/>
    </w:lvl>
  </w:abstractNum>
  <w:abstractNum w:abstractNumId="109">
    <w:nsid w:val="3DD15094"/>
    <w:multiLevelType w:val="hybridMultilevel"/>
    <w:lvl w:ilvl="0">
      <w:lvlJc w:val="left"/>
      <w:lvlText w:val="(%1)"/>
      <w:numFmt w:val="decimal"/>
      <w:start w:val="1"/>
    </w:lvl>
  </w:abstractNum>
  <w:abstractNum w:abstractNumId="110">
    <w:nsid w:val="3DB012B3"/>
    <w:multiLevelType w:val="hybridMultilevel"/>
    <w:lvl w:ilvl="0">
      <w:lvlJc w:val="left"/>
      <w:lvlText w:val="(%1)"/>
      <w:numFmt w:val="decimal"/>
      <w:start w:val="4"/>
    </w:lvl>
  </w:abstractNum>
  <w:abstractNum w:abstractNumId="111">
    <w:nsid w:val="2708C9AF"/>
    <w:multiLevelType w:val="hybridMultilevel"/>
    <w:lvl w:ilvl="0">
      <w:lvlJc w:val="left"/>
      <w:lvlText w:val="(%1)"/>
      <w:numFmt w:val="decimal"/>
      <w:start w:val="1"/>
    </w:lvl>
  </w:abstractNum>
  <w:abstractNum w:abstractNumId="112">
    <w:nsid w:val="5B25ACE2"/>
    <w:multiLevelType w:val="hybridMultilevel"/>
    <w:lvl w:ilvl="0">
      <w:lvlJc w:val="left"/>
      <w:lvlText w:val="(%1)"/>
      <w:numFmt w:val="decimal"/>
      <w:start w:val="1"/>
    </w:lvl>
  </w:abstractNum>
  <w:abstractNum w:abstractNumId="113">
    <w:nsid w:val="175DFCF0"/>
    <w:multiLevelType w:val="hybridMultilevel"/>
    <w:lvl w:ilvl="0">
      <w:lvlJc w:val="left"/>
      <w:lvlText w:val="(%1)"/>
      <w:numFmt w:val="decimal"/>
      <w:start w:val="1"/>
    </w:lvl>
  </w:abstractNum>
  <w:abstractNum w:abstractNumId="114">
    <w:nsid w:val="4F97E3E4"/>
    <w:multiLevelType w:val="hybridMultilevel"/>
    <w:lvl w:ilvl="0">
      <w:lvlJc w:val="left"/>
      <w:lvlText w:val="(%1)"/>
      <w:numFmt w:val="decimal"/>
      <w:start w:val="2"/>
    </w:lvl>
  </w:abstractNum>
  <w:abstractNum w:abstractNumId="115">
    <w:nsid w:val="53B0A9E"/>
    <w:multiLevelType w:val="hybridMultilevel"/>
    <w:lvl w:ilvl="0">
      <w:lvlJc w:val="left"/>
      <w:lvlText w:val="(%1)"/>
      <w:numFmt w:val="decimal"/>
      <w:start w:val="1"/>
    </w:lvl>
  </w:abstractNum>
  <w:abstractNum w:abstractNumId="116">
    <w:nsid w:val="34FD6B4F"/>
    <w:multiLevelType w:val="hybridMultilevel"/>
    <w:lvl w:ilvl="0">
      <w:lvlJc w:val="left"/>
      <w:lvlText w:val="(%1)"/>
      <w:numFmt w:val="decimal"/>
      <w:start w:val="1"/>
    </w:lvl>
  </w:abstractNum>
  <w:abstractNum w:abstractNumId="117">
    <w:nsid w:val="5915FF32"/>
    <w:multiLevelType w:val="hybridMultilevel"/>
    <w:lvl w:ilvl="0">
      <w:lvlJc w:val="left"/>
      <w:lvlText w:val="ø"/>
      <w:numFmt w:val="bullet"/>
      <w:start w:val="1"/>
    </w:lvl>
  </w:abstractNum>
  <w:abstractNum w:abstractNumId="118">
    <w:nsid w:val="56438D15"/>
    <w:multiLevelType w:val="hybridMultilevel"/>
    <w:lvl w:ilvl="0">
      <w:lvlJc w:val="left"/>
      <w:lvlText w:val="(%1)"/>
      <w:numFmt w:val="decimal"/>
      <w:start w:val="1"/>
    </w:lvl>
    <w:lvl w:ilvl="1">
      <w:lvlJc w:val="left"/>
      <w:lvlText w:val="%2."/>
      <w:numFmt w:val="decimal"/>
      <w:start w:val="1"/>
    </w:lvl>
  </w:abstractNum>
  <w:abstractNum w:abstractNumId="119">
    <w:nsid w:val="519E3149"/>
    <w:multiLevelType w:val="hybridMultilevel"/>
    <w:lvl w:ilvl="0">
      <w:lvlJc w:val="left"/>
      <w:lvlText w:val="•"/>
      <w:numFmt w:val="bullet"/>
      <w:start w:val="1"/>
    </w:lvl>
  </w:abstractNum>
  <w:abstractNum w:abstractNumId="120">
    <w:nsid w:val="2C6E4AFD"/>
    <w:multiLevelType w:val="hybridMultilevel"/>
    <w:lvl w:ilvl="0">
      <w:lvlJc w:val="left"/>
      <w:lvlText w:val="•"/>
      <w:numFmt w:val="bullet"/>
      <w:start w:val="1"/>
    </w:lvl>
  </w:abstractNum>
  <w:abstractNum w:abstractNumId="121">
    <w:nsid w:val="17A1B582"/>
    <w:multiLevelType w:val="hybridMultilevel"/>
    <w:lvl w:ilvl="0">
      <w:lvlJc w:val="left"/>
      <w:lvlText w:val="•"/>
      <w:numFmt w:val="bullet"/>
      <w:start w:val="1"/>
    </w:lvl>
  </w:abstractNum>
  <w:abstractNum w:abstractNumId="122">
    <w:nsid w:val="4DF72E4E"/>
    <w:multiLevelType w:val="hybridMultilevel"/>
    <w:lvl w:ilvl="0">
      <w:lvlJc w:val="left"/>
      <w:lvlText w:val="•"/>
      <w:numFmt w:val="bullet"/>
      <w:start w:val="1"/>
    </w:lvl>
  </w:abstractNum>
  <w:abstractNum w:abstractNumId="123">
    <w:nsid w:val="5046B5A9"/>
    <w:multiLevelType w:val="hybridMultilevel"/>
    <w:lvl w:ilvl="0">
      <w:lvlJc w:val="left"/>
      <w:lvlText w:val="•"/>
      <w:numFmt w:val="bullet"/>
      <w:start w:val="1"/>
    </w:lvl>
  </w:abstractNum>
  <w:abstractNum w:abstractNumId="124">
    <w:nsid w:val="5D888A08"/>
    <w:multiLevelType w:val="hybridMultilevel"/>
    <w:lvl w:ilvl="0">
      <w:lvlJc w:val="left"/>
      <w:lvlText w:val="•"/>
      <w:numFmt w:val="bullet"/>
      <w:start w:val="1"/>
    </w:lvl>
  </w:abstractNum>
  <w:abstractNum w:abstractNumId="125">
    <w:nsid w:val="2A082C70"/>
    <w:multiLevelType w:val="hybridMultilevel"/>
    <w:lvl w:ilvl="0">
      <w:lvlJc w:val="left"/>
      <w:lvlText w:val="(%1)"/>
      <w:numFmt w:val="lowerRoman"/>
      <w:start w:val="2"/>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lowerRoman"/>
      <w:start w:val="1"/>
    </w:lvl>
  </w:abstractNum>
  <w:abstractNum w:abstractNumId="131">
    <w:nsid w:val="20EE134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90" Type="http://schemas.openxmlformats.org/officeDocument/2006/relationships/image" Target="media/image131.png"/><Relationship Id="rId191"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1" Type="http://schemas.openxmlformats.org/officeDocument/2006/relationships/image" Target="media/image187.png"/><Relationship Id="rId252" Type="http://schemas.openxmlformats.org/officeDocument/2006/relationships/image" Target="media/image188.png"/><Relationship Id="rId253" Type="http://schemas.openxmlformats.org/officeDocument/2006/relationships/image" Target="media/image189.png"/><Relationship Id="rId254" Type="http://schemas.openxmlformats.org/officeDocument/2006/relationships/image" Target="media/image190.png"/><Relationship Id="rId255" Type="http://schemas.openxmlformats.org/officeDocument/2006/relationships/image" Target="media/image191.png"/><Relationship Id="rId256" Type="http://schemas.openxmlformats.org/officeDocument/2006/relationships/image" Target="media/image192.png"/><Relationship Id="rId132" Type="http://schemas.openxmlformats.org/officeDocument/2006/relationships/hyperlink" Target="http://www.sec.gov/Archives/edgar/data/1325702/000119312520091932/d908763dex101.htm" TargetMode="External"/><Relationship Id="rId133" Type="http://schemas.openxmlformats.org/officeDocument/2006/relationships/hyperlink" Target="http://www.sec.gov/Archives/edgar/data/1325702/000119312511062703/dex31.htm" TargetMode="External"/><Relationship Id="rId134" Type="http://schemas.openxmlformats.org/officeDocument/2006/relationships/hyperlink" Target="http://www.sec.gov/Archives/edgar/data/1325702/000119312511062703/dex32.htm" TargetMode="External"/><Relationship Id="rId135" Type="http://schemas.openxmlformats.org/officeDocument/2006/relationships/hyperlink" Target="http://www.sec.gov/Archives/edgar/data/1325702/000119312520329844/d85816dex31.htm" TargetMode="External"/><Relationship Id="rId136" Type="http://schemas.openxmlformats.org/officeDocument/2006/relationships/hyperlink" Target="http://www.sec.gov/Archives/edgar/data/1325702/000119312516582070/d161114dex31.htm" TargetMode="External"/><Relationship Id="rId137" Type="http://schemas.openxmlformats.org/officeDocument/2006/relationships/hyperlink" Target="http://www.sec.gov/Archives/edgar/data/1325702/000095012310047545/f54652a2exv3w6.htm" TargetMode="External"/><Relationship Id="rId138" Type="http://schemas.openxmlformats.org/officeDocument/2006/relationships/hyperlink" Target="http://www.sec.gov/Archives/edgar/data/1325702/000095014215000541/eh1500371_ex0301.htm" TargetMode="External"/><Relationship Id="rId139" Type="http://schemas.openxmlformats.org/officeDocument/2006/relationships/hyperlink" Target="http://www.sec.gov/Archives/edgar/data/1325702/000119312521355865/d152828dex31.htm" TargetMode="External"/><Relationship Id="rId142" Type="http://schemas.openxmlformats.org/officeDocument/2006/relationships/hyperlink" Target="http://www.sec.gov/Archives/edgar/data/1325702/000095012310036061/f54652a1exv10w2.htm" TargetMode="External"/><Relationship Id="rId143" Type="http://schemas.openxmlformats.org/officeDocument/2006/relationships/hyperlink" Target="http://www.sec.gov/Archives/edgar/data/1325702/000119312519048327/d695091dex1024.htm" TargetMode="External"/><Relationship Id="rId144" Type="http://schemas.openxmlformats.org/officeDocument/2006/relationships/hyperlink" Target="http://www.sec.gov/Archives/edgar/data/1325702/000119312520171326/d922566dex101.htm" TargetMode="External"/><Relationship Id="rId145" Type="http://schemas.openxmlformats.org/officeDocument/2006/relationships/hyperlink" Target="http://www.sec.gov/Archives/edgar/data/1325702/000119312511039495/dex1026.htm" TargetMode="External"/><Relationship Id="rId146" Type="http://schemas.openxmlformats.org/officeDocument/2006/relationships/hyperlink" Target="http://www.sec.gov/Archives/edgar/data/1325702/000095012310024348/f54652orexv10w49.htm" TargetMode="External"/><Relationship Id="rId147" Type="http://schemas.openxmlformats.org/officeDocument/2006/relationships/hyperlink" Target="http://www.sec.gov/Archives/edgar/data/1325702/000119312515046730/d655531dex1036.htm" TargetMode="External"/><Relationship Id="rId148" Type="http://schemas.openxmlformats.org/officeDocument/2006/relationships/hyperlink" Target="http://www.sec.gov/Archives/edgar/data/1325702/000119312515370252/d78736dex101.htm" TargetMode="External"/><Relationship Id="rId149" Type="http://schemas.openxmlformats.org/officeDocument/2006/relationships/hyperlink" Target="http://www.sec.gov/Archives/edgar/data/1325702/000119312515370252/d78736dex102.htm" TargetMode="External"/><Relationship Id="rId150" Type="http://schemas.openxmlformats.org/officeDocument/2006/relationships/hyperlink" Target="http://www.sec.gov/Archives/edgar/data/1325702/000119312518138973/d571231dex101.htm" TargetMode="External"/><Relationship Id="rId151" Type="http://schemas.openxmlformats.org/officeDocument/2006/relationships/hyperlink" Target="http://www.sec.gov/Archives/edgar/data/1325702/000119312519048327/d695091dex10294.htm" TargetMode="External"/><Relationship Id="rId152" Type="http://schemas.openxmlformats.org/officeDocument/2006/relationships/hyperlink" Target="http://www.sec.gov/Archives/edgar/data/1325702/000119312515046730/d655531dex1037.htm" TargetMode="External"/><Relationship Id="rId153" Type="http://schemas.openxmlformats.org/officeDocument/2006/relationships/hyperlink" Target="http://www.sec.gov/Archives/edgar/data/1325702/000119312515370252/d78736dex104.htm" TargetMode="External"/><Relationship Id="rId154" Type="http://schemas.openxmlformats.org/officeDocument/2006/relationships/hyperlink" Target="http://www.sec.gov/Archives/edgar/data/1325702/000119312518309120/d645333dex101.htm" TargetMode="External"/><Relationship Id="rId155" Type="http://schemas.openxmlformats.org/officeDocument/2006/relationships/hyperlink" Target="http://www.sec.gov/Archives/edgar/data/1325702/000119312516470674/d103672dex1036.htm" TargetMode="External"/><Relationship Id="rId158" Type="http://schemas.openxmlformats.org/officeDocument/2006/relationships/hyperlink" Target="http://www.sec.gov/Archives/edgar/data/1325702/000119312515370252/d78736dex106.htm" TargetMode="External"/><Relationship Id="rId159" Type="http://schemas.openxmlformats.org/officeDocument/2006/relationships/hyperlink" Target="http://www.sec.gov/Archives/edgar/data/1325702/000119312518309120/d645333dex102.htm" TargetMode="External"/><Relationship Id="rId160" Type="http://schemas.openxmlformats.org/officeDocument/2006/relationships/hyperlink" Target="http://www.sec.gov/Archives/edgar/data/1325702/000119312520212439/d53649dex109.htm" TargetMode="External"/><Relationship Id="rId161" Type="http://schemas.openxmlformats.org/officeDocument/2006/relationships/hyperlink" Target="http://www.sec.gov/Archives/edgar/data/1325702/000119312522050017/d282977dex1030.htm" TargetMode="External"/><Relationship Id="rId162" Type="http://schemas.openxmlformats.org/officeDocument/2006/relationships/hyperlink" Target="http://www.sec.gov/Archives/edgar/data/1325702/000119312511211470/dex1054.htm" TargetMode="External"/><Relationship Id="rId163" Type="http://schemas.openxmlformats.org/officeDocument/2006/relationships/hyperlink" Target="http://www.sec.gov/Archives/edgar/data/1325702/000119312511039495/dex1055.htm" TargetMode="External"/><Relationship Id="rId164" Type="http://schemas.openxmlformats.org/officeDocument/2006/relationships/hyperlink" Target="http://www.sec.gov/Archives/edgar/data/1325702/000119312511039495/dex1056.htm" TargetMode="External"/><Relationship Id="rId165" Type="http://schemas.openxmlformats.org/officeDocument/2006/relationships/hyperlink" Target="http://www.sec.gov/Archives/edgar/data/1325702/000119312511039495/dex1057.htm" TargetMode="External"/><Relationship Id="rId166" Type="http://schemas.openxmlformats.org/officeDocument/2006/relationships/hyperlink" Target="http://www.sec.gov/Archives/edgar/data/1325702/000119312511039495/dex1058.htm" TargetMode="External"/><Relationship Id="rId167" Type="http://schemas.openxmlformats.org/officeDocument/2006/relationships/hyperlink" Target="http://www.sec.gov/Archives/edgar/data/1325702/000119312511039495/dex1059.htm" TargetMode="External"/><Relationship Id="rId168" Type="http://schemas.openxmlformats.org/officeDocument/2006/relationships/hyperlink" Target="http://www.sec.gov/Archives/edgar/data/1325702/000119312511039495/dex1060.htm" TargetMode="External"/><Relationship Id="rId169" Type="http://schemas.openxmlformats.org/officeDocument/2006/relationships/hyperlink" Target="http://www.sec.gov/Archives/edgar/data/1325702/000119312516580819/d184718dex101.htm" TargetMode="External"/><Relationship Id="rId170" Type="http://schemas.openxmlformats.org/officeDocument/2006/relationships/hyperlink" Target="http://www.sec.gov/Archives/edgar/data/1325702/000119312518309120/d645333dex103.htm" TargetMode="External"/><Relationship Id="rId171" Type="http://schemas.openxmlformats.org/officeDocument/2006/relationships/hyperlink" Target="http://www.sec.gov/Archives/edgar/data/1325702/000119312518309120/d645333dex104.htm" TargetMode="External"/><Relationship Id="rId172" Type="http://schemas.openxmlformats.org/officeDocument/2006/relationships/hyperlink" Target="http://www.sec.gov/Archives/edgar/data/1325702/000119312518309120/d645333dex105.htm" TargetMode="External"/><Relationship Id="rId175" Type="http://schemas.openxmlformats.org/officeDocument/2006/relationships/hyperlink" Target="http://www.sec.gov/Archives/edgar/data/1325702/000119312520193326/d945107dex992.htm" TargetMode="External"/><Relationship Id="rId176" Type="http://schemas.openxmlformats.org/officeDocument/2006/relationships/hyperlink" Target="http://www.sec.gov/Archives/edgar/data/1325702/000119312520193326/d945107dex993.htm" TargetMode="External"/><Relationship Id="rId177" Type="http://schemas.openxmlformats.org/officeDocument/2006/relationships/hyperlink" Target="http://www.sec.gov/Archives/edgar/data/1325702/000119312520193326/d945107dex994.htm" TargetMode="External"/><Relationship Id="rId178" Type="http://schemas.openxmlformats.org/officeDocument/2006/relationships/hyperlink" Target="http://www.sec.gov/Archives/edgar/data/1325702/000119312520193326/d945107dex995.htm" TargetMode="External"/><Relationship Id="rId179" Type="http://schemas.openxmlformats.org/officeDocument/2006/relationships/hyperlink" Target="http://www.sec.gov/Archives/edgar/data/1325702/000119312520193326/d945107dex996.htm" TargetMode="External"/><Relationship Id="rId180" Type="http://schemas.openxmlformats.org/officeDocument/2006/relationships/hyperlink" Target="http://www.sec.gov/Archives/edgar/data/1325702/000119312520193326/d945107dex997.htm" TargetMode="External"/><Relationship Id="rId181" Type="http://schemas.openxmlformats.org/officeDocument/2006/relationships/hyperlink" Target="http://www.sec.gov/Archives/edgar/data/1325702/000119312522280137/d306034dex108.htm" TargetMode="External"/><Relationship Id="rId182" Type="http://schemas.openxmlformats.org/officeDocument/2006/relationships/hyperlink" Target="http://www.sec.gov/Archives/edgar/data/1325702/000119312522280137/d306034dex109.htm" TargetMode="External"/><Relationship Id="rId183" Type="http://schemas.openxmlformats.org/officeDocument/2006/relationships/hyperlink" Target="http://www.sec.gov/Archives/edgar/data/1325702/000119312522280137/d306034dex101.htm" TargetMode="External"/><Relationship Id="rId184" Type="http://schemas.openxmlformats.org/officeDocument/2006/relationships/hyperlink" Target="http://www.sec.gov/Archives/edgar/data/1325702/000119312522280137/d306034dex102.htm" TargetMode="External"/><Relationship Id="rId185" Type="http://schemas.openxmlformats.org/officeDocument/2006/relationships/hyperlink" Target="http://www.sec.gov/Archives/edgar/data/1325702/000119312522280137/d306034dex103.htm" TargetMode="External"/><Relationship Id="rId186" Type="http://schemas.openxmlformats.org/officeDocument/2006/relationships/hyperlink" Target="http://www.sec.gov/Archives/edgar/data/1325702/000119312522280137/d306034dex104.htm" TargetMode="External"/><Relationship Id="rId187" Type="http://schemas.openxmlformats.org/officeDocument/2006/relationships/hyperlink" Target="http://www.sec.gov/Archives/edgar/data/1325702/000119312522280137/d306034dex105.htm" TargetMode="External"/><Relationship Id="rId188" Type="http://schemas.openxmlformats.org/officeDocument/2006/relationships/hyperlink" Target="http://www.sec.gov/Archives/edgar/data/1325702/000119312522280137/d306034dex106.htm" TargetMode="External"/><Relationship Id="rId189" Type="http://schemas.openxmlformats.org/officeDocument/2006/relationships/hyperlink" Target="http://www.sec.gov/Archives/edgar/data/1325702/000119312523100523/d482271dex101.htm" TargetMode="External"/><Relationship Id="rId192" Type="http://schemas.openxmlformats.org/officeDocument/2006/relationships/hyperlink" Target="http://www.sec.gov/Archives/edgar/data/1325702/000119312524077621/d819823dex101.htm" TargetMode="External"/><Relationship Id="rId193" Type="http://schemas.openxmlformats.org/officeDocument/2006/relationships/hyperlink" Target="http://www.sec.gov/Archives/edgar/data/1325702/000119312524189946/d850962dex101.htm" TargetMode="External"/><Relationship Id="rId194" Type="http://schemas.openxmlformats.org/officeDocument/2006/relationships/hyperlink" Target="http://www.sec.gov/Archives/edgar/data/1325702/000119312524189946/d850962dex102.htm" TargetMode="External"/><Relationship Id="rId195" Type="http://schemas.openxmlformats.org/officeDocument/2006/relationships/hyperlink" Target="http://www.sec.gov/Archives/edgar/data/1325702/000119312525054810/d932398dex161.htm" TargetMode="External"/><Relationship Id="rId196" Type="http://schemas.openxmlformats.org/officeDocument/2006/relationships/hyperlink" Target="http://www.sec.gov/Archives/edgar/data/1325702/000119312524063674/d183811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2025-03-14T16:32:25Z</dcterms:created>
  <dcterms:modified xsi:type="dcterms:W3CDTF">2025-03-14T16:32:25Z</dcterms:modified>
</cp:coreProperties>
</file>