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color w:val="auto"/>
        </w:rPr>
        <w:t>(Amendment No. 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MAGNACHIP SEMICONDUCTOR CORPORATION</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55933J203</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2020</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55933J203</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61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2,959,604</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2,959,604</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2,959,604</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ectPr>
          <w:pgSz w:w="11900" w:h="16838" w:orient="portrait"/>
          <w:cols w:equalWidth="0" w:num="1">
            <w:col w:w="10139"/>
          </w:cols>
          <w:pgMar w:left="320" w:top="7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3.</w:t>
      </w: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-151130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920" w:space="720"/>
            <w:col w:w="8499"/>
          </w:cols>
          <w:pgMar w:left="320" w:top="706" w:right="1440"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2,959,604</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2,959,604</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type w:val="continuous"/>
        </w:sectPr>
      </w:pPr>
    </w:p>
    <w:bookmarkStart w:id="2" w:name="page3"/>
    <w:bookmarkEnd w:id="2"/>
    <w:p>
      <w:pPr>
        <w:spacing w:after="0" w:line="106" w:lineRule="exact"/>
        <w:rPr>
          <w:sz w:val="20"/>
          <w:szCs w:val="20"/>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2,959,604</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ectPr>
          <w:pgSz w:w="11900" w:h="16945" w:orient="portrait"/>
          <w:cols w:equalWidth="0" w:num="1">
            <w:col w:w="10039"/>
          </w:cols>
          <w:pgMar w:left="42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3.</w:t>
      </w:r>
    </w:p>
    <w:p>
      <w:pPr>
        <w:spacing w:after="0" w:line="2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-151130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ectPr>
          <w:pgSz w:w="11900" w:h="16945" w:orient="portrait"/>
          <w:cols w:equalWidth="0" w:num="2">
            <w:col w:w="820" w:space="720"/>
            <w:col w:w="8499"/>
          </w:cols>
          <w:pgMar w:left="420" w:top="126" w:right="1440"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2,959,604</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2,959,604</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2,959,604</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ectPr>
          <w:pgSz w:w="11900" w:h="16945" w:orient="portrait"/>
          <w:cols w:equalWidth="0" w:num="1">
            <w:col w:w="10039"/>
          </w:cols>
          <w:pgMar w:left="420" w:top="12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3.</w:t>
      </w:r>
    </w:p>
    <w:p>
      <w:pPr>
        <w:spacing w:after="0" w:line="2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-151130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Rhodora J. Donahue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ectPr>
          <w:pgSz w:w="11900" w:h="16945" w:orient="portrait"/>
          <w:cols w:equalWidth="0" w:num="2">
            <w:col w:w="820" w:space="720"/>
            <w:col w:w="8499"/>
          </w:cols>
          <w:pgMar w:left="420" w:top="126"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21"/>
          <w:szCs w:val="2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-151130</wp:posOffset>
            </wp:positionV>
            <wp:extent cx="5829300" cy="614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9300" cy="6146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Shared Voting Power: 2,959,604</w:t>
      </w:r>
    </w:p>
    <w:p>
      <w:pPr>
        <w:sectPr>
          <w:pgSz w:w="11900" w:h="16945" w:orient="portrait"/>
          <w:cols w:equalWidth="0" w:num="3">
            <w:col w:w="1840" w:space="420"/>
            <w:col w:w="220" w:space="720"/>
            <w:col w:w="6839"/>
          </w:cols>
          <w:pgMar w:left="420" w:top="126" w:right="1440" w:bottom="0" w:gutter="0" w:footer="0" w:header="0"/>
          <w:type w:val="continuous"/>
        </w:sectPr>
      </w:pPr>
    </w:p>
    <w:bookmarkStart w:id="3" w:name="page4"/>
    <w:bookmarkEnd w:id="3"/>
    <w:p>
      <w:pPr>
        <w:spacing w:after="0" w:line="6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7.</w:t>
      </w:r>
    </w:p>
    <w:p>
      <w:pPr>
        <w:spacing w:after="0" w:line="23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-142240</wp:posOffset>
            </wp:positionV>
            <wp:extent cx="5829300"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6000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Shared Dispositive Power: 2,959,604</w:t>
      </w:r>
    </w:p>
    <w:p>
      <w:pPr>
        <w:spacing w:after="0" w:line="200" w:lineRule="exact"/>
        <w:rPr>
          <w:sz w:val="20"/>
          <w:szCs w:val="20"/>
          <w:color w:val="auto"/>
        </w:rPr>
      </w:pPr>
    </w:p>
    <w:p>
      <w:pPr>
        <w:sectPr>
          <w:pgSz w:w="11900" w:h="16901" w:orient="portrait"/>
          <w:cols w:equalWidth="0" w:num="2">
            <w:col w:w="2580" w:space="720"/>
            <w:col w:w="6839"/>
          </w:cols>
          <w:pgMar w:left="320" w:top="112"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1640" w:hanging="93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2,959,604</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ectPr>
          <w:pgSz w:w="11900" w:h="16901" w:orient="portrait"/>
          <w:cols w:equalWidth="0" w:num="1">
            <w:col w:w="10139"/>
          </w:cols>
          <w:pgMar w:left="320" w:top="1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3.</w:t>
      </w: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-151130</wp:posOffset>
            </wp:positionV>
            <wp:extent cx="5383530" cy="2408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0" w:lineRule="exact"/>
        <w:rPr>
          <w:sz w:val="20"/>
          <w:szCs w:val="20"/>
          <w:color w:val="auto"/>
        </w:rPr>
      </w:pPr>
    </w:p>
    <w:p>
      <w:pPr>
        <w:sectPr>
          <w:pgSz w:w="11900" w:h="16901" w:orient="portrait"/>
          <w:cols w:equalWidth="0" w:num="2">
            <w:col w:w="920" w:space="720"/>
            <w:col w:w="8499"/>
          </w:cols>
          <w:pgMar w:left="320" w:top="112" w:right="1440"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2,959,604</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2,959,604</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2,959,604</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8.33%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9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ectPr>
          <w:pgSz w:w="11900" w:h="16901" w:orient="portrait"/>
          <w:cols w:equalWidth="0" w:num="1">
            <w:col w:w="10139"/>
          </w:cols>
          <w:pgMar w:left="320" w:top="112" w:right="1440" w:bottom="0" w:gutter="0" w:footer="0" w:header="0"/>
          <w:type w:val="continuous"/>
        </w:sectPr>
      </w:pP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w:t>
      </w:r>
    </w:p>
    <w:p>
      <w:pPr>
        <w:spacing w:after="0" w:line="22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-151130</wp:posOffset>
            </wp:positionV>
            <wp:extent cx="538353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MAGNACHIP SEMICONDUCTOR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Rue De Merl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 N4 L-2146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-151130</wp:posOffset>
            </wp:positionV>
            <wp:extent cx="5383530" cy="451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Of Principal Business Office or, if none, Residence</w:t>
      </w:r>
    </w:p>
    <w:p>
      <w:pPr>
        <w:sectPr>
          <w:pgSz w:w="11900" w:h="16901" w:orient="portrait"/>
          <w:cols w:equalWidth="0" w:num="2">
            <w:col w:w="1080" w:space="720"/>
            <w:col w:w="8339"/>
          </w:cols>
          <w:pgMar w:left="320" w:top="112" w:right="1440" w:bottom="0" w:gutter="0" w:footer="0" w:header="0"/>
          <w:type w:val="continuous"/>
        </w:sectPr>
      </w:pPr>
    </w:p>
    <w:bookmarkStart w:id="4" w:name="page5"/>
    <w:bookmarkEnd w:id="4"/>
    <w:p>
      <w:pPr>
        <w:spacing w:after="0" w:line="200" w:lineRule="exact"/>
        <w:rPr>
          <w:sz w:val="20"/>
          <w:szCs w:val="20"/>
          <w:color w:val="auto"/>
        </w:rPr>
      </w:pPr>
    </w:p>
    <w:p>
      <w:pPr>
        <w:spacing w:after="0" w:line="3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(c)</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 Liberty Avenue, Pittsburgh, PA 15222-3779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-281305</wp:posOffset>
            </wp:positionV>
            <wp:extent cx="538353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Number: 55933J203</w:t>
      </w:r>
    </w:p>
    <w:p>
      <w:pPr>
        <w:spacing w:after="0" w:line="200" w:lineRule="exact"/>
        <w:rPr>
          <w:sz w:val="20"/>
          <w:szCs w:val="20"/>
          <w:color w:val="auto"/>
        </w:rPr>
      </w:pPr>
    </w:p>
    <w:p>
      <w:pPr>
        <w:sectPr>
          <w:pgSz w:w="11900" w:h="16900" w:orient="portrait"/>
          <w:cols w:equalWidth="0" w:num="2">
            <w:col w:w="1080" w:space="720"/>
            <w:col w:w="9420"/>
          </w:cols>
          <w:pgMar w:left="320" w:top="342" w:right="359" w:bottom="0" w:gutter="0" w:footer="0" w:header="0"/>
        </w:sectPr>
      </w:pPr>
    </w:p>
    <w:p>
      <w:pPr>
        <w:spacing w:after="0" w:line="1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6"/>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78"/>
        </w:trPr>
        <w:tc>
          <w:tcPr>
            <w:tcW w:w="1120" w:type="dxa"/>
            <w:vAlign w:val="bottom"/>
            <w:tcBorders>
              <w:left w:val="single" w:sz="8" w:color="auto"/>
              <w:right w:val="single" w:sz="8" w:color="auto"/>
            </w:tcBorders>
          </w:tcPr>
          <w:p>
            <w:pPr>
              <w:spacing w:after="0"/>
              <w:rPr>
                <w:sz w:val="6"/>
                <w:szCs w:val="6"/>
                <w:color w:val="auto"/>
              </w:rPr>
            </w:pPr>
          </w:p>
        </w:tc>
        <w:tc>
          <w:tcPr>
            <w:tcW w:w="7380" w:type="dxa"/>
            <w:vAlign w:val="bottom"/>
            <w:tcBorders>
              <w:right w:val="single" w:sz="8" w:color="auto"/>
            </w:tcBorders>
          </w:tcPr>
          <w:p>
            <w:pPr>
              <w:spacing w:after="0"/>
              <w:rPr>
                <w:sz w:val="6"/>
                <w:szCs w:val="6"/>
                <w:color w:val="auto"/>
              </w:rPr>
            </w:pPr>
          </w:p>
        </w:tc>
      </w:tr>
    </w:tbl>
    <w:p>
      <w:pPr>
        <w:sectPr>
          <w:pgSz w:w="11900" w:h="16900" w:orient="portrait"/>
          <w:cols w:equalWidth="0" w:num="1">
            <w:col w:w="11220"/>
          </w:cols>
          <w:pgMar w:left="320" w:top="342" w:right="359" w:bottom="0" w:gutter="0" w:footer="0" w:header="0"/>
          <w:type w:val="continuous"/>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Rhodora J.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8.33%</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2,959,604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5" w:gutter="0" w:footer="0" w:header="0"/>
        </w:sectPr>
      </w:pPr>
    </w:p>
    <w:bookmarkStart w:id="6" w:name="page7"/>
    <w:bookmarkEnd w:id="6"/>
    <w:p>
      <w:pPr>
        <w:spacing w:after="0" w:line="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2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12, 2021</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12, 2021</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12, 2021</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 of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12, 2021</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91" w:orient="portrait"/>
          <w:cols w:equalWidth="0" w:num="1">
            <w:col w:w="11220"/>
          </w:cols>
          <w:pgMar w:left="320" w:top="111" w:right="359" w:bottom="0" w:gutter="0" w:footer="0" w:header="0"/>
        </w:sectPr>
      </w:pPr>
    </w:p>
    <w:bookmarkStart w:id="7" w:name="page8"/>
    <w:bookmarkEnd w:id="7"/>
    <w:p>
      <w:pPr>
        <w:ind w:right="200"/>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1" w:right="4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82"/>
        </w:trPr>
        <w:tc>
          <w:tcPr>
            <w:tcW w:w="3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tcPr>
          <w:p>
            <w:pPr>
              <w:jc w:val="center"/>
              <w:ind w:right="3392"/>
              <w:spacing w:after="0"/>
              <w:rPr>
                <w:sz w:val="20"/>
                <w:szCs w:val="20"/>
                <w:color w:val="auto"/>
              </w:rPr>
            </w:pPr>
            <w:r>
              <w:rPr>
                <w:rFonts w:ascii="Times New Roman" w:cs="Times New Roman" w:eastAsia="Times New Roman" w:hAnsi="Times New Roman"/>
                <w:sz w:val="22"/>
                <w:szCs w:val="22"/>
                <w:color w:val="auto"/>
                <w:w w:val="98"/>
              </w:rPr>
              <w:t>EXHIBIT “1”</w:t>
            </w:r>
          </w:p>
        </w:tc>
      </w:tr>
      <w:tr>
        <w:trPr>
          <w:trHeight w:val="459"/>
        </w:trPr>
        <w:tc>
          <w:tcPr>
            <w:tcW w:w="3000" w:type="dxa"/>
            <w:vAlign w:val="bottom"/>
          </w:tcPr>
          <w:p>
            <w:pPr>
              <w:spacing w:after="0"/>
              <w:rPr>
                <w:sz w:val="24"/>
                <w:szCs w:val="24"/>
                <w:color w:val="auto"/>
              </w:rPr>
            </w:pPr>
          </w:p>
        </w:tc>
        <w:tc>
          <w:tcPr>
            <w:tcW w:w="8240" w:type="dxa"/>
            <w:vAlign w:val="bottom"/>
            <w:gridSpan w:val="2"/>
          </w:tcPr>
          <w:p>
            <w:pPr>
              <w:jc w:val="center"/>
              <w:ind w:right="2872"/>
              <w:spacing w:after="0"/>
              <w:rPr>
                <w:sz w:val="20"/>
                <w:szCs w:val="20"/>
                <w:color w:val="auto"/>
              </w:rPr>
            </w:pPr>
            <w:r>
              <w:rPr>
                <w:rFonts w:ascii="Times New Roman" w:cs="Times New Roman" w:eastAsia="Times New Roman" w:hAnsi="Times New Roman"/>
                <w:sz w:val="22"/>
                <w:szCs w:val="22"/>
                <w:color w:val="auto"/>
                <w:w w:val="97"/>
              </w:rPr>
              <w:t>ITEM 3 CLASSIFICATION OF REPORTING PERSONS</w:t>
            </w:r>
          </w:p>
        </w:tc>
      </w:tr>
      <w:tr>
        <w:trPr>
          <w:trHeight w:val="459"/>
        </w:trPr>
        <w:tc>
          <w:tcPr>
            <w:tcW w:w="3000" w:type="dxa"/>
            <w:vAlign w:val="bottom"/>
          </w:tcPr>
          <w:p>
            <w:pPr>
              <w:spacing w:after="0"/>
              <w:rPr>
                <w:sz w:val="24"/>
                <w:szCs w:val="24"/>
                <w:color w:val="auto"/>
              </w:rPr>
            </w:pPr>
          </w:p>
        </w:tc>
        <w:tc>
          <w:tcPr>
            <w:tcW w:w="8240" w:type="dxa"/>
            <w:vAlign w:val="bottom"/>
            <w:gridSpan w:val="2"/>
          </w:tcPr>
          <w:p>
            <w:pPr>
              <w:jc w:val="center"/>
              <w:ind w:right="2892"/>
              <w:spacing w:after="0"/>
              <w:rPr>
                <w:sz w:val="20"/>
                <w:szCs w:val="20"/>
                <w:color w:val="auto"/>
              </w:rPr>
            </w:pPr>
            <w:r>
              <w:rPr>
                <w:rFonts w:ascii="Times New Roman" w:cs="Times New Roman" w:eastAsia="Times New Roman" w:hAnsi="Times New Roman"/>
                <w:sz w:val="22"/>
                <w:szCs w:val="22"/>
                <w:color w:val="auto"/>
                <w:w w:val="98"/>
              </w:rPr>
              <w:t>Identity and Classification of Each Reporting Person</w:t>
            </w:r>
          </w:p>
        </w:tc>
      </w:tr>
      <w:tr>
        <w:trPr>
          <w:trHeight w:val="663"/>
        </w:trPr>
        <w:tc>
          <w:tcPr>
            <w:tcW w:w="3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r>
        <w:trPr>
          <w:trHeight w:val="276"/>
        </w:trPr>
        <w:tc>
          <w:tcPr>
            <w:tcW w:w="3000" w:type="dxa"/>
            <w:vAlign w:val="bottom"/>
            <w:tcBorders>
              <w:lef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IDENTITY</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09"/>
        </w:trPr>
        <w:tc>
          <w:tcPr>
            <w:tcW w:w="3000" w:type="dxa"/>
            <w:vAlign w:val="bottom"/>
            <w:tcBorders>
              <w:lef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520" w:type="dxa"/>
            <w:vAlign w:val="bottom"/>
            <w:tcBorders>
              <w:right w:val="single" w:sz="8" w:color="auto"/>
            </w:tcBorders>
          </w:tcPr>
          <w:p>
            <w:pPr>
              <w:spacing w:after="0"/>
              <w:rPr>
                <w:sz w:val="18"/>
                <w:szCs w:val="18"/>
                <w:color w:val="auto"/>
              </w:rPr>
            </w:pP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(d) Investment company registered under Section 8 of the Investment Company Act of</w:t>
            </w:r>
          </w:p>
        </w:tc>
      </w:tr>
      <w:tr>
        <w:trPr>
          <w:trHeight w:val="282"/>
        </w:trPr>
        <w:tc>
          <w:tcPr>
            <w:tcW w:w="30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 (15 U.S.C. 80a-8)</w:t>
            </w:r>
          </w:p>
        </w:tc>
      </w:tr>
      <w:tr>
        <w:trPr>
          <w:trHeight w:val="204"/>
        </w:trPr>
        <w:tc>
          <w:tcPr>
            <w:tcW w:w="300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000" w:type="dxa"/>
            <w:vAlign w:val="bottom"/>
            <w:tcBorders>
              <w:lef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520" w:type="dxa"/>
            <w:vAlign w:val="bottom"/>
            <w:tcBorders>
              <w:right w:val="single" w:sz="8" w:color="auto"/>
            </w:tcBorders>
          </w:tcPr>
          <w:p>
            <w:pPr>
              <w:spacing w:after="0"/>
              <w:rPr>
                <w:sz w:val="18"/>
                <w:szCs w:val="18"/>
                <w:color w:val="auto"/>
              </w:rPr>
            </w:pP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(e) Investment Adviser registered under Section 203 of the Investment Advisers Act of</w:t>
            </w:r>
          </w:p>
        </w:tc>
      </w:tr>
      <w:tr>
        <w:trPr>
          <w:trHeight w:val="282"/>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520" w:type="dxa"/>
            <w:vAlign w:val="bottom"/>
            <w:tcBorders>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w:t>
            </w:r>
          </w:p>
        </w:tc>
      </w:tr>
      <w:tr>
        <w:trPr>
          <w:trHeight w:val="204"/>
        </w:trPr>
        <w:tc>
          <w:tcPr>
            <w:tcW w:w="300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Federated Hermes, Inc.</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FII Holdings, Inc.</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Thomas R.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Rhodora J.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76"/>
        </w:trPr>
        <w:tc>
          <w:tcPr>
            <w:tcW w:w="3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J. Christopher Donahue</w:t>
            </w:r>
          </w:p>
        </w:tc>
        <w:tc>
          <w:tcPr>
            <w:tcW w:w="520" w:type="dxa"/>
            <w:vAlign w:val="bottom"/>
            <w:tcBorders>
              <w:right w:val="single" w:sz="8" w:color="auto"/>
            </w:tcBorders>
          </w:tcPr>
          <w:p>
            <w:pPr>
              <w:spacing w:after="0"/>
              <w:rPr>
                <w:sz w:val="23"/>
                <w:szCs w:val="23"/>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000" w:type="dxa"/>
            <w:vAlign w:val="bottom"/>
            <w:tcBorders>
              <w:left w:val="single" w:sz="8" w:color="auto"/>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MAGNACHIP SEMICONDUCTOR CORPORATION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00" w:firstLine="656"/>
        <w:spacing w:after="0" w:line="258" w:lineRule="auto"/>
        <w:tabs>
          <w:tab w:leader="none" w:pos="118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12, 2021</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Trustee as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ind w:right="20" w:firstLine="8"/>
        <w:spacing w:after="0" w:line="246" w:lineRule="auto"/>
        <w:tabs>
          <w:tab w:leader="none" w:pos="53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79" w:right="359" w:bottom="24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155575</wp:posOffset>
            </wp:positionV>
            <wp:extent cx="5391785" cy="7071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922"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2021-02-12T14:21:17Z</dcterms:created>
  <dcterms:modified xsi:type="dcterms:W3CDTF">2021-02-12T14:21:17Z</dcterms:modified>
</cp:coreProperties>
</file>