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AllianceBernstein L.P.</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13-4064930</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[X]</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1,677,676</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2,143,525</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2,143,525</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[X]</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6.2%</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60" w:hanging="633"/>
        <w:spacing w:after="0"/>
        <w:tabs>
          <w:tab w:leader="none" w:pos="1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MagnaChip Semiconductor Corp</w:t>
      </w:r>
    </w:p>
    <w:p>
      <w:pPr>
        <w:spacing w:after="0" w:line="101" w:lineRule="exact"/>
        <w:rPr>
          <w:rFonts w:ascii="Arial" w:cs="Arial" w:eastAsia="Arial" w:hAnsi="Arial"/>
          <w:sz w:val="22"/>
          <w:szCs w:val="22"/>
          <w:b w:val="1"/>
          <w:bCs w:val="1"/>
          <w:color w:val="auto"/>
        </w:rPr>
      </w:pPr>
    </w:p>
    <w:p>
      <w:pPr>
        <w:ind w:left="1560" w:hanging="633"/>
        <w:spacing w:after="0"/>
        <w:tabs>
          <w:tab w:leader="none" w:pos="15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C/O MAGNACHIP SEMICONDUCTOR S.A., 74, RUE DE MERL, LUXEMBOURG L-2146,</w:t>
      </w: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LUXEMBOURG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60" w:hanging="633"/>
        <w:spacing w:after="0"/>
        <w:tabs>
          <w:tab w:leader="none" w:pos="15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60" w:right="4300" w:hanging="633"/>
        <w:spacing w:after="0" w:line="335"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5" w:lineRule="exact"/>
        <w:rPr>
          <w:rFonts w:ascii="Arial" w:cs="Arial" w:eastAsia="Arial" w:hAnsi="Arial"/>
          <w:sz w:val="19"/>
          <w:szCs w:val="19"/>
          <w:b w:val="1"/>
          <w:bCs w:val="1"/>
          <w:color w:val="auto"/>
        </w:rPr>
      </w:pPr>
    </w:p>
    <w:p>
      <w:pPr>
        <w:ind w:left="1560" w:right="400"/>
        <w:spacing w:after="0" w:line="251"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6" w:lineRule="exact"/>
        <w:rPr>
          <w:rFonts w:ascii="Arial" w:cs="Arial" w:eastAsia="Arial" w:hAnsi="Arial"/>
          <w:sz w:val="19"/>
          <w:szCs w:val="19"/>
          <w:b w:val="1"/>
          <w:bCs w:val="1"/>
          <w:color w:val="auto"/>
        </w:rPr>
      </w:pPr>
    </w:p>
    <w:p>
      <w:pPr>
        <w:ind w:left="1560" w:right="8660" w:hanging="633"/>
        <w:spacing w:after="0" w:line="335"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560" w:right="7300" w:hanging="633"/>
        <w:spacing w:after="0" w:line="335"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560" w:right="8220" w:hanging="633"/>
        <w:spacing w:after="0" w:line="335"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55933J203</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2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80"/>
            <w:col w:w="888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60" w:hanging="633"/>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60" w:right="120"/>
        <w:spacing w:after="0" w:line="251" w:lineRule="auto"/>
        <w:rPr>
          <w:rFonts w:ascii="Arial" w:cs="Arial" w:eastAsia="Arial" w:hAnsi="Arial"/>
          <w:sz w:val="22"/>
          <w:szCs w:val="22"/>
          <w:color w:val="auto"/>
        </w:rPr>
      </w:pPr>
      <w:r>
        <w:rPr>
          <w:rFonts w:ascii="Arial" w:cs="Arial" w:eastAsia="Arial" w:hAnsi="Arial"/>
          <w:sz w:val="22"/>
          <w:szCs w:val="22"/>
          <w:color w:val="auto"/>
        </w:rPr>
        <w:t>2,143,525 shares acquired solely for investment purposes on behalf of client discretionary investment advisory accounts.*</w:t>
      </w:r>
    </w:p>
    <w:p>
      <w:pPr>
        <w:spacing w:after="0" w:line="92" w:lineRule="exact"/>
        <w:rPr>
          <w:rFonts w:ascii="Arial" w:cs="Arial" w:eastAsia="Arial" w:hAnsi="Arial"/>
          <w:sz w:val="22"/>
          <w:szCs w:val="22"/>
          <w:color w:val="auto"/>
        </w:rPr>
      </w:pPr>
    </w:p>
    <w:p>
      <w:pPr>
        <w:ind w:left="1560" w:right="8240" w:hanging="633"/>
        <w:spacing w:after="0" w:line="358" w:lineRule="auto"/>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6.2%</w:t>
      </w:r>
    </w:p>
    <w:p>
      <w:pPr>
        <w:sectPr>
          <w:pgSz w:w="11900" w:h="16838" w:orient="portrait"/>
          <w:cols w:equalWidth="0" w:num="1">
            <w:col w:w="11260"/>
          </w:cols>
          <w:pgMar w:left="320" w:top="423" w:right="319" w:bottom="0" w:gutter="0" w:footer="0" w:header="0"/>
          <w:type w:val="continuous"/>
        </w:sectPr>
      </w:pPr>
    </w:p>
    <w:p>
      <w:pPr>
        <w:spacing w:after="0" w:line="2" w:lineRule="exact"/>
        <w:rPr>
          <w:sz w:val="20"/>
          <w:szCs w:val="20"/>
          <w:color w:val="auto"/>
        </w:rPr>
      </w:pPr>
    </w:p>
    <w:p>
      <w:pPr>
        <w:ind w:left="1560" w:hanging="633"/>
        <w:spacing w:after="0"/>
        <w:tabs>
          <w:tab w:leader="none" w:pos="15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80" w:hanging="818"/>
        <w:spacing w:after="0"/>
        <w:tabs>
          <w:tab w:leader="none" w:pos="23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80" w:hanging="818"/>
        <w:spacing w:after="0"/>
        <w:tabs>
          <w:tab w:leader="none" w:pos="23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80" w:hanging="818"/>
        <w:spacing w:after="0" w:line="183" w:lineRule="auto"/>
        <w:tabs>
          <w:tab w:leader="none" w:pos="23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80" w:right="780" w:hanging="818"/>
        <w:spacing w:after="0" w:line="183" w:lineRule="auto"/>
        <w:tabs>
          <w:tab w:leader="none" w:pos="23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1,677,676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2,143,525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ectPr>
          <w:pgSz w:w="11900" w:h="16838" w:orient="portrait"/>
          <w:cols w:equalWidth="0" w:num="2">
            <w:col w:w="6560" w:space="340"/>
            <w:col w:w="4360"/>
          </w:cols>
          <w:pgMar w:left="320" w:top="423" w:right="319" w:bottom="0" w:gutter="0" w:footer="0" w:header="0"/>
          <w:type w:val="continuous"/>
        </w:sectPr>
      </w:pPr>
    </w:p>
    <w:bookmarkStart w:id="3" w:name="page4"/>
    <w:bookmarkEnd w:id="3"/>
    <w:p>
      <w:pPr>
        <w:spacing w:after="0" w:line="238" w:lineRule="auto"/>
        <w:rPr>
          <w:sz w:val="20"/>
          <w:szCs w:val="20"/>
          <w:color w:val="auto"/>
        </w:rPr>
      </w:pPr>
      <w:r>
        <w:rPr>
          <w:rFonts w:ascii="Arial" w:cs="Arial" w:eastAsia="Arial" w:hAnsi="Arial"/>
          <w:sz w:val="22"/>
          <w:szCs w:val="22"/>
          <w:color w:val="auto"/>
        </w:rPr>
        <w:t>*AllianceBernstein L.P. is a majority owned subsidiary of AXA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213"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AllianceBernstein may be deemed to share beneficial ownership with EQH reporting persons by virtue of 0 shares of common stock acquired on behalf of the general and special accounts of the affiliated entities for which AllianceBernstein serves as a subadvisor. Each of AllianceBernstein and the EQH entities reporting herein acquired their shares of common stock for investment purposes in the ordinary course of their investment management and insurance businesses.</w:t>
      </w:r>
    </w:p>
    <w:p>
      <w:pPr>
        <w:spacing w:after="0" w:line="5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4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8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40"/>
          </w:cols>
          <w:pgMar w:left="320" w:top="118"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Brenda Coulter</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Date: February 14, 2020</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Name: Brenda Coulter</w:t>
      </w:r>
    </w:p>
    <w:p>
      <w:pPr>
        <w:spacing w:after="0" w:line="44"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Title: 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2020-02-20T16:33:55Z</dcterms:created>
  <dcterms:modified xsi:type="dcterms:W3CDTF">2020-02-20T16:33:55Z</dcterms:modified>
</cp:coreProperties>
</file>