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72390</wp:posOffset>
            </wp:positionH>
            <wp:positionV relativeFrom="page">
              <wp:posOffset>217170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253365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SCHEDULE 13G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(Amendment No. 2)*</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MagnaChip Semiconductor Corporation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of Issuer)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55933J203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December 31,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6" w:lineRule="exact"/>
        <w:rPr>
          <w:sz w:val="24"/>
          <w:szCs w:val="24"/>
          <w:color w:val="auto"/>
        </w:rPr>
      </w:pPr>
    </w:p>
    <w:p>
      <w:pPr>
        <w:ind w:left="1360"/>
        <w:spacing w:after="0"/>
        <w:rPr>
          <w:sz w:val="20"/>
          <w:szCs w:val="20"/>
          <w:color w:val="auto"/>
        </w:rPr>
      </w:pPr>
      <w:r>
        <w:rPr>
          <w:rFonts w:ascii="Arial" w:cs="Arial" w:eastAsia="Arial" w:hAnsi="Arial"/>
          <w:sz w:val="19"/>
          <w:szCs w:val="19"/>
          <w:color w:val="auto"/>
        </w:rPr>
        <w:t>x Rule 13d-1(b)</w:t>
      </w:r>
    </w:p>
    <w:p>
      <w:pPr>
        <w:spacing w:after="0" w:line="238" w:lineRule="exact"/>
        <w:rPr>
          <w:sz w:val="24"/>
          <w:szCs w:val="24"/>
          <w:color w:val="auto"/>
        </w:rPr>
      </w:pPr>
    </w:p>
    <w:p>
      <w:pPr>
        <w:ind w:left="136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Rule 13d-1(c)</w:t>
      </w:r>
    </w:p>
    <w:p>
      <w:pPr>
        <w:spacing w:after="0" w:line="238" w:lineRule="exact"/>
        <w:rPr>
          <w:sz w:val="24"/>
          <w:szCs w:val="24"/>
          <w:color w:val="auto"/>
        </w:rPr>
      </w:pPr>
    </w:p>
    <w:p>
      <w:pPr>
        <w:ind w:left="136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1910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46" w:lineRule="exact"/>
        <w:rPr>
          <w:sz w:val="24"/>
          <w:szCs w:val="24"/>
          <w:color w:val="auto"/>
        </w:rPr>
      </w:pPr>
    </w:p>
    <w:p>
      <w:pPr>
        <w:jc w:val="both"/>
        <w:ind w:firstLine="685"/>
        <w:spacing w:after="0" w:line="304" w:lineRule="auto"/>
        <w:rPr>
          <w:sz w:val="20"/>
          <w:szCs w:val="20"/>
          <w:color w:val="auto"/>
        </w:rPr>
      </w:pPr>
      <w:r>
        <w:rPr>
          <w:rFonts w:ascii="Arial" w:cs="Arial" w:eastAsia="Arial" w:hAnsi="Arial"/>
          <w:sz w:val="18"/>
          <w:szCs w:val="18"/>
          <w:color w:val="auto"/>
        </w:rPr>
        <w:t>*The remainder of this cover page shall be filled out for a reporting personâ€™s initial filing on this form with respect to the subject class of securities, and for any subsequent amendment containing information which would alter the disclosures provided in a prior cover page.</w:t>
      </w:r>
    </w:p>
    <w:p>
      <w:pPr>
        <w:spacing w:after="0" w:line="160" w:lineRule="exact"/>
        <w:rPr>
          <w:sz w:val="24"/>
          <w:szCs w:val="24"/>
          <w:color w:val="auto"/>
        </w:rPr>
      </w:pPr>
    </w:p>
    <w:p>
      <w:pPr>
        <w:jc w:val="both"/>
        <w:ind w:firstLine="685"/>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762508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476885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627" w:right="120" w:bottom="1440" w:gutter="0" w:footer="0" w:header="0"/>
        </w:sectPr>
      </w:pPr>
    </w:p>
    <w:bookmarkStart w:id="1" w:name="page2"/>
    <w:bookmarkEnd w:id="1"/>
    <w:tbl>
      <w:tblPr>
        <w:tblLayout w:type="fixed"/>
        <w:tblInd w:w="16"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5"/>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1080" w:type="dxa"/>
            <w:vAlign w:val="bottom"/>
          </w:tcPr>
          <w:p>
            <w:pPr>
              <w:spacing w:after="0"/>
              <w:rPr>
                <w:sz w:val="17"/>
                <w:szCs w:val="17"/>
                <w:color w:val="auto"/>
              </w:rPr>
            </w:pPr>
          </w:p>
        </w:tc>
        <w:tc>
          <w:tcPr>
            <w:tcW w:w="3600" w:type="dxa"/>
            <w:vAlign w:val="bottom"/>
            <w:tcBorders>
              <w:right w:val="single" w:sz="8" w:color="auto"/>
            </w:tcBorders>
          </w:tcPr>
          <w:p>
            <w:pPr>
              <w:ind w:left="108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jc w:val="right"/>
              <w:ind w:right="2505"/>
              <w:spacing w:after="0" w:line="200" w:lineRule="exact"/>
              <w:rPr>
                <w:sz w:val="20"/>
                <w:szCs w:val="20"/>
                <w:color w:val="auto"/>
              </w:rPr>
            </w:pPr>
            <w:r>
              <w:rPr>
                <w:rFonts w:ascii="Arial" w:cs="Arial" w:eastAsia="Arial" w:hAnsi="Arial"/>
                <w:sz w:val="19"/>
                <w:szCs w:val="19"/>
                <w:color w:val="auto"/>
              </w:rPr>
              <w:t>Page  2  of  7  Pages</w:t>
            </w:r>
          </w:p>
        </w:tc>
        <w:tc>
          <w:tcPr>
            <w:tcW w:w="0" w:type="dxa"/>
            <w:vAlign w:val="bottom"/>
          </w:tcPr>
          <w:p>
            <w:pPr>
              <w:spacing w:after="0"/>
              <w:rPr>
                <w:sz w:val="1"/>
                <w:szCs w:val="1"/>
                <w:color w:val="auto"/>
              </w:rPr>
            </w:pPr>
          </w:p>
        </w:tc>
      </w:tr>
      <w:tr>
        <w:trPr>
          <w:trHeight w:val="23"/>
        </w:trPr>
        <w:tc>
          <w:tcPr>
            <w:tcW w:w="6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1</w:t>
            </w:r>
          </w:p>
        </w:tc>
        <w:tc>
          <w:tcPr>
            <w:tcW w:w="240" w:type="dxa"/>
            <w:vAlign w:val="bottom"/>
            <w:tcBorders>
              <w:right w:val="single" w:sz="8" w:color="auto"/>
            </w:tcBorders>
          </w:tcPr>
          <w:p>
            <w:pPr>
              <w:spacing w:after="0"/>
              <w:rPr>
                <w:sz w:val="24"/>
                <w:szCs w:val="24"/>
                <w:color w:val="auto"/>
              </w:rPr>
            </w:pPr>
          </w:p>
        </w:tc>
        <w:tc>
          <w:tcPr>
            <w:tcW w:w="3000" w:type="dxa"/>
            <w:vAlign w:val="bottom"/>
            <w:gridSpan w:val="4"/>
          </w:tcPr>
          <w:p>
            <w:pPr>
              <w:ind w:left="100"/>
              <w:spacing w:after="0"/>
              <w:rPr>
                <w:sz w:val="20"/>
                <w:szCs w:val="20"/>
                <w:color w:val="auto"/>
              </w:rPr>
            </w:pPr>
            <w:r>
              <w:rPr>
                <w:rFonts w:ascii="Arial" w:cs="Arial" w:eastAsia="Arial" w:hAnsi="Arial"/>
                <w:sz w:val="19"/>
                <w:szCs w:val="19"/>
                <w:color w:val="auto"/>
                <w:w w:val="98"/>
              </w:rPr>
              <w:t>NAME OF REPORTING PERSON</w:t>
            </w: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000" w:type="dxa"/>
            <w:vAlign w:val="bottom"/>
            <w:gridSpan w:val="4"/>
          </w:tcPr>
          <w:p>
            <w:pPr>
              <w:ind w:left="100"/>
              <w:spacing w:after="0"/>
              <w:rPr>
                <w:sz w:val="20"/>
                <w:szCs w:val="20"/>
                <w:color w:val="auto"/>
              </w:rPr>
            </w:pPr>
            <w:r>
              <w:rPr>
                <w:rFonts w:ascii="Arial" w:cs="Arial" w:eastAsia="Arial" w:hAnsi="Arial"/>
                <w:sz w:val="19"/>
                <w:szCs w:val="19"/>
                <w:color w:val="auto"/>
              </w:rPr>
              <w:t>Evermore Global Advisors, LLC</w:t>
            </w: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2</w:t>
            </w:r>
          </w:p>
        </w:tc>
        <w:tc>
          <w:tcPr>
            <w:tcW w:w="240" w:type="dxa"/>
            <w:vAlign w:val="bottom"/>
            <w:tcBorders>
              <w:right w:val="single" w:sz="8" w:color="auto"/>
            </w:tcBorders>
          </w:tcPr>
          <w:p>
            <w:pPr>
              <w:spacing w:after="0"/>
              <w:rPr>
                <w:sz w:val="23"/>
                <w:szCs w:val="23"/>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CHECK THE APPROPRIATE BOX IF A MEMBER OF A GROUP</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vMerge w:val="restart"/>
          </w:tcPr>
          <w:p>
            <w:pPr>
              <w:jc w:val="right"/>
              <w:ind w:right="125"/>
              <w:spacing w:after="0"/>
              <w:rPr>
                <w:sz w:val="20"/>
                <w:szCs w:val="20"/>
                <w:color w:val="auto"/>
              </w:rPr>
            </w:pPr>
            <w:r>
              <w:rPr>
                <w:rFonts w:ascii="Arial" w:cs="Arial" w:eastAsia="Arial" w:hAnsi="Arial"/>
                <w:sz w:val="19"/>
                <w:szCs w:val="19"/>
                <w:color w:val="auto"/>
              </w:rPr>
              <w:t>(a) â˜</w:t>
            </w: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jc w:val="right"/>
              <w:ind w:right="125"/>
              <w:spacing w:after="0"/>
              <w:rPr>
                <w:sz w:val="20"/>
                <w:szCs w:val="20"/>
                <w:color w:val="auto"/>
              </w:rPr>
            </w:pPr>
            <w:r>
              <w:rPr>
                <w:rFonts w:ascii="Arial" w:cs="Arial" w:eastAsia="Arial" w:hAnsi="Arial"/>
                <w:sz w:val="19"/>
                <w:szCs w:val="19"/>
                <w:color w:val="auto"/>
              </w:rPr>
              <w:t>(b) â˜</w:t>
            </w: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3</w:t>
            </w:r>
          </w:p>
        </w:tc>
        <w:tc>
          <w:tcPr>
            <w:tcW w:w="240" w:type="dxa"/>
            <w:vAlign w:val="bottom"/>
            <w:tcBorders>
              <w:right w:val="single" w:sz="8" w:color="auto"/>
            </w:tcBorders>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SEC USE ONLY</w:t>
            </w: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4</w:t>
            </w:r>
          </w:p>
        </w:tc>
        <w:tc>
          <w:tcPr>
            <w:tcW w:w="240" w:type="dxa"/>
            <w:vAlign w:val="bottom"/>
            <w:tcBorders>
              <w:right w:val="single" w:sz="8" w:color="auto"/>
            </w:tcBorders>
          </w:tcPr>
          <w:p>
            <w:pPr>
              <w:spacing w:after="0"/>
              <w:rPr>
                <w:sz w:val="23"/>
                <w:szCs w:val="23"/>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CITIZENSHIP OR PLACE OF ORGANIZATION</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Delaware</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9"/>
                <w:szCs w:val="19"/>
                <w:color w:val="auto"/>
                <w:w w:val="96"/>
              </w:rPr>
              <w:t>NUMBER OF</w:t>
            </w:r>
          </w:p>
        </w:tc>
        <w:tc>
          <w:tcPr>
            <w:tcW w:w="1080" w:type="dxa"/>
            <w:vAlign w:val="bottom"/>
            <w:tcBorders>
              <w:right w:val="single" w:sz="8" w:color="auto"/>
            </w:tcBorders>
          </w:tcPr>
          <w:p>
            <w:pPr>
              <w:jc w:val="right"/>
              <w:ind w:right="405"/>
              <w:spacing w:after="0"/>
              <w:rPr>
                <w:sz w:val="20"/>
                <w:szCs w:val="20"/>
                <w:color w:val="auto"/>
              </w:rPr>
            </w:pPr>
            <w:r>
              <w:rPr>
                <w:rFonts w:ascii="Arial" w:cs="Arial" w:eastAsia="Arial" w:hAnsi="Arial"/>
                <w:sz w:val="19"/>
                <w:szCs w:val="19"/>
                <w:color w:val="auto"/>
              </w:rPr>
              <w:t>5</w:t>
            </w:r>
          </w:p>
        </w:tc>
        <w:tc>
          <w:tcPr>
            <w:tcW w:w="3600" w:type="dxa"/>
            <w:vAlign w:val="bottom"/>
          </w:tcPr>
          <w:p>
            <w:pPr>
              <w:ind w:left="100"/>
              <w:spacing w:after="0"/>
              <w:rPr>
                <w:sz w:val="20"/>
                <w:szCs w:val="20"/>
                <w:color w:val="auto"/>
              </w:rPr>
            </w:pPr>
            <w:r>
              <w:rPr>
                <w:rFonts w:ascii="Arial" w:cs="Arial" w:eastAsia="Arial" w:hAnsi="Arial"/>
                <w:sz w:val="19"/>
                <w:szCs w:val="19"/>
                <w:color w:val="auto"/>
              </w:rPr>
              <w:t>SOLE VOTING POWER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4"/>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92"/>
              </w:rPr>
              <w:t>SHARES</w:t>
            </w:r>
          </w:p>
        </w:tc>
        <w:tc>
          <w:tcPr>
            <w:tcW w:w="1080" w:type="dxa"/>
            <w:vAlign w:val="bottom"/>
            <w:tcBorders>
              <w:right w:val="single" w:sz="8" w:color="auto"/>
            </w:tcBorders>
          </w:tcPr>
          <w:p>
            <w:pPr>
              <w:spacing w:after="0"/>
              <w:rPr>
                <w:sz w:val="19"/>
                <w:szCs w:val="19"/>
                <w:color w:val="auto"/>
              </w:rPr>
            </w:pPr>
          </w:p>
        </w:tc>
        <w:tc>
          <w:tcPr>
            <w:tcW w:w="3600" w:type="dxa"/>
            <w:vAlign w:val="bottom"/>
          </w:tcPr>
          <w:p>
            <w:pPr>
              <w:ind w:left="100"/>
              <w:spacing w:after="0"/>
              <w:rPr>
                <w:sz w:val="20"/>
                <w:szCs w:val="20"/>
                <w:color w:val="auto"/>
              </w:rPr>
            </w:pPr>
            <w:r>
              <w:rPr>
                <w:rFonts w:ascii="Arial" w:cs="Arial" w:eastAsia="Arial" w:hAnsi="Arial"/>
                <w:sz w:val="19"/>
                <w:szCs w:val="19"/>
                <w:color w:val="auto"/>
              </w:rPr>
              <w:t>3,238,956 (See Item 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20" w:type="dxa"/>
            <w:vAlign w:val="bottom"/>
            <w:tcBorders>
              <w:left w:val="single" w:sz="8" w:color="auto"/>
            </w:tcBorders>
          </w:tcPr>
          <w:p>
            <w:pPr>
              <w:spacing w:after="0"/>
              <w:rPr>
                <w:sz w:val="6"/>
                <w:szCs w:val="6"/>
                <w:color w:val="auto"/>
              </w:rPr>
            </w:pPr>
          </w:p>
        </w:tc>
        <w:tc>
          <w:tcPr>
            <w:tcW w:w="216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9"/>
                <w:szCs w:val="19"/>
                <w:color w:val="auto"/>
                <w:w w:val="99"/>
              </w:rPr>
              <w:t>BENEFICIALLY</w:t>
            </w:r>
          </w:p>
        </w:tc>
        <w:tc>
          <w:tcPr>
            <w:tcW w:w="108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20" w:type="dxa"/>
            <w:vAlign w:val="bottom"/>
            <w:tcBorders>
              <w:left w:val="single" w:sz="8" w:color="auto"/>
            </w:tcBorders>
          </w:tcPr>
          <w:p>
            <w:pPr>
              <w:spacing w:after="0"/>
              <w:rPr>
                <w:sz w:val="11"/>
                <w:szCs w:val="11"/>
                <w:color w:val="auto"/>
              </w:rPr>
            </w:pPr>
          </w:p>
        </w:tc>
        <w:tc>
          <w:tcPr>
            <w:tcW w:w="2160" w:type="dxa"/>
            <w:vAlign w:val="bottom"/>
            <w:tcBorders>
              <w:right w:val="single" w:sz="8" w:color="auto"/>
            </w:tcBorders>
            <w:gridSpan w:val="4"/>
            <w:vMerge w:val="continue"/>
          </w:tcPr>
          <w:p>
            <w:pPr>
              <w:spacing w:after="0"/>
              <w:rPr>
                <w:sz w:val="11"/>
                <w:szCs w:val="11"/>
                <w:color w:val="auto"/>
              </w:rPr>
            </w:pPr>
          </w:p>
        </w:tc>
        <w:tc>
          <w:tcPr>
            <w:tcW w:w="108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9"/>
                <w:szCs w:val="19"/>
                <w:color w:val="auto"/>
              </w:rPr>
              <w:t>6</w:t>
            </w:r>
          </w:p>
        </w:tc>
        <w:tc>
          <w:tcPr>
            <w:tcW w:w="360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Borders>
              <w:right w:val="single" w:sz="8" w:color="auto"/>
            </w:tcBorders>
            <w:gridSpan w:val="3"/>
            <w:vMerge w:val="restart"/>
          </w:tcPr>
          <w:p>
            <w:pPr>
              <w:jc w:val="center"/>
              <w:ind w:right="860"/>
              <w:spacing w:after="0"/>
              <w:rPr>
                <w:sz w:val="20"/>
                <w:szCs w:val="20"/>
                <w:color w:val="auto"/>
              </w:rPr>
            </w:pPr>
            <w:r>
              <w:rPr>
                <w:rFonts w:ascii="Arial" w:cs="Arial" w:eastAsia="Arial" w:hAnsi="Arial"/>
                <w:sz w:val="19"/>
                <w:szCs w:val="19"/>
                <w:color w:val="auto"/>
                <w:w w:val="98"/>
              </w:rPr>
              <w:t>OWNED BY</w:t>
            </w:r>
          </w:p>
        </w:tc>
        <w:tc>
          <w:tcPr>
            <w:tcW w:w="1080" w:type="dxa"/>
            <w:vAlign w:val="bottom"/>
            <w:tcBorders>
              <w:right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62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920" w:type="dxa"/>
            <w:vAlign w:val="bottom"/>
            <w:tcBorders>
              <w:right w:val="single" w:sz="8" w:color="auto"/>
            </w:tcBorders>
            <w:gridSpan w:val="3"/>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1100"/>
              <w:spacing w:after="0"/>
              <w:rPr>
                <w:sz w:val="20"/>
                <w:szCs w:val="20"/>
                <w:color w:val="auto"/>
              </w:rPr>
            </w:pPr>
            <w:r>
              <w:rPr>
                <w:rFonts w:ascii="Arial" w:cs="Arial" w:eastAsia="Arial" w:hAnsi="Arial"/>
                <w:sz w:val="19"/>
                <w:szCs w:val="19"/>
                <w:color w:val="auto"/>
                <w:w w:val="98"/>
              </w:rPr>
              <w:t>EACH</w:t>
            </w:r>
          </w:p>
        </w:tc>
        <w:tc>
          <w:tcPr>
            <w:tcW w:w="1080" w:type="dxa"/>
            <w:vAlign w:val="bottom"/>
            <w:tcBorders>
              <w:right w:val="single" w:sz="8" w:color="auto"/>
            </w:tcBorders>
          </w:tcPr>
          <w:p>
            <w:pPr>
              <w:spacing w:after="0"/>
              <w:rPr>
                <w:sz w:val="19"/>
                <w:szCs w:val="19"/>
                <w:color w:val="auto"/>
              </w:rPr>
            </w:pPr>
          </w:p>
        </w:tc>
        <w:tc>
          <w:tcPr>
            <w:tcW w:w="3600" w:type="dxa"/>
            <w:vAlign w:val="bottom"/>
            <w:vMerge w:val="restart"/>
          </w:tcPr>
          <w:p>
            <w:pPr>
              <w:ind w:left="100"/>
              <w:spacing w:after="0"/>
              <w:rPr>
                <w:sz w:val="20"/>
                <w:szCs w:val="20"/>
                <w:color w:val="auto"/>
              </w:rPr>
            </w:pPr>
            <w:r>
              <w:rPr>
                <w:rFonts w:ascii="Arial" w:cs="Arial" w:eastAsia="Arial" w:hAnsi="Arial"/>
                <w:sz w:val="19"/>
                <w:szCs w:val="19"/>
                <w:color w:val="auto"/>
              </w:rPr>
              <w:t>0 (See Item 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Borders>
              <w:right w:val="single" w:sz="8" w:color="auto"/>
            </w:tcBorders>
            <w:gridSpan w:val="3"/>
            <w:vMerge w:val="restart"/>
          </w:tcPr>
          <w:p>
            <w:pPr>
              <w:jc w:val="center"/>
              <w:ind w:right="860"/>
              <w:spacing w:after="0" w:line="200" w:lineRule="exact"/>
              <w:rPr>
                <w:sz w:val="20"/>
                <w:szCs w:val="20"/>
                <w:color w:val="auto"/>
              </w:rPr>
            </w:pPr>
            <w:r>
              <w:rPr>
                <w:rFonts w:ascii="Arial" w:cs="Arial" w:eastAsia="Arial" w:hAnsi="Arial"/>
                <w:sz w:val="19"/>
                <w:szCs w:val="19"/>
                <w:color w:val="auto"/>
                <w:w w:val="93"/>
              </w:rPr>
              <w:t>REPORTING</w:t>
            </w:r>
          </w:p>
        </w:tc>
        <w:tc>
          <w:tcPr>
            <w:tcW w:w="1080" w:type="dxa"/>
            <w:vAlign w:val="bottom"/>
            <w:tcBorders>
              <w:right w:val="single" w:sz="8" w:color="auto"/>
            </w:tcBorders>
          </w:tcPr>
          <w:p>
            <w:pPr>
              <w:spacing w:after="0"/>
              <w:rPr>
                <w:sz w:val="12"/>
                <w:szCs w:val="12"/>
                <w:color w:val="auto"/>
              </w:rPr>
            </w:pPr>
          </w:p>
        </w:tc>
        <w:tc>
          <w:tcPr>
            <w:tcW w:w="3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920" w:type="dxa"/>
            <w:vAlign w:val="bottom"/>
            <w:tcBorders>
              <w:right w:val="single" w:sz="8" w:color="auto"/>
            </w:tcBorders>
            <w:gridSpan w:val="3"/>
            <w:vMerge w:val="continue"/>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89"/>
              </w:rPr>
              <w:t>PERSON</w:t>
            </w:r>
          </w:p>
        </w:tc>
        <w:tc>
          <w:tcPr>
            <w:tcW w:w="1080" w:type="dxa"/>
            <w:vAlign w:val="bottom"/>
            <w:tcBorders>
              <w:right w:val="single" w:sz="8" w:color="auto"/>
            </w:tcBorders>
          </w:tcPr>
          <w:p>
            <w:pPr>
              <w:jc w:val="right"/>
              <w:ind w:right="405"/>
              <w:spacing w:after="0"/>
              <w:rPr>
                <w:sz w:val="20"/>
                <w:szCs w:val="20"/>
                <w:color w:val="auto"/>
              </w:rPr>
            </w:pPr>
            <w:r>
              <w:rPr>
                <w:rFonts w:ascii="Arial" w:cs="Arial" w:eastAsia="Arial" w:hAnsi="Arial"/>
                <w:sz w:val="19"/>
                <w:szCs w:val="19"/>
                <w:color w:val="auto"/>
              </w:rPr>
              <w:t>7</w:t>
            </w:r>
          </w:p>
        </w:tc>
        <w:tc>
          <w:tcPr>
            <w:tcW w:w="3600" w:type="dxa"/>
            <w:vAlign w:val="bottom"/>
          </w:tcPr>
          <w:p>
            <w:pPr>
              <w:ind w:left="100"/>
              <w:spacing w:after="0"/>
              <w:rPr>
                <w:sz w:val="20"/>
                <w:szCs w:val="20"/>
                <w:color w:val="auto"/>
              </w:rPr>
            </w:pPr>
            <w:r>
              <w:rPr>
                <w:rFonts w:ascii="Arial" w:cs="Arial" w:eastAsia="Arial" w:hAnsi="Arial"/>
                <w:sz w:val="19"/>
                <w:szCs w:val="19"/>
                <w:color w:val="auto"/>
              </w:rPr>
              <w:t>SOLE DISPOSITIVE POWER</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1080"/>
              <w:spacing w:after="0"/>
              <w:rPr>
                <w:sz w:val="20"/>
                <w:szCs w:val="20"/>
                <w:color w:val="auto"/>
              </w:rPr>
            </w:pPr>
            <w:r>
              <w:rPr>
                <w:rFonts w:ascii="Arial" w:cs="Arial" w:eastAsia="Arial" w:hAnsi="Arial"/>
                <w:sz w:val="19"/>
                <w:szCs w:val="19"/>
                <w:color w:val="auto"/>
              </w:rPr>
              <w:t>WITH</w:t>
            </w:r>
          </w:p>
        </w:tc>
        <w:tc>
          <w:tcPr>
            <w:tcW w:w="1080" w:type="dxa"/>
            <w:vAlign w:val="bottom"/>
            <w:tcBorders>
              <w:right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3600" w:type="dxa"/>
            <w:vAlign w:val="bottom"/>
          </w:tcPr>
          <w:p>
            <w:pPr>
              <w:ind w:left="100"/>
              <w:spacing w:after="0"/>
              <w:rPr>
                <w:sz w:val="20"/>
                <w:szCs w:val="20"/>
                <w:color w:val="auto"/>
              </w:rPr>
            </w:pPr>
            <w:r>
              <w:rPr>
                <w:rFonts w:ascii="Arial" w:cs="Arial" w:eastAsia="Arial" w:hAnsi="Arial"/>
                <w:sz w:val="19"/>
                <w:szCs w:val="19"/>
                <w:color w:val="auto"/>
              </w:rPr>
              <w:t>3,238,956 (See Item 4)</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right"/>
              <w:ind w:right="405"/>
              <w:spacing w:after="0"/>
              <w:rPr>
                <w:sz w:val="20"/>
                <w:szCs w:val="20"/>
                <w:color w:val="auto"/>
              </w:rPr>
            </w:pPr>
            <w:r>
              <w:rPr>
                <w:rFonts w:ascii="Arial" w:cs="Arial" w:eastAsia="Arial" w:hAnsi="Arial"/>
                <w:sz w:val="19"/>
                <w:szCs w:val="19"/>
                <w:color w:val="auto"/>
              </w:rPr>
              <w:t>8</w:t>
            </w:r>
          </w:p>
        </w:tc>
        <w:tc>
          <w:tcPr>
            <w:tcW w:w="3600" w:type="dxa"/>
            <w:vAlign w:val="bottom"/>
          </w:tcPr>
          <w:p>
            <w:pPr>
              <w:ind w:left="100"/>
              <w:spacing w:after="0"/>
              <w:rPr>
                <w:sz w:val="20"/>
                <w:szCs w:val="20"/>
                <w:color w:val="auto"/>
              </w:rPr>
            </w:pPr>
            <w:r>
              <w:rPr>
                <w:rFonts w:ascii="Arial" w:cs="Arial" w:eastAsia="Arial" w:hAnsi="Arial"/>
                <w:sz w:val="19"/>
                <w:szCs w:val="19"/>
                <w:color w:val="auto"/>
              </w:rPr>
              <w:t>SHARED DISPOSITIVE POWER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9"/>
                <w:szCs w:val="19"/>
                <w:color w:val="auto"/>
              </w:rPr>
              <w:t>0 (See Item 4)</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9</w:t>
            </w:r>
          </w:p>
        </w:tc>
        <w:tc>
          <w:tcPr>
            <w:tcW w:w="240" w:type="dxa"/>
            <w:vAlign w:val="bottom"/>
            <w:tcBorders>
              <w:right w:val="single" w:sz="8" w:color="auto"/>
            </w:tcBorders>
          </w:tcPr>
          <w:p>
            <w:pPr>
              <w:spacing w:after="0"/>
              <w:rPr>
                <w:sz w:val="24"/>
                <w:szCs w:val="24"/>
                <w:color w:val="auto"/>
              </w:rPr>
            </w:pPr>
          </w:p>
        </w:tc>
        <w:tc>
          <w:tcPr>
            <w:tcW w:w="11140" w:type="dxa"/>
            <w:vAlign w:val="bottom"/>
            <w:tcBorders>
              <w:right w:val="single" w:sz="8" w:color="auto"/>
            </w:tcBorders>
            <w:gridSpan w:val="10"/>
          </w:tcPr>
          <w:p>
            <w:pPr>
              <w:ind w:left="100"/>
              <w:spacing w:after="0"/>
              <w:rPr>
                <w:sz w:val="20"/>
                <w:szCs w:val="20"/>
                <w:color w:val="auto"/>
              </w:rPr>
            </w:pPr>
            <w:r>
              <w:rPr>
                <w:rFonts w:ascii="Arial" w:cs="Arial" w:eastAsia="Arial" w:hAnsi="Arial"/>
                <w:sz w:val="19"/>
                <w:szCs w:val="19"/>
                <w:color w:val="auto"/>
              </w:rPr>
              <w:t>AGGREGATE AMOUNT BENEFICIALLY OWNED BY EACH REPORTING PERSON</w:t>
            </w: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rPr>
              <w:t>3,238,956</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gridSpan w:val="4"/>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94"/>
              </w:rPr>
              <w:t>10</w:t>
            </w:r>
          </w:p>
        </w:tc>
        <w:tc>
          <w:tcPr>
            <w:tcW w:w="240" w:type="dxa"/>
            <w:vAlign w:val="bottom"/>
            <w:tcBorders>
              <w:right w:val="single" w:sz="8" w:color="auto"/>
            </w:tcBorders>
          </w:tcPr>
          <w:p>
            <w:pPr>
              <w:spacing w:after="0"/>
              <w:rPr>
                <w:sz w:val="23"/>
                <w:szCs w:val="23"/>
                <w:color w:val="auto"/>
              </w:rPr>
            </w:pPr>
          </w:p>
        </w:tc>
        <w:tc>
          <w:tcPr>
            <w:tcW w:w="11140" w:type="dxa"/>
            <w:vAlign w:val="bottom"/>
            <w:tcBorders>
              <w:right w:val="single" w:sz="8" w:color="auto"/>
            </w:tcBorders>
            <w:gridSpan w:val="10"/>
          </w:tcPr>
          <w:p>
            <w:pPr>
              <w:ind w:left="10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vMerge w:val="restart"/>
          </w:tcPr>
          <w:p>
            <w:pPr>
              <w:jc w:val="right"/>
              <w:ind w:right="505"/>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620" w:type="dxa"/>
            <w:vAlign w:val="bottom"/>
            <w:tcBorders>
              <w:left w:val="single" w:sz="8" w:color="auto"/>
            </w:tcBorders>
          </w:tcPr>
          <w:p>
            <w:pPr>
              <w:jc w:val="center"/>
              <w:ind w:left="145"/>
              <w:spacing w:after="0"/>
              <w:rPr>
                <w:sz w:val="20"/>
                <w:szCs w:val="20"/>
                <w:color w:val="auto"/>
              </w:rPr>
            </w:pPr>
            <w:r>
              <w:rPr>
                <w:rFonts w:ascii="Arial" w:cs="Arial" w:eastAsia="Arial" w:hAnsi="Arial"/>
                <w:sz w:val="19"/>
                <w:szCs w:val="19"/>
                <w:color w:val="auto"/>
                <w:w w:val="84"/>
              </w:rPr>
              <w:t>11</w:t>
            </w:r>
          </w:p>
        </w:tc>
        <w:tc>
          <w:tcPr>
            <w:tcW w:w="240" w:type="dxa"/>
            <w:vAlign w:val="bottom"/>
            <w:tcBorders>
              <w:right w:val="single" w:sz="8" w:color="auto"/>
            </w:tcBorders>
          </w:tcPr>
          <w:p>
            <w:pPr>
              <w:spacing w:after="0"/>
              <w:rPr>
                <w:sz w:val="24"/>
                <w:szCs w:val="24"/>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PERCENT OF CLASS REPRESENTED BY AMOUNT IN ROW 9</w:t>
            </w:r>
            <w:r>
              <w:rPr>
                <w:rFonts w:ascii="Arial" w:cs="Arial" w:eastAsia="Arial" w:hAnsi="Arial"/>
                <w:sz w:val="31"/>
                <w:szCs w:val="31"/>
                <w:color w:val="auto"/>
                <w:vertAlign w:val="superscript"/>
              </w:rPr>
              <w:t>1</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rPr>
              <w:t>9.4%</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94"/>
              </w:rPr>
              <w:t>12</w:t>
            </w:r>
          </w:p>
        </w:tc>
        <w:tc>
          <w:tcPr>
            <w:tcW w:w="240" w:type="dxa"/>
            <w:vAlign w:val="bottom"/>
            <w:tcBorders>
              <w:right w:val="single" w:sz="8" w:color="auto"/>
            </w:tcBorders>
          </w:tcPr>
          <w:p>
            <w:pPr>
              <w:spacing w:after="0"/>
              <w:rPr>
                <w:sz w:val="23"/>
                <w:szCs w:val="23"/>
                <w:color w:val="auto"/>
              </w:rPr>
            </w:pPr>
          </w:p>
        </w:tc>
        <w:tc>
          <w:tcPr>
            <w:tcW w:w="3000" w:type="dxa"/>
            <w:vAlign w:val="bottom"/>
            <w:gridSpan w:val="4"/>
          </w:tcPr>
          <w:p>
            <w:pPr>
              <w:ind w:left="100"/>
              <w:spacing w:after="0"/>
              <w:rPr>
                <w:sz w:val="20"/>
                <w:szCs w:val="20"/>
                <w:color w:val="auto"/>
              </w:rPr>
            </w:pPr>
            <w:r>
              <w:rPr>
                <w:rFonts w:ascii="Arial" w:cs="Arial" w:eastAsia="Arial" w:hAnsi="Arial"/>
                <w:sz w:val="19"/>
                <w:szCs w:val="19"/>
                <w:color w:val="auto"/>
              </w:rPr>
              <w:t>TYPE OF REPORTING PERSON</w:t>
            </w:r>
          </w:p>
        </w:tc>
        <w:tc>
          <w:tcPr>
            <w:tcW w:w="3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IA</w:t>
            </w: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910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65" w:lineRule="exact"/>
        <w:rPr>
          <w:sz w:val="20"/>
          <w:szCs w:val="20"/>
          <w:color w:val="auto"/>
        </w:rPr>
      </w:pPr>
    </w:p>
    <w:p>
      <w:pPr>
        <w:ind w:left="6" w:hanging="6"/>
        <w:spacing w:after="0" w:line="192" w:lineRule="auto"/>
        <w:tabs>
          <w:tab w:leader="none" w:pos="147" w:val="left"/>
        </w:tabs>
        <w:numPr>
          <w:ilvl w:val="0"/>
          <w:numId w:val="1"/>
        </w:numPr>
        <w:rPr>
          <w:rFonts w:ascii="Arial" w:cs="Arial" w:eastAsia="Arial" w:hAnsi="Arial"/>
          <w:sz w:val="32"/>
          <w:szCs w:val="32"/>
          <w:color w:val="auto"/>
          <w:vertAlign w:val="superscript"/>
        </w:rPr>
      </w:pPr>
      <w:r>
        <w:rPr>
          <w:rFonts w:ascii="Arial" w:cs="Arial" w:eastAsia="Arial" w:hAnsi="Arial"/>
          <w:sz w:val="19"/>
          <w:szCs w:val="19"/>
          <w:color w:val="auto"/>
        </w:rPr>
        <w:t>This percentage is based on 34,621,962 shares of common stock outstanding as of October 31, 2018, as set forth in the Issuerâ€™s Form 10-Q for the quarter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299720</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7" w:right="120" w:bottom="1440" w:gutter="0" w:footer="0" w:header="0"/>
        </w:sectPr>
      </w:pPr>
    </w:p>
    <w:bookmarkStart w:id="2" w:name="page3"/>
    <w:bookmarkEnd w:id="2"/>
    <w:tbl>
      <w:tblPr>
        <w:tblLayout w:type="fixed"/>
        <w:tblInd w:w="16"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5"/>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1080" w:type="dxa"/>
            <w:vAlign w:val="bottom"/>
          </w:tcPr>
          <w:p>
            <w:pPr>
              <w:spacing w:after="0"/>
              <w:rPr>
                <w:sz w:val="17"/>
                <w:szCs w:val="17"/>
                <w:color w:val="auto"/>
              </w:rPr>
            </w:pPr>
          </w:p>
        </w:tc>
        <w:tc>
          <w:tcPr>
            <w:tcW w:w="3600" w:type="dxa"/>
            <w:vAlign w:val="bottom"/>
            <w:tcBorders>
              <w:right w:val="single" w:sz="8" w:color="auto"/>
            </w:tcBorders>
          </w:tcPr>
          <w:p>
            <w:pPr>
              <w:ind w:left="108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jc w:val="right"/>
              <w:ind w:right="2505"/>
              <w:spacing w:after="0" w:line="200" w:lineRule="exact"/>
              <w:rPr>
                <w:sz w:val="20"/>
                <w:szCs w:val="20"/>
                <w:color w:val="auto"/>
              </w:rPr>
            </w:pPr>
            <w:r>
              <w:rPr>
                <w:rFonts w:ascii="Arial" w:cs="Arial" w:eastAsia="Arial" w:hAnsi="Arial"/>
                <w:sz w:val="19"/>
                <w:szCs w:val="19"/>
                <w:color w:val="auto"/>
              </w:rPr>
              <w:t>Page  3  of  7  Pages</w:t>
            </w:r>
          </w:p>
        </w:tc>
        <w:tc>
          <w:tcPr>
            <w:tcW w:w="0" w:type="dxa"/>
            <w:vAlign w:val="bottom"/>
          </w:tcPr>
          <w:p>
            <w:pPr>
              <w:spacing w:after="0"/>
              <w:rPr>
                <w:sz w:val="1"/>
                <w:szCs w:val="1"/>
                <w:color w:val="auto"/>
              </w:rPr>
            </w:pPr>
          </w:p>
        </w:tc>
      </w:tr>
      <w:tr>
        <w:trPr>
          <w:trHeight w:val="23"/>
        </w:trPr>
        <w:tc>
          <w:tcPr>
            <w:tcW w:w="6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1</w:t>
            </w:r>
          </w:p>
        </w:tc>
        <w:tc>
          <w:tcPr>
            <w:tcW w:w="240" w:type="dxa"/>
            <w:vAlign w:val="bottom"/>
            <w:tcBorders>
              <w:right w:val="single" w:sz="8" w:color="auto"/>
            </w:tcBorders>
          </w:tcPr>
          <w:p>
            <w:pPr>
              <w:spacing w:after="0"/>
              <w:rPr>
                <w:sz w:val="24"/>
                <w:szCs w:val="24"/>
                <w:color w:val="auto"/>
              </w:rPr>
            </w:pPr>
          </w:p>
        </w:tc>
        <w:tc>
          <w:tcPr>
            <w:tcW w:w="3000" w:type="dxa"/>
            <w:vAlign w:val="bottom"/>
            <w:gridSpan w:val="4"/>
          </w:tcPr>
          <w:p>
            <w:pPr>
              <w:ind w:left="100"/>
              <w:spacing w:after="0"/>
              <w:rPr>
                <w:sz w:val="20"/>
                <w:szCs w:val="20"/>
                <w:color w:val="auto"/>
              </w:rPr>
            </w:pPr>
            <w:r>
              <w:rPr>
                <w:rFonts w:ascii="Arial" w:cs="Arial" w:eastAsia="Arial" w:hAnsi="Arial"/>
                <w:sz w:val="19"/>
                <w:szCs w:val="19"/>
                <w:color w:val="auto"/>
                <w:w w:val="98"/>
              </w:rPr>
              <w:t>NAME OF REPORTING PERSON</w:t>
            </w: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Evermore Global Value Fund, a series of Evermore Funds Trust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2</w:t>
            </w:r>
          </w:p>
        </w:tc>
        <w:tc>
          <w:tcPr>
            <w:tcW w:w="240" w:type="dxa"/>
            <w:vAlign w:val="bottom"/>
            <w:tcBorders>
              <w:right w:val="single" w:sz="8" w:color="auto"/>
            </w:tcBorders>
          </w:tcPr>
          <w:p>
            <w:pPr>
              <w:spacing w:after="0"/>
              <w:rPr>
                <w:sz w:val="23"/>
                <w:szCs w:val="23"/>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CHECK THE APPROPRIATE BOX IF A MEMBER OF A GROUP</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vMerge w:val="restart"/>
          </w:tcPr>
          <w:p>
            <w:pPr>
              <w:jc w:val="right"/>
              <w:ind w:right="125"/>
              <w:spacing w:after="0"/>
              <w:rPr>
                <w:sz w:val="20"/>
                <w:szCs w:val="20"/>
                <w:color w:val="auto"/>
              </w:rPr>
            </w:pPr>
            <w:r>
              <w:rPr>
                <w:rFonts w:ascii="Arial" w:cs="Arial" w:eastAsia="Arial" w:hAnsi="Arial"/>
                <w:sz w:val="19"/>
                <w:szCs w:val="19"/>
                <w:color w:val="auto"/>
              </w:rPr>
              <w:t>(a) â˜</w:t>
            </w: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jc w:val="right"/>
              <w:ind w:right="125"/>
              <w:spacing w:after="0"/>
              <w:rPr>
                <w:sz w:val="20"/>
                <w:szCs w:val="20"/>
                <w:color w:val="auto"/>
              </w:rPr>
            </w:pPr>
            <w:r>
              <w:rPr>
                <w:rFonts w:ascii="Arial" w:cs="Arial" w:eastAsia="Arial" w:hAnsi="Arial"/>
                <w:sz w:val="19"/>
                <w:szCs w:val="19"/>
                <w:color w:val="auto"/>
              </w:rPr>
              <w:t>(b) â˜</w:t>
            </w: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3</w:t>
            </w:r>
          </w:p>
        </w:tc>
        <w:tc>
          <w:tcPr>
            <w:tcW w:w="240" w:type="dxa"/>
            <w:vAlign w:val="bottom"/>
            <w:tcBorders>
              <w:right w:val="single" w:sz="8" w:color="auto"/>
            </w:tcBorders>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SEC USE ONLY</w:t>
            </w: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4</w:t>
            </w:r>
          </w:p>
        </w:tc>
        <w:tc>
          <w:tcPr>
            <w:tcW w:w="240" w:type="dxa"/>
            <w:vAlign w:val="bottom"/>
            <w:tcBorders>
              <w:right w:val="single" w:sz="8" w:color="auto"/>
            </w:tcBorders>
          </w:tcPr>
          <w:p>
            <w:pPr>
              <w:spacing w:after="0"/>
              <w:rPr>
                <w:sz w:val="23"/>
                <w:szCs w:val="23"/>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CITIZENSHIP OR PLACE OF ORGANIZATION</w:t>
            </w: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Massachusetts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9"/>
                <w:szCs w:val="19"/>
                <w:color w:val="auto"/>
                <w:w w:val="96"/>
              </w:rPr>
              <w:t>NUMBER OF</w:t>
            </w:r>
          </w:p>
        </w:tc>
        <w:tc>
          <w:tcPr>
            <w:tcW w:w="1080" w:type="dxa"/>
            <w:vAlign w:val="bottom"/>
            <w:tcBorders>
              <w:right w:val="single" w:sz="8" w:color="auto"/>
            </w:tcBorders>
          </w:tcPr>
          <w:p>
            <w:pPr>
              <w:jc w:val="right"/>
              <w:ind w:right="405"/>
              <w:spacing w:after="0"/>
              <w:rPr>
                <w:sz w:val="20"/>
                <w:szCs w:val="20"/>
                <w:color w:val="auto"/>
              </w:rPr>
            </w:pPr>
            <w:r>
              <w:rPr>
                <w:rFonts w:ascii="Arial" w:cs="Arial" w:eastAsia="Arial" w:hAnsi="Arial"/>
                <w:sz w:val="19"/>
                <w:szCs w:val="19"/>
                <w:color w:val="auto"/>
              </w:rPr>
              <w:t>5</w:t>
            </w:r>
          </w:p>
        </w:tc>
        <w:tc>
          <w:tcPr>
            <w:tcW w:w="3600" w:type="dxa"/>
            <w:vAlign w:val="bottom"/>
          </w:tcPr>
          <w:p>
            <w:pPr>
              <w:ind w:left="100"/>
              <w:spacing w:after="0"/>
              <w:rPr>
                <w:sz w:val="20"/>
                <w:szCs w:val="20"/>
                <w:color w:val="auto"/>
              </w:rPr>
            </w:pPr>
            <w:r>
              <w:rPr>
                <w:rFonts w:ascii="Arial" w:cs="Arial" w:eastAsia="Arial" w:hAnsi="Arial"/>
                <w:sz w:val="19"/>
                <w:szCs w:val="19"/>
                <w:color w:val="auto"/>
              </w:rPr>
              <w:t>SOLE VOTING POWER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4"/>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92"/>
              </w:rPr>
              <w:t>SHARES</w:t>
            </w:r>
          </w:p>
        </w:tc>
        <w:tc>
          <w:tcPr>
            <w:tcW w:w="1080" w:type="dxa"/>
            <w:vAlign w:val="bottom"/>
            <w:tcBorders>
              <w:right w:val="single" w:sz="8" w:color="auto"/>
            </w:tcBorders>
          </w:tcPr>
          <w:p>
            <w:pPr>
              <w:spacing w:after="0"/>
              <w:rPr>
                <w:sz w:val="19"/>
                <w:szCs w:val="19"/>
                <w:color w:val="auto"/>
              </w:rPr>
            </w:pPr>
          </w:p>
        </w:tc>
        <w:tc>
          <w:tcPr>
            <w:tcW w:w="3600" w:type="dxa"/>
            <w:vAlign w:val="bottom"/>
          </w:tcPr>
          <w:p>
            <w:pPr>
              <w:ind w:left="100"/>
              <w:spacing w:after="0" w:line="228" w:lineRule="exact"/>
              <w:rPr>
                <w:sz w:val="20"/>
                <w:szCs w:val="20"/>
                <w:color w:val="auto"/>
              </w:rPr>
            </w:pPr>
            <w:r>
              <w:rPr>
                <w:rFonts w:ascii="Arial" w:cs="Arial" w:eastAsia="Arial" w:hAnsi="Arial"/>
                <w:sz w:val="17"/>
                <w:szCs w:val="17"/>
                <w:color w:val="auto"/>
              </w:rPr>
              <w:t>0</w:t>
            </w:r>
            <w:r>
              <w:rPr>
                <w:rFonts w:ascii="Arial" w:cs="Arial" w:eastAsia="Arial" w:hAnsi="Arial"/>
                <w:sz w:val="26"/>
                <w:szCs w:val="26"/>
                <w:color w:val="auto"/>
                <w:vertAlign w:val="superscript"/>
              </w:rPr>
              <w:t>2</w:t>
            </w:r>
            <w:r>
              <w:rPr>
                <w:rFonts w:ascii="Arial" w:cs="Arial" w:eastAsia="Arial" w:hAnsi="Arial"/>
                <w:sz w:val="17"/>
                <w:szCs w:val="17"/>
                <w:color w:val="auto"/>
              </w:rPr>
              <w:t xml:space="preserve"> (See Item 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tcPr>
          <w:p>
            <w:pPr>
              <w:spacing w:after="0"/>
              <w:rPr>
                <w:sz w:val="9"/>
                <w:szCs w:val="9"/>
                <w:color w:val="auto"/>
              </w:rPr>
            </w:pPr>
          </w:p>
        </w:tc>
        <w:tc>
          <w:tcPr>
            <w:tcW w:w="216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9"/>
                <w:szCs w:val="19"/>
                <w:color w:val="auto"/>
                <w:w w:val="99"/>
              </w:rPr>
              <w:t>BENEFICIALLY</w:t>
            </w:r>
          </w:p>
        </w:tc>
        <w:tc>
          <w:tcPr>
            <w:tcW w:w="108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tcBorders>
          </w:tcPr>
          <w:p>
            <w:pPr>
              <w:spacing w:after="0"/>
              <w:rPr>
                <w:sz w:val="8"/>
                <w:szCs w:val="8"/>
                <w:color w:val="auto"/>
              </w:rPr>
            </w:pPr>
          </w:p>
        </w:tc>
        <w:tc>
          <w:tcPr>
            <w:tcW w:w="2160" w:type="dxa"/>
            <w:vAlign w:val="bottom"/>
            <w:tcBorders>
              <w:right w:val="single" w:sz="8" w:color="auto"/>
            </w:tcBorders>
            <w:gridSpan w:val="4"/>
            <w:vMerge w:val="continue"/>
          </w:tcPr>
          <w:p>
            <w:pPr>
              <w:spacing w:after="0"/>
              <w:rPr>
                <w:sz w:val="8"/>
                <w:szCs w:val="8"/>
                <w:color w:val="auto"/>
              </w:rPr>
            </w:pPr>
          </w:p>
        </w:tc>
        <w:tc>
          <w:tcPr>
            <w:tcW w:w="108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9"/>
                <w:szCs w:val="19"/>
                <w:color w:val="auto"/>
              </w:rPr>
              <w:t>6</w:t>
            </w:r>
          </w:p>
        </w:tc>
        <w:tc>
          <w:tcPr>
            <w:tcW w:w="360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Borders>
              <w:right w:val="single" w:sz="8" w:color="auto"/>
            </w:tcBorders>
            <w:gridSpan w:val="3"/>
          </w:tcPr>
          <w:p>
            <w:pPr>
              <w:jc w:val="center"/>
              <w:ind w:right="860"/>
              <w:spacing w:after="0"/>
              <w:rPr>
                <w:sz w:val="20"/>
                <w:szCs w:val="20"/>
                <w:color w:val="auto"/>
              </w:rPr>
            </w:pPr>
            <w:r>
              <w:rPr>
                <w:rFonts w:ascii="Arial" w:cs="Arial" w:eastAsia="Arial" w:hAnsi="Arial"/>
                <w:sz w:val="19"/>
                <w:szCs w:val="19"/>
                <w:color w:val="auto"/>
                <w:w w:val="98"/>
              </w:rPr>
              <w:t>OWNED BY</w:t>
            </w:r>
          </w:p>
        </w:tc>
        <w:tc>
          <w:tcPr>
            <w:tcW w:w="1080" w:type="dxa"/>
            <w:vAlign w:val="bottom"/>
            <w:tcBorders>
              <w:right w:val="single" w:sz="8" w:color="auto"/>
            </w:tcBorders>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1100"/>
              <w:spacing w:after="0"/>
              <w:rPr>
                <w:sz w:val="20"/>
                <w:szCs w:val="20"/>
                <w:color w:val="auto"/>
              </w:rPr>
            </w:pPr>
            <w:r>
              <w:rPr>
                <w:rFonts w:ascii="Arial" w:cs="Arial" w:eastAsia="Arial" w:hAnsi="Arial"/>
                <w:sz w:val="19"/>
                <w:szCs w:val="19"/>
                <w:color w:val="auto"/>
                <w:w w:val="98"/>
              </w:rPr>
              <w:t>EACH</w:t>
            </w:r>
          </w:p>
        </w:tc>
        <w:tc>
          <w:tcPr>
            <w:tcW w:w="1080" w:type="dxa"/>
            <w:vAlign w:val="bottom"/>
            <w:tcBorders>
              <w:right w:val="single" w:sz="8" w:color="auto"/>
            </w:tcBorders>
          </w:tcPr>
          <w:p>
            <w:pPr>
              <w:spacing w:after="0"/>
              <w:rPr>
                <w:sz w:val="19"/>
                <w:szCs w:val="19"/>
                <w:color w:val="auto"/>
              </w:rPr>
            </w:pPr>
          </w:p>
        </w:tc>
        <w:tc>
          <w:tcPr>
            <w:tcW w:w="3600" w:type="dxa"/>
            <w:vAlign w:val="bottom"/>
            <w:vMerge w:val="restart"/>
          </w:tcPr>
          <w:p>
            <w:pPr>
              <w:ind w:left="100"/>
              <w:spacing w:after="0"/>
              <w:rPr>
                <w:sz w:val="20"/>
                <w:szCs w:val="20"/>
                <w:color w:val="auto"/>
              </w:rPr>
            </w:pPr>
            <w:r>
              <w:rPr>
                <w:rFonts w:ascii="Arial" w:cs="Arial" w:eastAsia="Arial" w:hAnsi="Arial"/>
                <w:sz w:val="19"/>
                <w:szCs w:val="19"/>
                <w:color w:val="auto"/>
              </w:rPr>
              <w:t>0 (See Item 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right w:val="single" w:sz="8" w:color="auto"/>
            </w:tcBorders>
            <w:gridSpan w:val="3"/>
          </w:tcPr>
          <w:p>
            <w:pPr>
              <w:jc w:val="center"/>
              <w:ind w:right="860"/>
              <w:spacing w:after="0"/>
              <w:rPr>
                <w:sz w:val="20"/>
                <w:szCs w:val="20"/>
                <w:color w:val="auto"/>
              </w:rPr>
            </w:pPr>
            <w:r>
              <w:rPr>
                <w:rFonts w:ascii="Arial" w:cs="Arial" w:eastAsia="Arial" w:hAnsi="Arial"/>
                <w:sz w:val="19"/>
                <w:szCs w:val="19"/>
                <w:color w:val="auto"/>
                <w:w w:val="93"/>
              </w:rPr>
              <w:t>REPORTING</w:t>
            </w:r>
          </w:p>
        </w:tc>
        <w:tc>
          <w:tcPr>
            <w:tcW w:w="10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right w:val="single" w:sz="8" w:color="auto"/>
            </w:tcBorders>
            <w:gridSpan w:val="3"/>
          </w:tcPr>
          <w:p>
            <w:pPr>
              <w:jc w:val="center"/>
              <w:ind w:right="880"/>
              <w:spacing w:after="0" w:line="195" w:lineRule="exact"/>
              <w:rPr>
                <w:sz w:val="20"/>
                <w:szCs w:val="20"/>
                <w:color w:val="auto"/>
              </w:rPr>
            </w:pPr>
            <w:r>
              <w:rPr>
                <w:rFonts w:ascii="Arial" w:cs="Arial" w:eastAsia="Arial" w:hAnsi="Arial"/>
                <w:sz w:val="19"/>
                <w:szCs w:val="19"/>
                <w:color w:val="auto"/>
                <w:w w:val="89"/>
              </w:rPr>
              <w:t>PERSON</w:t>
            </w:r>
          </w:p>
        </w:tc>
        <w:tc>
          <w:tcPr>
            <w:tcW w:w="108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9"/>
                <w:szCs w:val="19"/>
                <w:color w:val="auto"/>
              </w:rPr>
              <w:t>7</w:t>
            </w:r>
          </w:p>
        </w:tc>
        <w:tc>
          <w:tcPr>
            <w:tcW w:w="360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62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Borders>
              <w:right w:val="single" w:sz="8" w:color="auto"/>
            </w:tcBorders>
            <w:gridSpan w:val="2"/>
            <w:vMerge w:val="restart"/>
          </w:tcPr>
          <w:p>
            <w:pPr>
              <w:jc w:val="center"/>
              <w:ind w:right="1080"/>
              <w:spacing w:after="0"/>
              <w:rPr>
                <w:sz w:val="20"/>
                <w:szCs w:val="20"/>
                <w:color w:val="auto"/>
              </w:rPr>
            </w:pPr>
            <w:r>
              <w:rPr>
                <w:rFonts w:ascii="Arial" w:cs="Arial" w:eastAsia="Arial" w:hAnsi="Arial"/>
                <w:sz w:val="19"/>
                <w:szCs w:val="19"/>
                <w:color w:val="auto"/>
              </w:rPr>
              <w:t>WITH</w:t>
            </w:r>
          </w:p>
        </w:tc>
        <w:tc>
          <w:tcPr>
            <w:tcW w:w="1080" w:type="dxa"/>
            <w:vAlign w:val="bottom"/>
            <w:tcBorders>
              <w:right w:val="single" w:sz="8" w:color="auto"/>
            </w:tcBorders>
            <w:vMerge w:val="continue"/>
          </w:tcPr>
          <w:p>
            <w:pPr>
              <w:spacing w:after="0"/>
              <w:rPr>
                <w:sz w:val="7"/>
                <w:szCs w:val="7"/>
                <w:color w:val="auto"/>
              </w:rPr>
            </w:pPr>
          </w:p>
        </w:tc>
        <w:tc>
          <w:tcPr>
            <w:tcW w:w="3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62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right w:val="single" w:sz="8" w:color="auto"/>
            </w:tcBorders>
            <w:gridSpan w:val="2"/>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6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0</w:t>
            </w:r>
            <w:r>
              <w:rPr>
                <w:rFonts w:ascii="Arial" w:cs="Arial" w:eastAsia="Arial" w:hAnsi="Arial"/>
                <w:sz w:val="31"/>
                <w:szCs w:val="31"/>
                <w:color w:val="auto"/>
                <w:vertAlign w:val="superscript"/>
              </w:rPr>
              <w:t>2</w:t>
            </w:r>
            <w:r>
              <w:rPr>
                <w:rFonts w:ascii="Arial" w:cs="Arial" w:eastAsia="Arial" w:hAnsi="Arial"/>
                <w:sz w:val="19"/>
                <w:szCs w:val="19"/>
                <w:color w:val="auto"/>
              </w:rPr>
              <w:t xml:space="preserve"> (See Item 4)</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right"/>
              <w:ind w:right="405"/>
              <w:spacing w:after="0"/>
              <w:rPr>
                <w:sz w:val="20"/>
                <w:szCs w:val="20"/>
                <w:color w:val="auto"/>
              </w:rPr>
            </w:pPr>
            <w:r>
              <w:rPr>
                <w:rFonts w:ascii="Arial" w:cs="Arial" w:eastAsia="Arial" w:hAnsi="Arial"/>
                <w:sz w:val="19"/>
                <w:szCs w:val="19"/>
                <w:color w:val="auto"/>
              </w:rPr>
              <w:t>8</w:t>
            </w:r>
          </w:p>
        </w:tc>
        <w:tc>
          <w:tcPr>
            <w:tcW w:w="3600" w:type="dxa"/>
            <w:vAlign w:val="bottom"/>
          </w:tcPr>
          <w:p>
            <w:pPr>
              <w:ind w:left="100"/>
              <w:spacing w:after="0"/>
              <w:rPr>
                <w:sz w:val="20"/>
                <w:szCs w:val="20"/>
                <w:color w:val="auto"/>
              </w:rPr>
            </w:pPr>
            <w:r>
              <w:rPr>
                <w:rFonts w:ascii="Arial" w:cs="Arial" w:eastAsia="Arial" w:hAnsi="Arial"/>
                <w:sz w:val="19"/>
                <w:szCs w:val="19"/>
                <w:color w:val="auto"/>
              </w:rPr>
              <w:t>SHARED DISPOSITIVE POWER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9"/>
                <w:szCs w:val="19"/>
                <w:color w:val="auto"/>
              </w:rPr>
              <w:t>0 (See Item 4)</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75"/>
              </w:rPr>
              <w:t>9</w:t>
            </w:r>
          </w:p>
        </w:tc>
        <w:tc>
          <w:tcPr>
            <w:tcW w:w="240" w:type="dxa"/>
            <w:vAlign w:val="bottom"/>
            <w:tcBorders>
              <w:right w:val="single" w:sz="8" w:color="auto"/>
            </w:tcBorders>
          </w:tcPr>
          <w:p>
            <w:pPr>
              <w:spacing w:after="0"/>
              <w:rPr>
                <w:sz w:val="24"/>
                <w:szCs w:val="24"/>
                <w:color w:val="auto"/>
              </w:rPr>
            </w:pPr>
          </w:p>
        </w:tc>
        <w:tc>
          <w:tcPr>
            <w:tcW w:w="11140" w:type="dxa"/>
            <w:vAlign w:val="bottom"/>
            <w:tcBorders>
              <w:right w:val="single" w:sz="8" w:color="auto"/>
            </w:tcBorders>
            <w:gridSpan w:val="10"/>
          </w:tcPr>
          <w:p>
            <w:pPr>
              <w:ind w:left="100"/>
              <w:spacing w:after="0"/>
              <w:rPr>
                <w:sz w:val="20"/>
                <w:szCs w:val="20"/>
                <w:color w:val="auto"/>
              </w:rPr>
            </w:pPr>
            <w:r>
              <w:rPr>
                <w:rFonts w:ascii="Arial" w:cs="Arial" w:eastAsia="Arial" w:hAnsi="Arial"/>
                <w:sz w:val="19"/>
                <w:szCs w:val="19"/>
                <w:color w:val="auto"/>
              </w:rPr>
              <w:t>AGGREGATE AMOUNT BENEFICIALLY OWNED BY EACH REPORTING PERSON</w:t>
            </w: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rPr>
              <w:t>2,436,529</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gridSpan w:val="4"/>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94"/>
              </w:rPr>
              <w:t>10</w:t>
            </w:r>
          </w:p>
        </w:tc>
        <w:tc>
          <w:tcPr>
            <w:tcW w:w="240" w:type="dxa"/>
            <w:vAlign w:val="bottom"/>
            <w:tcBorders>
              <w:right w:val="single" w:sz="8" w:color="auto"/>
            </w:tcBorders>
          </w:tcPr>
          <w:p>
            <w:pPr>
              <w:spacing w:after="0"/>
              <w:rPr>
                <w:sz w:val="23"/>
                <w:szCs w:val="23"/>
                <w:color w:val="auto"/>
              </w:rPr>
            </w:pPr>
          </w:p>
        </w:tc>
        <w:tc>
          <w:tcPr>
            <w:tcW w:w="11140" w:type="dxa"/>
            <w:vAlign w:val="bottom"/>
            <w:tcBorders>
              <w:right w:val="single" w:sz="8" w:color="auto"/>
            </w:tcBorders>
            <w:gridSpan w:val="10"/>
          </w:tcPr>
          <w:p>
            <w:pPr>
              <w:ind w:left="10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vMerge w:val="restart"/>
          </w:tcPr>
          <w:p>
            <w:pPr>
              <w:jc w:val="right"/>
              <w:ind w:right="505"/>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620" w:type="dxa"/>
            <w:vAlign w:val="bottom"/>
            <w:tcBorders>
              <w:left w:val="single" w:sz="8" w:color="auto"/>
            </w:tcBorders>
          </w:tcPr>
          <w:p>
            <w:pPr>
              <w:jc w:val="center"/>
              <w:ind w:left="145"/>
              <w:spacing w:after="0"/>
              <w:rPr>
                <w:sz w:val="20"/>
                <w:szCs w:val="20"/>
                <w:color w:val="auto"/>
              </w:rPr>
            </w:pPr>
            <w:r>
              <w:rPr>
                <w:rFonts w:ascii="Arial" w:cs="Arial" w:eastAsia="Arial" w:hAnsi="Arial"/>
                <w:sz w:val="19"/>
                <w:szCs w:val="19"/>
                <w:color w:val="auto"/>
                <w:w w:val="84"/>
              </w:rPr>
              <w:t>11</w:t>
            </w:r>
          </w:p>
        </w:tc>
        <w:tc>
          <w:tcPr>
            <w:tcW w:w="240" w:type="dxa"/>
            <w:vAlign w:val="bottom"/>
            <w:tcBorders>
              <w:right w:val="single" w:sz="8" w:color="auto"/>
            </w:tcBorders>
          </w:tcPr>
          <w:p>
            <w:pPr>
              <w:spacing w:after="0"/>
              <w:rPr>
                <w:sz w:val="24"/>
                <w:szCs w:val="24"/>
                <w:color w:val="auto"/>
              </w:rPr>
            </w:pPr>
          </w:p>
        </w:tc>
        <w:tc>
          <w:tcPr>
            <w:tcW w:w="6600" w:type="dxa"/>
            <w:vAlign w:val="bottom"/>
            <w:gridSpan w:val="5"/>
          </w:tcPr>
          <w:p>
            <w:pPr>
              <w:ind w:left="100"/>
              <w:spacing w:after="0"/>
              <w:rPr>
                <w:sz w:val="20"/>
                <w:szCs w:val="20"/>
                <w:color w:val="auto"/>
              </w:rPr>
            </w:pPr>
            <w:r>
              <w:rPr>
                <w:rFonts w:ascii="Arial" w:cs="Arial" w:eastAsia="Arial" w:hAnsi="Arial"/>
                <w:sz w:val="19"/>
                <w:szCs w:val="19"/>
                <w:color w:val="auto"/>
              </w:rPr>
              <w:t>PERCENT OF CLASS REPRESENTED BY AMOUNT IN ROW 9</w:t>
            </w:r>
            <w:r>
              <w:rPr>
                <w:rFonts w:ascii="Arial" w:cs="Arial" w:eastAsia="Arial" w:hAnsi="Arial"/>
                <w:sz w:val="31"/>
                <w:szCs w:val="31"/>
                <w:color w:val="auto"/>
                <w:vertAlign w:val="superscript"/>
              </w:rPr>
              <w:t>3</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rPr>
              <w:t>7.0%</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tcBorders>
          </w:tcPr>
          <w:p>
            <w:pPr>
              <w:jc w:val="center"/>
              <w:ind w:left="125"/>
              <w:spacing w:after="0"/>
              <w:rPr>
                <w:sz w:val="20"/>
                <w:szCs w:val="20"/>
                <w:color w:val="auto"/>
              </w:rPr>
            </w:pPr>
            <w:r>
              <w:rPr>
                <w:rFonts w:ascii="Arial" w:cs="Arial" w:eastAsia="Arial" w:hAnsi="Arial"/>
                <w:sz w:val="19"/>
                <w:szCs w:val="19"/>
                <w:color w:val="auto"/>
                <w:w w:val="94"/>
              </w:rPr>
              <w:t>12</w:t>
            </w:r>
          </w:p>
        </w:tc>
        <w:tc>
          <w:tcPr>
            <w:tcW w:w="240" w:type="dxa"/>
            <w:vAlign w:val="bottom"/>
            <w:tcBorders>
              <w:right w:val="single" w:sz="8" w:color="auto"/>
            </w:tcBorders>
          </w:tcPr>
          <w:p>
            <w:pPr>
              <w:spacing w:after="0"/>
              <w:rPr>
                <w:sz w:val="23"/>
                <w:szCs w:val="23"/>
                <w:color w:val="auto"/>
              </w:rPr>
            </w:pPr>
          </w:p>
        </w:tc>
        <w:tc>
          <w:tcPr>
            <w:tcW w:w="3000" w:type="dxa"/>
            <w:vAlign w:val="bottom"/>
            <w:gridSpan w:val="4"/>
          </w:tcPr>
          <w:p>
            <w:pPr>
              <w:ind w:left="100"/>
              <w:spacing w:after="0"/>
              <w:rPr>
                <w:sz w:val="20"/>
                <w:szCs w:val="20"/>
                <w:color w:val="auto"/>
              </w:rPr>
            </w:pPr>
            <w:r>
              <w:rPr>
                <w:rFonts w:ascii="Arial" w:cs="Arial" w:eastAsia="Arial" w:hAnsi="Arial"/>
                <w:sz w:val="19"/>
                <w:szCs w:val="19"/>
                <w:color w:val="auto"/>
              </w:rPr>
              <w:t>TYPE OF REPORTING PERSON</w:t>
            </w:r>
          </w:p>
        </w:tc>
        <w:tc>
          <w:tcPr>
            <w:tcW w:w="3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(see instructions)</w:t>
            </w:r>
          </w:p>
        </w:tc>
        <w:tc>
          <w:tcPr>
            <w:tcW w:w="1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6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Arial" w:cs="Arial" w:eastAsia="Arial" w:hAnsi="Arial"/>
                <w:sz w:val="19"/>
                <w:szCs w:val="19"/>
                <w:color w:val="auto"/>
              </w:rPr>
              <w:t>IV</w:t>
            </w: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910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65" w:lineRule="exact"/>
        <w:rPr>
          <w:sz w:val="20"/>
          <w:szCs w:val="20"/>
          <w:color w:val="auto"/>
        </w:rPr>
      </w:pPr>
    </w:p>
    <w:p>
      <w:pPr>
        <w:ind w:left="6" w:hanging="6"/>
        <w:spacing w:after="0" w:line="192" w:lineRule="auto"/>
        <w:tabs>
          <w:tab w:leader="none" w:pos="125" w:val="left"/>
        </w:tabs>
        <w:numPr>
          <w:ilvl w:val="0"/>
          <w:numId w:val="2"/>
        </w:numPr>
        <w:rPr>
          <w:rFonts w:ascii="Arial" w:cs="Arial" w:eastAsia="Arial" w:hAnsi="Arial"/>
          <w:sz w:val="32"/>
          <w:szCs w:val="32"/>
          <w:color w:val="auto"/>
          <w:vertAlign w:val="superscript"/>
        </w:rPr>
      </w:pPr>
      <w:r>
        <w:rPr>
          <w:rFonts w:ascii="Arial" w:cs="Arial" w:eastAsia="Arial" w:hAnsi="Arial"/>
          <w:sz w:val="19"/>
          <w:szCs w:val="19"/>
          <w:color w:val="auto"/>
        </w:rPr>
        <w:t>The Reporting Person has delegated all authority to vote and dispose of shares of common stock of the Issuer owned by it to Evermore Global Advisors, LLC, but has the right to rescind this authority upon proper notice.</w:t>
      </w:r>
    </w:p>
    <w:p>
      <w:pPr>
        <w:spacing w:after="0" w:line="258" w:lineRule="exact"/>
        <w:rPr>
          <w:sz w:val="20"/>
          <w:szCs w:val="20"/>
          <w:color w:val="auto"/>
        </w:rPr>
      </w:pPr>
    </w:p>
    <w:p>
      <w:pPr>
        <w:ind w:left="6" w:hanging="6"/>
        <w:spacing w:after="0" w:line="192" w:lineRule="auto"/>
        <w:tabs>
          <w:tab w:leader="none" w:pos="147" w:val="left"/>
        </w:tabs>
        <w:numPr>
          <w:ilvl w:val="0"/>
          <w:numId w:val="3"/>
        </w:numPr>
        <w:rPr>
          <w:rFonts w:ascii="Arial" w:cs="Arial" w:eastAsia="Arial" w:hAnsi="Arial"/>
          <w:sz w:val="32"/>
          <w:szCs w:val="32"/>
          <w:color w:val="auto"/>
          <w:vertAlign w:val="superscript"/>
        </w:rPr>
      </w:pPr>
      <w:r>
        <w:rPr>
          <w:rFonts w:ascii="Arial" w:cs="Arial" w:eastAsia="Arial" w:hAnsi="Arial"/>
          <w:sz w:val="19"/>
          <w:szCs w:val="19"/>
          <w:color w:val="auto"/>
        </w:rPr>
        <w:t>This percentage is based on 34,621,962 shares of common stock outstanding as of October 31, 2018, as set forth in the Issuerâ€™s Form 10-Q for the quarter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299720</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7" w:right="12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3"/>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4680" w:type="dxa"/>
            <w:vAlign w:val="bottom"/>
            <w:tcBorders>
              <w:right w:val="single" w:sz="8" w:color="auto"/>
            </w:tcBorders>
          </w:tcPr>
          <w:p>
            <w:pPr>
              <w:ind w:left="216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ind w:left="100"/>
              <w:spacing w:after="0" w:line="200" w:lineRule="exact"/>
              <w:rPr>
                <w:sz w:val="20"/>
                <w:szCs w:val="20"/>
                <w:color w:val="auto"/>
              </w:rPr>
            </w:pPr>
            <w:r>
              <w:rPr>
                <w:rFonts w:ascii="Arial" w:cs="Arial" w:eastAsia="Arial" w:hAnsi="Arial"/>
                <w:sz w:val="19"/>
                <w:szCs w:val="19"/>
                <w:color w:val="auto"/>
              </w:rPr>
              <w:t>Page  4  of  7  Pages</w:t>
            </w:r>
          </w:p>
        </w:tc>
      </w:tr>
      <w:tr>
        <w:trPr>
          <w:trHeight w:val="23"/>
        </w:trPr>
        <w:tc>
          <w:tcPr>
            <w:tcW w:w="10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Item 1.</w:t>
      </w:r>
    </w:p>
    <w:p>
      <w:pPr>
        <w:spacing w:after="0" w:line="238" w:lineRule="exact"/>
        <w:rPr>
          <w:sz w:val="20"/>
          <w:szCs w:val="20"/>
          <w:color w:val="auto"/>
        </w:rPr>
      </w:pPr>
    </w:p>
    <w:p>
      <w:pPr>
        <w:ind w:left="1360" w:hanging="681"/>
        <w:spacing w:after="0"/>
        <w:tabs>
          <w:tab w:leader="none" w:pos="1360" w:val="left"/>
        </w:tabs>
        <w:numPr>
          <w:ilvl w:val="0"/>
          <w:numId w:val="4"/>
        </w:numPr>
        <w:rPr>
          <w:rFonts w:ascii="Arial" w:cs="Arial" w:eastAsia="Arial" w:hAnsi="Arial"/>
          <w:sz w:val="19"/>
          <w:szCs w:val="19"/>
          <w:color w:val="auto"/>
        </w:rPr>
      </w:pPr>
      <w:r>
        <w:rPr>
          <w:rFonts w:ascii="Arial" w:cs="Arial" w:eastAsia="Arial" w:hAnsi="Arial"/>
          <w:sz w:val="19"/>
          <w:szCs w:val="19"/>
          <w:color w:val="auto"/>
        </w:rPr>
        <w:t>Name of Issuer.</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MagnaChip Semiconductor Corporation</w:t>
      </w:r>
    </w:p>
    <w:p>
      <w:pPr>
        <w:spacing w:after="0" w:line="238" w:lineRule="exact"/>
        <w:rPr>
          <w:sz w:val="20"/>
          <w:szCs w:val="20"/>
          <w:color w:val="auto"/>
        </w:rPr>
      </w:pPr>
    </w:p>
    <w:p>
      <w:pPr>
        <w:ind w:left="1360" w:hanging="681"/>
        <w:spacing w:after="0"/>
        <w:tabs>
          <w:tab w:leader="none" w:pos="1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Address of Issuer's Principal Executive Offices.</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c/o MagnaChip Semiconductor S.A.</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1, AllÃ©e Scheffer, L-2520</w:t>
      </w:r>
    </w:p>
    <w:p>
      <w:pPr>
        <w:spacing w:after="0" w:line="10"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Luxembourg, Grand Duchy of Luxembourg</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Item 2.</w:t>
      </w:r>
    </w:p>
    <w:p>
      <w:pPr>
        <w:spacing w:after="0" w:line="238" w:lineRule="exact"/>
        <w:rPr>
          <w:sz w:val="20"/>
          <w:szCs w:val="20"/>
          <w:color w:val="auto"/>
        </w:rPr>
      </w:pPr>
    </w:p>
    <w:p>
      <w:pPr>
        <w:ind w:left="1360" w:hanging="681"/>
        <w:spacing w:after="0"/>
        <w:tabs>
          <w:tab w:leader="none" w:pos="1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Persons Filing.</w:t>
      </w:r>
    </w:p>
    <w:p>
      <w:pPr>
        <w:spacing w:after="0" w:line="238" w:lineRule="exact"/>
        <w:rPr>
          <w:sz w:val="20"/>
          <w:szCs w:val="20"/>
          <w:color w:val="auto"/>
        </w:rPr>
      </w:pPr>
    </w:p>
    <w:p>
      <w:pPr>
        <w:ind w:left="2040"/>
        <w:spacing w:after="0" w:line="275" w:lineRule="auto"/>
        <w:rPr>
          <w:sz w:val="20"/>
          <w:szCs w:val="20"/>
          <w:color w:val="auto"/>
        </w:rPr>
      </w:pPr>
      <w:r>
        <w:rPr>
          <w:rFonts w:ascii="Arial" w:cs="Arial" w:eastAsia="Arial" w:hAnsi="Arial"/>
          <w:sz w:val="19"/>
          <w:szCs w:val="19"/>
          <w:color w:val="auto"/>
        </w:rPr>
        <w:t>This Schedule 13G/A is being jointly filed by Evermore Global Advisors, LLC (â€œ</w:t>
      </w:r>
      <w:r>
        <w:rPr>
          <w:rFonts w:ascii="Arial" w:cs="Arial" w:eastAsia="Arial" w:hAnsi="Arial"/>
          <w:sz w:val="19"/>
          <w:szCs w:val="19"/>
          <w:u w:val="single" w:color="auto"/>
          <w:color w:val="auto"/>
        </w:rPr>
        <w:t>EGA</w:t>
      </w:r>
      <w:r>
        <w:rPr>
          <w:rFonts w:ascii="Arial" w:cs="Arial" w:eastAsia="Arial" w:hAnsi="Arial"/>
          <w:sz w:val="19"/>
          <w:szCs w:val="19"/>
          <w:color w:val="auto"/>
        </w:rPr>
        <w:t>â€ ) and Evermore Global Value Fund, a series of Evermore Funds Trust (â€œ</w:t>
      </w:r>
      <w:r>
        <w:rPr>
          <w:rFonts w:ascii="Arial" w:cs="Arial" w:eastAsia="Arial" w:hAnsi="Arial"/>
          <w:sz w:val="19"/>
          <w:szCs w:val="19"/>
          <w:u w:val="single" w:color="auto"/>
          <w:color w:val="auto"/>
        </w:rPr>
        <w:t>EGVF</w:t>
      </w:r>
      <w:r>
        <w:rPr>
          <w:rFonts w:ascii="Arial" w:cs="Arial" w:eastAsia="Arial" w:hAnsi="Arial"/>
          <w:sz w:val="19"/>
          <w:szCs w:val="19"/>
          <w:color w:val="auto"/>
        </w:rPr>
        <w:t>â€ and, together with EGA, the â€œ</w:t>
      </w:r>
      <w:r>
        <w:rPr>
          <w:rFonts w:ascii="Arial" w:cs="Arial" w:eastAsia="Arial" w:hAnsi="Arial"/>
          <w:sz w:val="19"/>
          <w:szCs w:val="19"/>
          <w:u w:val="single" w:color="auto"/>
          <w:color w:val="auto"/>
        </w:rPr>
        <w:t>Reporting Persons</w:t>
      </w:r>
      <w:r>
        <w:rPr>
          <w:rFonts w:ascii="Arial" w:cs="Arial" w:eastAsia="Arial" w:hAnsi="Arial"/>
          <w:sz w:val="19"/>
          <w:szCs w:val="19"/>
          <w:color w:val="auto"/>
        </w:rPr>
        <w:t>â€ ).</w:t>
      </w:r>
    </w:p>
    <w:p>
      <w:pPr>
        <w:spacing w:after="0" w:line="184" w:lineRule="exact"/>
        <w:rPr>
          <w:sz w:val="20"/>
          <w:szCs w:val="20"/>
          <w:color w:val="auto"/>
        </w:rPr>
      </w:pPr>
    </w:p>
    <w:p>
      <w:pPr>
        <w:ind w:left="1360" w:hanging="681"/>
        <w:spacing w:after="0"/>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89 Summit Avenue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Summit, NJ 07901</w:t>
      </w:r>
    </w:p>
    <w:p>
      <w:pPr>
        <w:spacing w:after="0" w:line="225" w:lineRule="exact"/>
        <w:rPr>
          <w:sz w:val="20"/>
          <w:szCs w:val="20"/>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Citizenship.</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EGA is a Delaware limited liability company. EGVF is a Massachusetts business trust.</w:t>
      </w:r>
    </w:p>
    <w:p>
      <w:pPr>
        <w:spacing w:after="0" w:line="238" w:lineRule="exact"/>
        <w:rPr>
          <w:sz w:val="20"/>
          <w:szCs w:val="20"/>
          <w:color w:val="auto"/>
        </w:rPr>
      </w:pPr>
    </w:p>
    <w:p>
      <w:pPr>
        <w:ind w:left="1360" w:hanging="681"/>
        <w:spacing w:after="0"/>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Common Stock â€“ $0.01 par value</w:t>
      </w:r>
    </w:p>
    <w:p>
      <w:pPr>
        <w:spacing w:after="0" w:line="238" w:lineRule="exact"/>
        <w:rPr>
          <w:sz w:val="20"/>
          <w:szCs w:val="20"/>
          <w:color w:val="auto"/>
        </w:rPr>
      </w:pPr>
    </w:p>
    <w:p>
      <w:pPr>
        <w:ind w:left="2040" w:right="9120" w:hanging="1361"/>
        <w:spacing w:after="0" w:line="670" w:lineRule="auto"/>
        <w:tabs>
          <w:tab w:leader="none" w:pos="13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3"/>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4680" w:type="dxa"/>
            <w:vAlign w:val="bottom"/>
            <w:tcBorders>
              <w:right w:val="single" w:sz="8" w:color="auto"/>
            </w:tcBorders>
          </w:tcPr>
          <w:p>
            <w:pPr>
              <w:ind w:left="216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ind w:left="100"/>
              <w:spacing w:after="0" w:line="200" w:lineRule="exact"/>
              <w:rPr>
                <w:sz w:val="20"/>
                <w:szCs w:val="20"/>
                <w:color w:val="auto"/>
              </w:rPr>
            </w:pPr>
            <w:r>
              <w:rPr>
                <w:rFonts w:ascii="Arial" w:cs="Arial" w:eastAsia="Arial" w:hAnsi="Arial"/>
                <w:sz w:val="19"/>
                <w:szCs w:val="19"/>
                <w:color w:val="auto"/>
              </w:rPr>
              <w:t>Page  5  of  7  Pages</w:t>
            </w:r>
          </w:p>
        </w:tc>
      </w:tr>
      <w:tr>
        <w:trPr>
          <w:trHeight w:val="23"/>
        </w:trPr>
        <w:tc>
          <w:tcPr>
            <w:tcW w:w="10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9"/>
                <w:szCs w:val="19"/>
                <w:color w:val="auto"/>
              </w:rPr>
              <w:t>Item 3.</w:t>
            </w:r>
          </w:p>
        </w:tc>
        <w:tc>
          <w:tcPr>
            <w:tcW w:w="9040" w:type="dxa"/>
            <w:vAlign w:val="bottom"/>
            <w:gridSpan w:val="2"/>
          </w:tcPr>
          <w:p>
            <w:pPr>
              <w:ind w:left="220"/>
              <w:spacing w:after="0"/>
              <w:rPr>
                <w:sz w:val="20"/>
                <w:szCs w:val="20"/>
                <w:color w:val="auto"/>
              </w:rPr>
            </w:pPr>
            <w:r>
              <w:rPr>
                <w:rFonts w:ascii="Arial" w:cs="Arial" w:eastAsia="Arial" w:hAnsi="Arial"/>
                <w:sz w:val="19"/>
                <w:szCs w:val="19"/>
                <w:color w:val="auto"/>
                <w:w w:val="91"/>
              </w:rPr>
              <w:t>If this statement is filed pursuant to Â§240.13d-1(b), or Â§240.13d-2(b) or (c), check whether the person filing is a:</w:t>
            </w:r>
          </w:p>
        </w:tc>
      </w:tr>
      <w:tr>
        <w:trPr>
          <w:trHeight w:val="443"/>
        </w:trPr>
        <w:tc>
          <w:tcPr>
            <w:tcW w:w="1140" w:type="dxa"/>
            <w:vAlign w:val="bottom"/>
          </w:tcPr>
          <w:p>
            <w:pPr>
              <w:ind w:left="680"/>
              <w:spacing w:after="0"/>
              <w:rPr>
                <w:sz w:val="20"/>
                <w:szCs w:val="20"/>
                <w:color w:val="auto"/>
              </w:rPr>
            </w:pPr>
            <w:r>
              <w:rPr>
                <w:rFonts w:ascii="Arial" w:cs="Arial" w:eastAsia="Arial" w:hAnsi="Arial"/>
                <w:sz w:val="19"/>
                <w:szCs w:val="19"/>
                <w:color w:val="auto"/>
              </w:rPr>
              <w:t>(a)</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8400" w:type="dxa"/>
            <w:vAlign w:val="bottom"/>
          </w:tcPr>
          <w:p>
            <w:pPr>
              <w:ind w:left="260"/>
              <w:spacing w:after="0"/>
              <w:rPr>
                <w:sz w:val="20"/>
                <w:szCs w:val="20"/>
                <w:color w:val="auto"/>
              </w:rPr>
            </w:pPr>
            <w:r>
              <w:rPr>
                <w:rFonts w:ascii="Arial" w:cs="Arial" w:eastAsia="Arial" w:hAnsi="Arial"/>
                <w:sz w:val="19"/>
                <w:szCs w:val="19"/>
                <w:color w:val="auto"/>
              </w:rPr>
              <w:t>Broker or dealer registered under section 15 of the Act (15 U.S.C. 78o);</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(b)</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8400" w:type="dxa"/>
            <w:vAlign w:val="bottom"/>
          </w:tcPr>
          <w:p>
            <w:pPr>
              <w:ind w:left="260"/>
              <w:spacing w:after="0"/>
              <w:rPr>
                <w:sz w:val="20"/>
                <w:szCs w:val="20"/>
                <w:color w:val="auto"/>
              </w:rPr>
            </w:pPr>
            <w:r>
              <w:rPr>
                <w:rFonts w:ascii="Arial" w:cs="Arial" w:eastAsia="Arial" w:hAnsi="Arial"/>
                <w:sz w:val="19"/>
                <w:szCs w:val="19"/>
                <w:color w:val="auto"/>
              </w:rPr>
              <w:t>Bank as defined in section 3(a)(6) of the Act (15 U.S.C. 78c);</w:t>
            </w:r>
          </w:p>
        </w:tc>
      </w:tr>
      <w:tr>
        <w:trPr>
          <w:trHeight w:val="241"/>
        </w:trPr>
        <w:tc>
          <w:tcPr>
            <w:tcW w:w="1140" w:type="dxa"/>
            <w:vAlign w:val="bottom"/>
          </w:tcPr>
          <w:p>
            <w:pPr>
              <w:ind w:left="680"/>
              <w:spacing w:after="0"/>
              <w:rPr>
                <w:sz w:val="20"/>
                <w:szCs w:val="20"/>
                <w:color w:val="auto"/>
              </w:rPr>
            </w:pPr>
            <w:r>
              <w:rPr>
                <w:rFonts w:ascii="Arial" w:cs="Arial" w:eastAsia="Arial" w:hAnsi="Arial"/>
                <w:sz w:val="19"/>
                <w:szCs w:val="19"/>
                <w:color w:val="auto"/>
              </w:rPr>
              <w:t>(c)</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8400" w:type="dxa"/>
            <w:vAlign w:val="bottom"/>
          </w:tcPr>
          <w:p>
            <w:pPr>
              <w:ind w:left="260"/>
              <w:spacing w:after="0"/>
              <w:rPr>
                <w:sz w:val="20"/>
                <w:szCs w:val="20"/>
                <w:color w:val="auto"/>
              </w:rPr>
            </w:pPr>
            <w:r>
              <w:rPr>
                <w:rFonts w:ascii="Arial" w:cs="Arial" w:eastAsia="Arial" w:hAnsi="Arial"/>
                <w:sz w:val="19"/>
                <w:szCs w:val="19"/>
                <w:color w:val="auto"/>
              </w:rPr>
              <w:t>Insurance company as defined in section 3(a)(19) of the Act (15 U.S.C. 78c);</w:t>
            </w:r>
          </w:p>
        </w:tc>
      </w:tr>
    </w:tbl>
    <w:p>
      <w:pPr>
        <w:ind w:left="1360" w:hanging="681"/>
        <w:spacing w:after="0"/>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Investment company registered under Section 8 of the Investment Company Act of 1940 (15 U.S.C. 80a-8);</w:t>
      </w:r>
    </w:p>
    <w:p>
      <w:pPr>
        <w:spacing w:after="0" w:line="9" w:lineRule="exact"/>
        <w:rPr>
          <w:rFonts w:ascii="Arial" w:cs="Arial" w:eastAsia="Arial" w:hAnsi="Arial"/>
          <w:sz w:val="19"/>
          <w:szCs w:val="19"/>
          <w:color w:val="auto"/>
        </w:rPr>
      </w:pPr>
    </w:p>
    <w:p>
      <w:pPr>
        <w:ind w:left="1360" w:hanging="681"/>
        <w:spacing w:after="0"/>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An investment adviser in accordance with Â§ 240.13d-1(b)(1)(ii)(E);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ind w:left="680"/>
              <w:spacing w:after="0"/>
              <w:rPr>
                <w:sz w:val="20"/>
                <w:szCs w:val="20"/>
                <w:color w:val="auto"/>
              </w:rPr>
            </w:pPr>
            <w:r>
              <w:rPr>
                <w:rFonts w:ascii="Arial" w:cs="Arial" w:eastAsia="Arial" w:hAnsi="Arial"/>
                <w:sz w:val="19"/>
                <w:szCs w:val="19"/>
                <w:color w:val="auto"/>
              </w:rPr>
              <w:t>(f)</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rPr>
              <w:t>An employee benefit plan or endowment fund in accordance with Â§ 240.13d-1(b)(1)(ii)(F);</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(g)</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rPr>
              <w:t>A parent holding company or control person in accordance with</w:t>
            </w:r>
          </w:p>
        </w:tc>
      </w:tr>
      <w:tr>
        <w:trPr>
          <w:trHeight w:val="228"/>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9"/>
                <w:szCs w:val="19"/>
                <w:color w:val="auto"/>
              </w:rPr>
              <w:t>Â§ 240.13d-1(b)(1)(ii)(G);</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(h)</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(i)</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w w:val="93"/>
              </w:rPr>
              <w:t>A church plan that is excluded from the definition of an investment company under section 3(c)(14) of the Investment Company</w:t>
            </w:r>
          </w:p>
        </w:tc>
      </w:tr>
      <w:tr>
        <w:trPr>
          <w:trHeight w:val="228"/>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9"/>
                <w:szCs w:val="19"/>
                <w:color w:val="auto"/>
              </w:rPr>
              <w:t>Act of 1940 (15 U.S.C. 80a-3);</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(j)</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rPr>
              <w:t>a non-U.S. institution in accordance with Â§ 240.13d-1(b)(1)(ii)(J);</w:t>
            </w:r>
          </w:p>
        </w:tc>
      </w:tr>
      <w:tr>
        <w:trPr>
          <w:trHeight w:val="228"/>
        </w:trPr>
        <w:tc>
          <w:tcPr>
            <w:tcW w:w="1140" w:type="dxa"/>
            <w:vAlign w:val="bottom"/>
          </w:tcPr>
          <w:p>
            <w:pPr>
              <w:ind w:left="680"/>
              <w:spacing w:after="0"/>
              <w:rPr>
                <w:sz w:val="20"/>
                <w:szCs w:val="20"/>
                <w:color w:val="auto"/>
              </w:rPr>
            </w:pPr>
            <w:r>
              <w:rPr>
                <w:rFonts w:ascii="Arial" w:cs="Arial" w:eastAsia="Arial" w:hAnsi="Arial"/>
                <w:sz w:val="19"/>
                <w:szCs w:val="19"/>
                <w:color w:val="auto"/>
              </w:rPr>
              <w:t>(k)</w:t>
            </w:r>
          </w:p>
        </w:tc>
        <w:tc>
          <w:tcPr>
            <w:tcW w:w="640" w:type="dxa"/>
            <w:vAlign w:val="bottom"/>
          </w:tcPr>
          <w:p>
            <w:pPr>
              <w:ind w:left="220"/>
              <w:spacing w:after="0"/>
              <w:rPr>
                <w:sz w:val="20"/>
                <w:szCs w:val="20"/>
                <w:color w:val="auto"/>
              </w:rPr>
            </w:pPr>
            <w:r>
              <w:rPr>
                <w:rFonts w:ascii="Arial" w:cs="Arial" w:eastAsia="Arial" w:hAnsi="Arial"/>
                <w:sz w:val="19"/>
                <w:szCs w:val="19"/>
                <w:color w:val="auto"/>
              </w:rPr>
              <w:t>â˜</w:t>
            </w:r>
          </w:p>
        </w:tc>
        <w:tc>
          <w:tcPr>
            <w:tcW w:w="10220" w:type="dxa"/>
            <w:vAlign w:val="bottom"/>
          </w:tcPr>
          <w:p>
            <w:pPr>
              <w:ind w:left="260"/>
              <w:spacing w:after="0"/>
              <w:rPr>
                <w:sz w:val="20"/>
                <w:szCs w:val="20"/>
                <w:color w:val="auto"/>
              </w:rPr>
            </w:pPr>
            <w:r>
              <w:rPr>
                <w:rFonts w:ascii="Arial" w:cs="Arial" w:eastAsia="Arial" w:hAnsi="Arial"/>
                <w:sz w:val="19"/>
                <w:szCs w:val="19"/>
                <w:color w:val="auto"/>
                <w:w w:val="93"/>
              </w:rPr>
              <w:t>Group, in accordance with Â§ 240.13d-1(b)(1)(ii)(K). If filing as a non- U.S. institution in accordance with Â§ 240.13d-1(b)(1)(ii)</w:t>
            </w:r>
          </w:p>
        </w:tc>
      </w:tr>
      <w:tr>
        <w:trPr>
          <w:trHeight w:val="241"/>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9"/>
                <w:szCs w:val="19"/>
                <w:color w:val="auto"/>
              </w:rPr>
              <w:t>(J), please specify the type of institution:______________</w:t>
            </w:r>
          </w:p>
        </w:tc>
      </w:tr>
      <w:tr>
        <w:trPr>
          <w:trHeight w:val="456"/>
        </w:trPr>
        <w:tc>
          <w:tcPr>
            <w:tcW w:w="1140" w:type="dxa"/>
            <w:vAlign w:val="bottom"/>
          </w:tcPr>
          <w:p>
            <w:pPr>
              <w:spacing w:after="0"/>
              <w:rPr>
                <w:sz w:val="20"/>
                <w:szCs w:val="20"/>
                <w:color w:val="auto"/>
              </w:rPr>
            </w:pPr>
            <w:r>
              <w:rPr>
                <w:rFonts w:ascii="Arial" w:cs="Arial" w:eastAsia="Arial" w:hAnsi="Arial"/>
                <w:sz w:val="19"/>
                <w:szCs w:val="19"/>
                <w:color w:val="auto"/>
              </w:rPr>
              <w:t>Item 4.</w:t>
            </w:r>
          </w:p>
        </w:tc>
        <w:tc>
          <w:tcPr>
            <w:tcW w:w="10860" w:type="dxa"/>
            <w:vAlign w:val="bottom"/>
            <w:gridSpan w:val="2"/>
          </w:tcPr>
          <w:p>
            <w:pPr>
              <w:ind w:left="220"/>
              <w:spacing w:after="0"/>
              <w:rPr>
                <w:sz w:val="20"/>
                <w:szCs w:val="20"/>
                <w:color w:val="auto"/>
              </w:rPr>
            </w:pPr>
            <w:r>
              <w:rPr>
                <w:rFonts w:ascii="Arial" w:cs="Arial" w:eastAsia="Arial" w:hAnsi="Arial"/>
                <w:sz w:val="19"/>
                <w:szCs w:val="19"/>
                <w:color w:val="auto"/>
              </w:rPr>
              <w:t>Ownership.</w:t>
            </w:r>
          </w:p>
        </w:tc>
      </w:tr>
      <w:tr>
        <w:trPr>
          <w:trHeight w:val="443"/>
        </w:trPr>
        <w:tc>
          <w:tcPr>
            <w:tcW w:w="1140" w:type="dxa"/>
            <w:vAlign w:val="bottom"/>
          </w:tcPr>
          <w:p>
            <w:pPr>
              <w:spacing w:after="0"/>
              <w:rPr>
                <w:sz w:val="24"/>
                <w:szCs w:val="24"/>
                <w:color w:val="auto"/>
              </w:rPr>
            </w:pPr>
          </w:p>
        </w:tc>
        <w:tc>
          <w:tcPr>
            <w:tcW w:w="10860" w:type="dxa"/>
            <w:vAlign w:val="bottom"/>
            <w:gridSpan w:val="2"/>
          </w:tcPr>
          <w:p>
            <w:pPr>
              <w:ind w:left="220"/>
              <w:spacing w:after="0"/>
              <w:rPr>
                <w:sz w:val="20"/>
                <w:szCs w:val="20"/>
                <w:color w:val="auto"/>
              </w:rPr>
            </w:pPr>
            <w:r>
              <w:rPr>
                <w:rFonts w:ascii="Arial" w:cs="Arial" w:eastAsia="Arial" w:hAnsi="Arial"/>
                <w:sz w:val="19"/>
                <w:szCs w:val="19"/>
                <w:color w:val="auto"/>
                <w:w w:val="92"/>
              </w:rPr>
              <w:t>The securities reported herein are beneficially owned by EGVF, an investment company registered under the Investment Company Act of</w:t>
            </w:r>
          </w:p>
        </w:tc>
      </w:tr>
      <w:tr>
        <w:trPr>
          <w:trHeight w:val="241"/>
        </w:trPr>
        <w:tc>
          <w:tcPr>
            <w:tcW w:w="1140" w:type="dxa"/>
            <w:vAlign w:val="bottom"/>
          </w:tcPr>
          <w:p>
            <w:pPr>
              <w:spacing w:after="0"/>
              <w:rPr>
                <w:sz w:val="20"/>
                <w:szCs w:val="20"/>
                <w:color w:val="auto"/>
              </w:rPr>
            </w:pPr>
          </w:p>
        </w:tc>
        <w:tc>
          <w:tcPr>
            <w:tcW w:w="10860" w:type="dxa"/>
            <w:vAlign w:val="bottom"/>
            <w:gridSpan w:val="2"/>
          </w:tcPr>
          <w:p>
            <w:pPr>
              <w:ind w:left="220"/>
              <w:spacing w:after="0"/>
              <w:rPr>
                <w:sz w:val="20"/>
                <w:szCs w:val="20"/>
                <w:color w:val="auto"/>
              </w:rPr>
            </w:pPr>
            <w:r>
              <w:rPr>
                <w:rFonts w:ascii="Arial" w:cs="Arial" w:eastAsia="Arial" w:hAnsi="Arial"/>
                <w:sz w:val="19"/>
                <w:szCs w:val="19"/>
                <w:color w:val="auto"/>
                <w:w w:val="93"/>
              </w:rPr>
              <w:t>1940, and other managed account clients of EGA. EGA is an investment adviser registered under the Investment Advisers Act of 1940.</w:t>
            </w:r>
          </w:p>
        </w:tc>
      </w:tr>
    </w:tbl>
    <w:p>
      <w:pPr>
        <w:jc w:val="both"/>
        <w:ind w:left="1360"/>
        <w:spacing w:after="0" w:line="300" w:lineRule="auto"/>
        <w:rPr>
          <w:sz w:val="20"/>
          <w:szCs w:val="20"/>
          <w:color w:val="auto"/>
        </w:rPr>
      </w:pPr>
      <w:r>
        <w:rPr>
          <w:rFonts w:ascii="Arial" w:cs="Arial" w:eastAsia="Arial" w:hAnsi="Arial"/>
          <w:sz w:val="17"/>
          <w:szCs w:val="17"/>
          <w:color w:val="auto"/>
        </w:rPr>
        <w:t>Pursuant to the investment advisory agreements entered into by EGA and each of Evermore Funds Trust (of which EGVF is a series) and its other managed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66" w:lineRule="exact"/>
        <w:rPr>
          <w:sz w:val="20"/>
          <w:szCs w:val="20"/>
          <w:color w:val="auto"/>
        </w:rPr>
      </w:pPr>
    </w:p>
    <w:p>
      <w:pPr>
        <w:ind w:left="1360" w:hanging="681"/>
        <w:spacing w:after="0"/>
        <w:tabs>
          <w:tab w:leader="none" w:pos="13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EGA â€“ 3,238,956</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EGVF â€“ 2,436,529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3"/>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4680" w:type="dxa"/>
            <w:vAlign w:val="bottom"/>
            <w:tcBorders>
              <w:right w:val="single" w:sz="8" w:color="auto"/>
            </w:tcBorders>
          </w:tcPr>
          <w:p>
            <w:pPr>
              <w:ind w:left="216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ind w:left="100"/>
              <w:spacing w:after="0" w:line="200" w:lineRule="exact"/>
              <w:rPr>
                <w:sz w:val="20"/>
                <w:szCs w:val="20"/>
                <w:color w:val="auto"/>
              </w:rPr>
            </w:pPr>
            <w:r>
              <w:rPr>
                <w:rFonts w:ascii="Arial" w:cs="Arial" w:eastAsia="Arial" w:hAnsi="Arial"/>
                <w:sz w:val="19"/>
                <w:szCs w:val="19"/>
                <w:color w:val="auto"/>
              </w:rPr>
              <w:t>Page  6  of  7  Pages</w:t>
            </w:r>
          </w:p>
        </w:tc>
      </w:tr>
      <w:tr>
        <w:trPr>
          <w:trHeight w:val="23"/>
        </w:trPr>
        <w:tc>
          <w:tcPr>
            <w:tcW w:w="10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360" w:hanging="681"/>
        <w:spacing w:after="0"/>
        <w:tabs>
          <w:tab w:leader="none" w:pos="13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EGA â€“ 9.4%</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EGVF â€“ 7.0%</w:t>
      </w:r>
    </w:p>
    <w:p>
      <w:pPr>
        <w:spacing w:after="0" w:line="225" w:lineRule="exact"/>
        <w:rPr>
          <w:sz w:val="20"/>
          <w:szCs w:val="20"/>
          <w:color w:val="auto"/>
        </w:rPr>
      </w:pPr>
    </w:p>
    <w:p>
      <w:pPr>
        <w:ind w:left="1360" w:hanging="681"/>
        <w:spacing w:after="0"/>
        <w:tabs>
          <w:tab w:leader="none" w:pos="13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37" w:lineRule="exact"/>
        <w:rPr>
          <w:rFonts w:ascii="Arial" w:cs="Arial" w:eastAsia="Arial" w:hAnsi="Arial"/>
          <w:sz w:val="19"/>
          <w:szCs w:val="19"/>
          <w:color w:val="auto"/>
        </w:rPr>
      </w:pPr>
    </w:p>
    <w:p>
      <w:pPr>
        <w:ind w:left="2400" w:hanging="613"/>
        <w:spacing w:after="0"/>
        <w:tabs>
          <w:tab w:leader="none" w:pos="24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sole power to vote or to direct the vote:</w:t>
      </w:r>
    </w:p>
    <w:p>
      <w:pPr>
        <w:spacing w:after="0" w:line="238"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EGA â€“ 3,238,956</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EGVF â€“ 0</w:t>
      </w:r>
    </w:p>
    <w:p>
      <w:pPr>
        <w:spacing w:after="0" w:line="225" w:lineRule="exact"/>
        <w:rPr>
          <w:sz w:val="20"/>
          <w:szCs w:val="20"/>
          <w:color w:val="auto"/>
        </w:rPr>
      </w:pPr>
    </w:p>
    <w:p>
      <w:pPr>
        <w:ind w:left="2400" w:hanging="640"/>
        <w:spacing w:after="0"/>
        <w:tabs>
          <w:tab w:leader="none" w:pos="2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38"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EGA â€“ 0</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EGVF â€“ 0</w:t>
      </w:r>
    </w:p>
    <w:p>
      <w:pPr>
        <w:spacing w:after="0" w:line="225" w:lineRule="exact"/>
        <w:rPr>
          <w:sz w:val="20"/>
          <w:szCs w:val="20"/>
          <w:color w:val="auto"/>
        </w:rPr>
      </w:pPr>
    </w:p>
    <w:p>
      <w:pPr>
        <w:ind w:left="2400" w:hanging="666"/>
        <w:spacing w:after="0"/>
        <w:tabs>
          <w:tab w:leader="none" w:pos="2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w:t>
      </w:r>
    </w:p>
    <w:p>
      <w:pPr>
        <w:spacing w:after="0" w:line="237" w:lineRule="exact"/>
        <w:rPr>
          <w:rFonts w:ascii="Arial" w:cs="Arial" w:eastAsia="Arial" w:hAnsi="Arial"/>
          <w:sz w:val="19"/>
          <w:szCs w:val="19"/>
          <w:color w:val="auto"/>
        </w:rPr>
      </w:pPr>
    </w:p>
    <w:p>
      <w:pPr>
        <w:ind w:left="2400" w:right="8100"/>
        <w:spacing w:after="0" w:line="336" w:lineRule="auto"/>
        <w:rPr>
          <w:rFonts w:ascii="Arial" w:cs="Arial" w:eastAsia="Arial" w:hAnsi="Arial"/>
          <w:sz w:val="19"/>
          <w:szCs w:val="19"/>
          <w:color w:val="auto"/>
        </w:rPr>
      </w:pPr>
      <w:r>
        <w:rPr>
          <w:rFonts w:ascii="Arial" w:cs="Arial" w:eastAsia="Arial" w:hAnsi="Arial"/>
          <w:sz w:val="17"/>
          <w:szCs w:val="17"/>
          <w:color w:val="auto"/>
        </w:rPr>
        <w:t>EGA â€“ 3,238,956 EGVF â€“ 0</w:t>
      </w:r>
    </w:p>
    <w:p>
      <w:pPr>
        <w:spacing w:after="0" w:line="137" w:lineRule="exact"/>
        <w:rPr>
          <w:rFonts w:ascii="Arial" w:cs="Arial" w:eastAsia="Arial" w:hAnsi="Arial"/>
          <w:sz w:val="19"/>
          <w:szCs w:val="19"/>
          <w:color w:val="auto"/>
        </w:rPr>
      </w:pPr>
    </w:p>
    <w:p>
      <w:pPr>
        <w:ind w:left="2400" w:hanging="661"/>
        <w:spacing w:after="0"/>
        <w:tabs>
          <w:tab w:leader="none" w:pos="2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w:t>
      </w:r>
    </w:p>
    <w:p>
      <w:pPr>
        <w:spacing w:after="0" w:line="238"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EGA â€“ 0</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EGVF â€“ 0</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Ownership of Five Percent or Less of a Class.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38" w:lineRule="exact"/>
        <w:rPr>
          <w:sz w:val="20"/>
          <w:szCs w:val="20"/>
          <w:color w:val="auto"/>
        </w:rPr>
      </w:pPr>
    </w:p>
    <w:p>
      <w:pPr>
        <w:jc w:val="both"/>
        <w:ind w:left="1360"/>
        <w:spacing w:after="0" w:line="256" w:lineRule="auto"/>
        <w:rPr>
          <w:sz w:val="20"/>
          <w:szCs w:val="20"/>
          <w:color w:val="auto"/>
        </w:rPr>
      </w:pPr>
      <w:r>
        <w:rPr>
          <w:rFonts w:ascii="Arial" w:cs="Arial" w:eastAsia="Arial" w:hAnsi="Arial"/>
          <w:sz w:val="19"/>
          <w:szCs w:val="19"/>
          <w:color w:val="auto"/>
        </w:rPr>
        <w:t>EGVF and other managed account clients of EGA have the right to receive or power to direct the receipt of dividends from, as well as proceeds from the sale of, such securities reported herein. EGVF and other managed account clients of EGA collectively had an interest in 3,238,956 shares, or 9.4%, of the class of securities reported herein as of December 31, 2018. EGVF had an interest in 2,436,529 shares, or 7.0%, of the class of securities reported herein as of December 31, 2018. None of EGAâ€™s other managed account clients held more than five percent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00"/>
        </w:trPr>
        <w:tc>
          <w:tcPr>
            <w:tcW w:w="2780" w:type="dxa"/>
            <w:vAlign w:val="bottom"/>
            <w:tcBorders>
              <w:top w:val="single" w:sz="8" w:color="auto"/>
              <w:left w:val="single" w:sz="8" w:color="auto"/>
              <w:right w:val="single" w:sz="8" w:color="auto"/>
            </w:tcBorders>
            <w:gridSpan w:val="3"/>
          </w:tcPr>
          <w:p>
            <w:pPr>
              <w:ind w:left="120"/>
              <w:spacing w:after="0" w:line="200" w:lineRule="exact"/>
              <w:rPr>
                <w:sz w:val="20"/>
                <w:szCs w:val="20"/>
                <w:color w:val="auto"/>
              </w:rPr>
            </w:pPr>
            <w:r>
              <w:rPr>
                <w:rFonts w:ascii="Arial" w:cs="Arial" w:eastAsia="Arial" w:hAnsi="Arial"/>
                <w:sz w:val="19"/>
                <w:szCs w:val="19"/>
                <w:color w:val="auto"/>
              </w:rPr>
              <w:t>CUSIP NO. 55933J203</w:t>
            </w:r>
          </w:p>
        </w:tc>
        <w:tc>
          <w:tcPr>
            <w:tcW w:w="4680" w:type="dxa"/>
            <w:vAlign w:val="bottom"/>
            <w:tcBorders>
              <w:right w:val="single" w:sz="8" w:color="auto"/>
            </w:tcBorders>
          </w:tcPr>
          <w:p>
            <w:pPr>
              <w:ind w:left="2160"/>
              <w:spacing w:after="0" w:line="200" w:lineRule="exact"/>
              <w:rPr>
                <w:sz w:val="20"/>
                <w:szCs w:val="20"/>
                <w:color w:val="auto"/>
              </w:rPr>
            </w:pPr>
            <w:r>
              <w:rPr>
                <w:rFonts w:ascii="Arial" w:cs="Arial" w:eastAsia="Arial" w:hAnsi="Arial"/>
                <w:sz w:val="19"/>
                <w:szCs w:val="19"/>
                <w:color w:val="auto"/>
              </w:rPr>
              <w:t>13G</w:t>
            </w:r>
          </w:p>
        </w:tc>
        <w:tc>
          <w:tcPr>
            <w:tcW w:w="4540" w:type="dxa"/>
            <w:vAlign w:val="bottom"/>
            <w:tcBorders>
              <w:top w:val="single" w:sz="8" w:color="auto"/>
              <w:right w:val="single" w:sz="8" w:color="auto"/>
            </w:tcBorders>
            <w:gridSpan w:val="5"/>
          </w:tcPr>
          <w:p>
            <w:pPr>
              <w:ind w:left="100"/>
              <w:spacing w:after="0" w:line="200" w:lineRule="exact"/>
              <w:rPr>
                <w:sz w:val="20"/>
                <w:szCs w:val="20"/>
                <w:color w:val="auto"/>
              </w:rPr>
            </w:pPr>
            <w:r>
              <w:rPr>
                <w:rFonts w:ascii="Arial" w:cs="Arial" w:eastAsia="Arial" w:hAnsi="Arial"/>
                <w:sz w:val="19"/>
                <w:szCs w:val="19"/>
                <w:color w:val="auto"/>
              </w:rPr>
              <w:t>Page  7  of  7  Pages</w:t>
            </w:r>
          </w:p>
        </w:tc>
      </w:tr>
      <w:tr>
        <w:trPr>
          <w:trHeight w:val="23"/>
        </w:trPr>
        <w:tc>
          <w:tcPr>
            <w:tcW w:w="10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left="1360" w:right="20" w:hanging="1368"/>
        <w:spacing w:after="0" w:line="275" w:lineRule="auto"/>
        <w:tabs>
          <w:tab w:leader="none" w:pos="134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9"/>
          <w:szCs w:val="19"/>
          <w:color w:val="auto"/>
        </w:rPr>
        <w:t>Identification and Classification of the Subsidiary Which Acquired the Security Being Reported on By the Parent Holding Company or Control Person.</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7"/>
          <w:szCs w:val="17"/>
          <w:color w:val="auto"/>
        </w:rPr>
        <w:t>Notice of Dissolution of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7"/>
          <w:szCs w:val="17"/>
          <w:color w:val="auto"/>
        </w:rPr>
        <w:t>Certifications.</w:t>
      </w:r>
    </w:p>
    <w:p>
      <w:pPr>
        <w:spacing w:after="0" w:line="238" w:lineRule="exact"/>
        <w:rPr>
          <w:sz w:val="20"/>
          <w:szCs w:val="20"/>
          <w:color w:val="auto"/>
        </w:rPr>
      </w:pPr>
    </w:p>
    <w:p>
      <w:pPr>
        <w:jc w:val="both"/>
        <w:ind w:left="136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1"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February 11,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Evermore Global Advisors, LLC</w:t>
      </w:r>
    </w:p>
    <w:p>
      <w:pPr>
        <w:spacing w:after="0" w:line="238" w:lineRule="exact"/>
        <w:rPr>
          <w:sz w:val="20"/>
          <w:szCs w:val="20"/>
          <w:color w:val="auto"/>
        </w:rPr>
      </w:pPr>
    </w:p>
    <w:tbl>
      <w:tblPr>
        <w:tblLayout w:type="fixed"/>
        <w:tblInd w:w="602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Eric LeGoff</w:t>
            </w:r>
          </w:p>
        </w:tc>
      </w:tr>
      <w:tr>
        <w:trPr>
          <w:trHeight w:val="209"/>
        </w:trPr>
        <w:tc>
          <w:tcPr>
            <w:tcW w:w="600" w:type="dxa"/>
            <w:vAlign w:val="bottom"/>
          </w:tcPr>
          <w:p>
            <w:pPr>
              <w:spacing w:after="0"/>
              <w:rPr>
                <w:sz w:val="18"/>
                <w:szCs w:val="18"/>
                <w:color w:val="auto"/>
              </w:rPr>
            </w:pPr>
          </w:p>
        </w:tc>
        <w:tc>
          <w:tcPr>
            <w:tcW w:w="5380" w:type="dxa"/>
            <w:vAlign w:val="bottom"/>
          </w:tcPr>
          <w:p>
            <w:pPr>
              <w:spacing w:after="0" w:line="209" w:lineRule="exact"/>
              <w:rPr>
                <w:sz w:val="20"/>
                <w:szCs w:val="20"/>
                <w:color w:val="auto"/>
              </w:rPr>
            </w:pPr>
            <w:r>
              <w:rPr>
                <w:rFonts w:ascii="Arial" w:cs="Arial" w:eastAsia="Arial" w:hAnsi="Arial"/>
                <w:sz w:val="19"/>
                <w:szCs w:val="19"/>
                <w:color w:val="auto"/>
              </w:rPr>
              <w:t>Eric LeGoff</w:t>
            </w:r>
          </w:p>
        </w:tc>
      </w:tr>
      <w:tr>
        <w:trPr>
          <w:trHeight w:val="241"/>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President</w:t>
            </w:r>
          </w:p>
        </w:tc>
      </w:tr>
    </w:tbl>
    <w:p>
      <w:pPr>
        <w:spacing w:after="0" w:line="21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Evermore Global Value Fund, a series of</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Evermore Funds Trust</w:t>
      </w:r>
    </w:p>
    <w:p>
      <w:pPr>
        <w:spacing w:after="0" w:line="225"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15240</wp:posOffset>
            </wp:positionV>
            <wp:extent cx="3423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3285" cy="8890"/>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Eric LeGoff</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812"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3"/>
    </w:lvl>
  </w:abstractNum>
  <w:abstractNum w:abstractNumId="8">
    <w:nsid w:val="140E0F76"/>
    <w:multiLevelType w:val="hybridMultilevel"/>
    <w:lvl w:ilvl="0">
      <w:lvlJc w:val="left"/>
      <w:lvlText w:val="(%1)"/>
      <w:numFmt w:val="lowerLetter"/>
      <w:start w:val="4"/>
    </w:lvl>
  </w:abstractNum>
  <w:abstractNum w:abstractNumId="9">
    <w:nsid w:val="3352255A"/>
    <w:multiLevelType w:val="hybridMultilevel"/>
    <w:lvl w:ilvl="0">
      <w:lvlJc w:val="left"/>
      <w:lvlText w:val="(%1)"/>
      <w:numFmt w:val="lowerLetter"/>
      <w:start w:val="5"/>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Letter"/>
      <w:start w:val="3"/>
    </w:lvl>
    <w:lvl w:ilvl="1">
      <w:lvlJc w:val="left"/>
      <w:lvlText w:val="(%2)"/>
      <w:numFmt w:val="lowerLetter"/>
      <w:start w:val="9"/>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2019-12-15T12:30:19Z</dcterms:created>
  <dcterms:modified xsi:type="dcterms:W3CDTF">2019-12-15T12:30:19Z</dcterms:modified>
</cp:coreProperties>
</file>