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2471420</wp:posOffset>
            </wp:positionH>
            <wp:positionV relativeFrom="paragraph">
              <wp:posOffset>227330</wp:posOffset>
            </wp:positionV>
            <wp:extent cx="123444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00" w:lineRule="exact"/>
        <w:rPr>
          <w:sz w:val="24"/>
          <w:szCs w:val="24"/>
          <w:color w:val="auto"/>
        </w:rPr>
      </w:pPr>
    </w:p>
    <w:p>
      <w:pPr>
        <w:spacing w:after="0" w:line="32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2471420</wp:posOffset>
            </wp:positionH>
            <wp:positionV relativeFrom="paragraph">
              <wp:posOffset>259080</wp:posOffset>
            </wp:positionV>
            <wp:extent cx="123444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00" w:lineRule="exact"/>
        <w:rPr>
          <w:sz w:val="24"/>
          <w:szCs w:val="24"/>
          <w:color w:val="auto"/>
        </w:rPr>
      </w:pPr>
    </w:p>
    <w:p>
      <w:pPr>
        <w:spacing w:after="0" w:line="386"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w:t>
      </w: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Securities Exchange Act of 1934</w:t>
      </w:r>
    </w:p>
    <w:p>
      <w:pPr>
        <w:spacing w:after="0" w:line="178"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June 11,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2471420</wp:posOffset>
            </wp:positionH>
            <wp:positionV relativeFrom="paragraph">
              <wp:posOffset>236220</wp:posOffset>
            </wp:positionV>
            <wp:extent cx="123444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00" w:lineRule="exact"/>
        <w:rPr>
          <w:sz w:val="24"/>
          <w:szCs w:val="24"/>
          <w:color w:val="auto"/>
        </w:rPr>
      </w:pPr>
    </w:p>
    <w:p>
      <w:pPr>
        <w:spacing w:after="0" w:line="331"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43"/>
          <w:szCs w:val="43"/>
          <w:b w:val="1"/>
          <w:bCs w:val="1"/>
          <w:color w:val="auto"/>
        </w:rPr>
        <w:t>Magnachip Semiconductor Corporation</w:t>
      </w:r>
    </w:p>
    <w:p>
      <w:pPr>
        <w:spacing w:after="0" w:line="58"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2471420</wp:posOffset>
            </wp:positionH>
            <wp:positionV relativeFrom="paragraph">
              <wp:posOffset>236220</wp:posOffset>
            </wp:positionV>
            <wp:extent cx="123444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spacing w:after="0" w:line="200" w:lineRule="exact"/>
        <w:rPr>
          <w:sz w:val="24"/>
          <w:szCs w:val="24"/>
          <w:color w:val="auto"/>
        </w:rPr>
      </w:pPr>
    </w:p>
    <w:p>
      <w:pPr>
        <w:spacing w:after="0" w:line="400" w:lineRule="exact"/>
        <w:rPr>
          <w:sz w:val="24"/>
          <w:szCs w:val="24"/>
          <w:color w:val="auto"/>
        </w:rPr>
      </w:pPr>
    </w:p>
    <w:tbl>
      <w:tblPr>
        <w:tblLayout w:type="fixed"/>
        <w:tblInd w:w="760" w:type="dxa"/>
        <w:tblCellMar>
          <w:top w:w="0" w:type="dxa"/>
          <w:left w:w="0" w:type="dxa"/>
          <w:bottom w:w="0" w:type="dxa"/>
          <w:right w:w="0" w:type="dxa"/>
        </w:tblCellMar>
      </w:tblPr>
      <w:tr>
        <w:trPr>
          <w:trHeight w:val="214"/>
        </w:trPr>
        <w:tc>
          <w:tcPr>
            <w:tcW w:w="3620" w:type="dxa"/>
            <w:vAlign w:val="bottom"/>
          </w:tcPr>
          <w:p>
            <w:pPr>
              <w:jc w:val="center"/>
              <w:ind w:right="1825"/>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202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001-34791</w:t>
            </w:r>
          </w:p>
        </w:tc>
        <w:tc>
          <w:tcPr>
            <w:tcW w:w="2280" w:type="dxa"/>
            <w:vAlign w:val="bottom"/>
          </w:tcPr>
          <w:p>
            <w:pPr>
              <w:jc w:val="center"/>
              <w:ind w:left="1041"/>
              <w:spacing w:after="0"/>
              <w:rPr>
                <w:sz w:val="20"/>
                <w:szCs w:val="20"/>
                <w:color w:val="auto"/>
              </w:rPr>
            </w:pPr>
            <w:r>
              <w:rPr>
                <w:rFonts w:ascii="Times New Roman" w:cs="Times New Roman" w:eastAsia="Times New Roman" w:hAnsi="Times New Roman"/>
                <w:sz w:val="18"/>
                <w:szCs w:val="18"/>
                <w:b w:val="1"/>
                <w:bCs w:val="1"/>
                <w:color w:val="auto"/>
              </w:rPr>
              <w:t>83-0406195</w:t>
            </w:r>
          </w:p>
        </w:tc>
        <w:tc>
          <w:tcPr>
            <w:tcW w:w="0" w:type="dxa"/>
            <w:vAlign w:val="bottom"/>
          </w:tcPr>
          <w:p>
            <w:pPr>
              <w:spacing w:after="0"/>
              <w:rPr>
                <w:sz w:val="1"/>
                <w:szCs w:val="1"/>
                <w:color w:val="auto"/>
              </w:rPr>
            </w:pPr>
          </w:p>
        </w:tc>
      </w:tr>
      <w:tr>
        <w:trPr>
          <w:trHeight w:val="148"/>
        </w:trPr>
        <w:tc>
          <w:tcPr>
            <w:tcW w:w="3620" w:type="dxa"/>
            <w:vAlign w:val="bottom"/>
          </w:tcPr>
          <w:p>
            <w:pPr>
              <w:jc w:val="center"/>
              <w:ind w:right="1825"/>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2020" w:type="dxa"/>
            <w:vAlign w:val="bottom"/>
          </w:tcPr>
          <w:p>
            <w:pPr>
              <w:ind w:left="60"/>
              <w:spacing w:after="0" w:line="149" w:lineRule="exact"/>
              <w:rPr>
                <w:sz w:val="20"/>
                <w:szCs w:val="20"/>
                <w:color w:val="auto"/>
              </w:rPr>
            </w:pPr>
            <w:r>
              <w:rPr>
                <w:rFonts w:ascii="Times New Roman" w:cs="Times New Roman" w:eastAsia="Times New Roman" w:hAnsi="Times New Roman"/>
                <w:sz w:val="14"/>
                <w:szCs w:val="14"/>
                <w:b w:val="1"/>
                <w:bCs w:val="1"/>
                <w:color w:val="auto"/>
              </w:rPr>
              <w:t>(Commission</w:t>
            </w:r>
          </w:p>
        </w:tc>
        <w:tc>
          <w:tcPr>
            <w:tcW w:w="2280" w:type="dxa"/>
            <w:vAlign w:val="bottom"/>
          </w:tcPr>
          <w:p>
            <w:pPr>
              <w:jc w:val="center"/>
              <w:ind w:left="1041"/>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c>
          <w:tcPr>
            <w:tcW w:w="0" w:type="dxa"/>
            <w:vAlign w:val="bottom"/>
          </w:tcPr>
          <w:p>
            <w:pPr>
              <w:spacing w:after="0"/>
              <w:rPr>
                <w:sz w:val="1"/>
                <w:szCs w:val="1"/>
                <w:color w:val="auto"/>
              </w:rPr>
            </w:pPr>
          </w:p>
        </w:tc>
      </w:tr>
      <w:tr>
        <w:trPr>
          <w:trHeight w:val="190"/>
        </w:trPr>
        <w:tc>
          <w:tcPr>
            <w:tcW w:w="3620" w:type="dxa"/>
            <w:vAlign w:val="bottom"/>
          </w:tcPr>
          <w:p>
            <w:pPr>
              <w:jc w:val="center"/>
              <w:ind w:right="1825"/>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202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2280" w:type="dxa"/>
            <w:vAlign w:val="bottom"/>
          </w:tcPr>
          <w:p>
            <w:pPr>
              <w:jc w:val="center"/>
              <w:ind w:left="1041"/>
              <w:spacing w:after="0"/>
              <w:rPr>
                <w:sz w:val="20"/>
                <w:szCs w:val="20"/>
                <w:color w:val="auto"/>
              </w:rPr>
            </w:pPr>
            <w:r>
              <w:rPr>
                <w:rFonts w:ascii="Times New Roman" w:cs="Times New Roman" w:eastAsia="Times New Roman" w:hAnsi="Times New Roman"/>
                <w:sz w:val="14"/>
                <w:szCs w:val="14"/>
                <w:b w:val="1"/>
                <w:bCs w:val="1"/>
                <w:color w:val="auto"/>
              </w:rPr>
              <w:t>Identification No.)</w:t>
            </w:r>
          </w:p>
        </w:tc>
        <w:tc>
          <w:tcPr>
            <w:tcW w:w="0" w:type="dxa"/>
            <w:vAlign w:val="bottom"/>
          </w:tcPr>
          <w:p>
            <w:pPr>
              <w:spacing w:after="0"/>
              <w:rPr>
                <w:sz w:val="1"/>
                <w:szCs w:val="1"/>
                <w:color w:val="auto"/>
              </w:rPr>
            </w:pPr>
          </w:p>
        </w:tc>
      </w:tr>
      <w:tr>
        <w:trPr>
          <w:trHeight w:val="404"/>
        </w:trPr>
        <w:tc>
          <w:tcPr>
            <w:tcW w:w="3620" w:type="dxa"/>
            <w:vAlign w:val="bottom"/>
          </w:tcPr>
          <w:p>
            <w:pPr>
              <w:jc w:val="center"/>
              <w:ind w:left="1225"/>
              <w:spacing w:after="0"/>
              <w:rPr>
                <w:sz w:val="20"/>
                <w:szCs w:val="20"/>
                <w:color w:val="auto"/>
              </w:rPr>
            </w:pPr>
            <w:r>
              <w:rPr>
                <w:rFonts w:ascii="Times New Roman" w:cs="Times New Roman" w:eastAsia="Times New Roman" w:hAnsi="Times New Roman"/>
                <w:sz w:val="14"/>
                <w:szCs w:val="14"/>
                <w:b w:val="1"/>
                <w:bCs w:val="1"/>
                <w:color w:val="auto"/>
              </w:rPr>
              <w:t>c/o Magnachip Semiconductor, Ltd.</w:t>
            </w:r>
          </w:p>
        </w:tc>
        <w:tc>
          <w:tcPr>
            <w:tcW w:w="202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5640" w:type="dxa"/>
            <w:vAlign w:val="bottom"/>
            <w:gridSpan w:val="2"/>
          </w:tcPr>
          <w:p>
            <w:pPr>
              <w:jc w:val="center"/>
              <w:ind w:right="602"/>
              <w:spacing w:after="0" w:line="149" w:lineRule="exact"/>
              <w:rPr>
                <w:sz w:val="20"/>
                <w:szCs w:val="20"/>
                <w:color w:val="auto"/>
              </w:rPr>
            </w:pPr>
            <w:r>
              <w:rPr>
                <w:rFonts w:ascii="Times New Roman" w:cs="Times New Roman" w:eastAsia="Times New Roman" w:hAnsi="Times New Roman"/>
                <w:sz w:val="14"/>
                <w:szCs w:val="14"/>
                <w:b w:val="1"/>
                <w:bCs w:val="1"/>
                <w:color w:val="auto"/>
              </w:rPr>
              <w:t>15F, 76 Jikji-daero 436beon-gil, Heungdeok-gu</w:t>
            </w:r>
          </w:p>
        </w:tc>
        <w:tc>
          <w:tcPr>
            <w:tcW w:w="2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5640" w:type="dxa"/>
            <w:vAlign w:val="bottom"/>
            <w:gridSpan w:val="2"/>
          </w:tcPr>
          <w:p>
            <w:pPr>
              <w:jc w:val="center"/>
              <w:ind w:right="602"/>
              <w:spacing w:after="0"/>
              <w:rPr>
                <w:sz w:val="20"/>
                <w:szCs w:val="20"/>
                <w:color w:val="auto"/>
              </w:rPr>
            </w:pPr>
            <w:r>
              <w:rPr>
                <w:rFonts w:ascii="Times New Roman" w:cs="Times New Roman" w:eastAsia="Times New Roman" w:hAnsi="Times New Roman"/>
                <w:sz w:val="14"/>
                <w:szCs w:val="14"/>
                <w:b w:val="1"/>
                <w:bCs w:val="1"/>
                <w:color w:val="auto"/>
              </w:rPr>
              <w:t>Cheongju-si, Chungcheongbuk-do, 28581, Republic of Korea</w:t>
            </w:r>
          </w:p>
        </w:tc>
        <w:tc>
          <w:tcPr>
            <w:tcW w:w="2280" w:type="dxa"/>
            <w:vAlign w:val="bottom"/>
            <w:vMerge w:val="restart"/>
          </w:tcPr>
          <w:p>
            <w:pPr>
              <w:jc w:val="center"/>
              <w:ind w:left="1041"/>
              <w:spacing w:after="0"/>
              <w:rPr>
                <w:sz w:val="20"/>
                <w:szCs w:val="20"/>
                <w:color w:val="auto"/>
              </w:rPr>
            </w:pPr>
            <w:r>
              <w:rPr>
                <w:rFonts w:ascii="Times New Roman" w:cs="Times New Roman" w:eastAsia="Times New Roman" w:hAnsi="Times New Roman"/>
                <w:sz w:val="18"/>
                <w:szCs w:val="18"/>
                <w:b w:val="1"/>
                <w:bCs w:val="1"/>
                <w:color w:val="auto"/>
              </w:rPr>
              <w:t>Not Applicable</w:t>
            </w:r>
          </w:p>
        </w:tc>
        <w:tc>
          <w:tcPr>
            <w:tcW w:w="0" w:type="dxa"/>
            <w:vAlign w:val="bottom"/>
          </w:tcPr>
          <w:p>
            <w:pPr>
              <w:spacing w:after="0"/>
              <w:rPr>
                <w:sz w:val="1"/>
                <w:szCs w:val="1"/>
                <w:color w:val="auto"/>
              </w:rPr>
            </w:pPr>
          </w:p>
        </w:tc>
      </w:tr>
      <w:tr>
        <w:trPr>
          <w:trHeight w:val="93"/>
        </w:trPr>
        <w:tc>
          <w:tcPr>
            <w:tcW w:w="3620" w:type="dxa"/>
            <w:vAlign w:val="bottom"/>
          </w:tcPr>
          <w:p>
            <w:pPr>
              <w:spacing w:after="0"/>
              <w:rPr>
                <w:sz w:val="8"/>
                <w:szCs w:val="8"/>
                <w:color w:val="auto"/>
              </w:rPr>
            </w:pPr>
          </w:p>
        </w:tc>
        <w:tc>
          <w:tcPr>
            <w:tcW w:w="2020" w:type="dxa"/>
            <w:vAlign w:val="bottom"/>
          </w:tcPr>
          <w:p>
            <w:pPr>
              <w:spacing w:after="0"/>
              <w:rPr>
                <w:sz w:val="8"/>
                <w:szCs w:val="8"/>
                <w:color w:val="auto"/>
              </w:rPr>
            </w:pPr>
          </w:p>
        </w:tc>
        <w:tc>
          <w:tcPr>
            <w:tcW w:w="22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90"/>
        </w:trPr>
        <w:tc>
          <w:tcPr>
            <w:tcW w:w="5640" w:type="dxa"/>
            <w:vAlign w:val="bottom"/>
            <w:gridSpan w:val="2"/>
          </w:tcPr>
          <w:p>
            <w:pPr>
              <w:jc w:val="center"/>
              <w:ind w:right="622"/>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2280" w:type="dxa"/>
            <w:vAlign w:val="bottom"/>
          </w:tcPr>
          <w:p>
            <w:pPr>
              <w:jc w:val="center"/>
              <w:ind w:left="1041"/>
              <w:spacing w:after="0"/>
              <w:rPr>
                <w:sz w:val="20"/>
                <w:szCs w:val="20"/>
                <w:color w:val="auto"/>
              </w:rPr>
            </w:pPr>
            <w:r>
              <w:rPr>
                <w:rFonts w:ascii="Times New Roman" w:cs="Times New Roman" w:eastAsia="Times New Roman" w:hAnsi="Times New Roman"/>
                <w:sz w:val="14"/>
                <w:szCs w:val="14"/>
                <w:b w:val="1"/>
                <w:bCs w:val="1"/>
                <w:color w:val="auto"/>
              </w:rPr>
              <w:t>(Zip Code)</w:t>
            </w:r>
          </w:p>
        </w:tc>
        <w:tc>
          <w:tcPr>
            <w:tcW w:w="0" w:type="dxa"/>
            <w:vAlign w:val="bottom"/>
          </w:tcPr>
          <w:p>
            <w:pPr>
              <w:spacing w:after="0"/>
              <w:rPr>
                <w:sz w:val="1"/>
                <w:szCs w:val="1"/>
                <w:color w:val="auto"/>
              </w:rPr>
            </w:pPr>
          </w:p>
        </w:tc>
      </w:tr>
    </w:tbl>
    <w:p>
      <w:pPr>
        <w:spacing w:after="0" w:line="17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+82 (2) 6903-3000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2471420</wp:posOffset>
            </wp:positionH>
            <wp:positionV relativeFrom="paragraph">
              <wp:posOffset>251460</wp:posOffset>
            </wp:positionV>
            <wp:extent cx="123444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spacing w:after="0" w:line="200" w:lineRule="exact"/>
        <w:rPr>
          <w:sz w:val="24"/>
          <w:szCs w:val="24"/>
          <w:color w:val="auto"/>
        </w:rPr>
      </w:pPr>
    </w:p>
    <w:p>
      <w:pPr>
        <w:spacing w:after="0" w:line="387" w:lineRule="exact"/>
        <w:rPr>
          <w:sz w:val="24"/>
          <w:szCs w:val="24"/>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54" w:lineRule="exact"/>
        <w:rPr>
          <w:sz w:val="24"/>
          <w:szCs w:val="24"/>
          <w:color w:val="auto"/>
        </w:rPr>
      </w:pPr>
    </w:p>
    <w:p>
      <w:pPr>
        <w:ind w:left="360" w:hanging="356"/>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360" w:hanging="356"/>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360" w:hanging="356"/>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360" w:hanging="356"/>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7" w:lineRule="exact"/>
        <w:rPr>
          <w:sz w:val="24"/>
          <w:szCs w:val="24"/>
          <w:color w:val="auto"/>
        </w:rPr>
      </w:pPr>
    </w:p>
    <w:tbl>
      <w:tblPr>
        <w:tblLayout w:type="fixed"/>
        <w:tblInd w:w="220" w:type="dxa"/>
        <w:tblCellMar>
          <w:top w:w="0" w:type="dxa"/>
          <w:left w:w="0" w:type="dxa"/>
          <w:bottom w:w="0" w:type="dxa"/>
          <w:right w:w="0" w:type="dxa"/>
        </w:tblCellMar>
      </w:tblPr>
      <w:tr>
        <w:trPr>
          <w:trHeight w:val="162"/>
        </w:trPr>
        <w:tc>
          <w:tcPr>
            <w:tcW w:w="3760" w:type="dxa"/>
            <w:vAlign w:val="bottom"/>
            <w:gridSpan w:val="3"/>
          </w:tcPr>
          <w:p>
            <w:pPr>
              <w:jc w:val="center"/>
              <w:ind w:right="540"/>
              <w:spacing w:after="0"/>
              <w:rPr>
                <w:sz w:val="20"/>
                <w:szCs w:val="20"/>
                <w:color w:val="auto"/>
              </w:rPr>
            </w:pPr>
            <w:r>
              <w:rPr>
                <w:rFonts w:ascii="Times New Roman" w:cs="Times New Roman" w:eastAsia="Times New Roman" w:hAnsi="Times New Roman"/>
                <w:sz w:val="13"/>
                <w:szCs w:val="13"/>
                <w:b w:val="1"/>
                <w:bCs w:val="1"/>
                <w:color w:val="auto"/>
              </w:rPr>
              <w:t>Title of each class</w:t>
            </w:r>
          </w:p>
        </w:tc>
        <w:tc>
          <w:tcPr>
            <w:tcW w:w="2120" w:type="dxa"/>
            <w:vAlign w:val="bottom"/>
            <w:gridSpan w:val="3"/>
          </w:tcPr>
          <w:p>
            <w:pPr>
              <w:ind w:left="520"/>
              <w:spacing w:after="0"/>
              <w:rPr>
                <w:sz w:val="20"/>
                <w:szCs w:val="20"/>
                <w:color w:val="auto"/>
              </w:rPr>
            </w:pPr>
            <w:r>
              <w:rPr>
                <w:rFonts w:ascii="Times New Roman" w:cs="Times New Roman" w:eastAsia="Times New Roman" w:hAnsi="Times New Roman"/>
                <w:sz w:val="13"/>
                <w:szCs w:val="13"/>
                <w:b w:val="1"/>
                <w:bCs w:val="1"/>
                <w:color w:val="auto"/>
              </w:rPr>
              <w:t>Trading Symbol</w:t>
            </w:r>
          </w:p>
        </w:tc>
        <w:tc>
          <w:tcPr>
            <w:tcW w:w="3160" w:type="dxa"/>
            <w:vAlign w:val="bottom"/>
            <w:gridSpan w:val="3"/>
          </w:tcPr>
          <w:p>
            <w:pPr>
              <w:ind w:left="660"/>
              <w:spacing w:after="0"/>
              <w:rPr>
                <w:sz w:val="20"/>
                <w:szCs w:val="20"/>
                <w:color w:val="auto"/>
              </w:rPr>
            </w:pPr>
            <w:r>
              <w:rPr>
                <w:rFonts w:ascii="Times New Roman" w:cs="Times New Roman" w:eastAsia="Times New Roman" w:hAnsi="Times New Roman"/>
                <w:sz w:val="13"/>
                <w:szCs w:val="13"/>
                <w:b w:val="1"/>
                <w:bCs w:val="1"/>
                <w:color w:val="auto"/>
              </w:rPr>
              <w:t>Name of each exchange on which registered</w:t>
            </w:r>
          </w:p>
        </w:tc>
      </w:tr>
      <w:tr>
        <w:trPr>
          <w:trHeight w:val="20"/>
        </w:trPr>
        <w:tc>
          <w:tcPr>
            <w:tcW w:w="114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18"/>
        </w:trPr>
        <w:tc>
          <w:tcPr>
            <w:tcW w:w="3760" w:type="dxa"/>
            <w:vAlign w:val="bottom"/>
            <w:gridSpan w:val="3"/>
          </w:tcPr>
          <w:p>
            <w:pPr>
              <w:jc w:val="center"/>
              <w:ind w:right="540"/>
              <w:spacing w:after="0"/>
              <w:rPr>
                <w:sz w:val="20"/>
                <w:szCs w:val="20"/>
                <w:color w:val="auto"/>
              </w:rPr>
            </w:pPr>
            <w:r>
              <w:rPr>
                <w:rFonts w:ascii="Times New Roman" w:cs="Times New Roman" w:eastAsia="Times New Roman" w:hAnsi="Times New Roman"/>
                <w:sz w:val="18"/>
                <w:szCs w:val="18"/>
                <w:b w:val="1"/>
                <w:bCs w:val="1"/>
                <w:color w:val="auto"/>
                <w:w w:val="99"/>
              </w:rPr>
              <w:t>Common Stock, par value $0.01 per share</w:t>
            </w:r>
          </w:p>
        </w:tc>
        <w:tc>
          <w:tcPr>
            <w:tcW w:w="540" w:type="dxa"/>
            <w:vAlign w:val="bottom"/>
          </w:tcPr>
          <w:p>
            <w:pPr>
              <w:spacing w:after="0"/>
              <w:rPr>
                <w:sz w:val="24"/>
                <w:szCs w:val="24"/>
                <w:color w:val="auto"/>
              </w:rPr>
            </w:pPr>
          </w:p>
        </w:tc>
        <w:tc>
          <w:tcPr>
            <w:tcW w:w="1580" w:type="dxa"/>
            <w:vAlign w:val="bottom"/>
            <w:gridSpan w:val="2"/>
          </w:tcPr>
          <w:p>
            <w:pPr>
              <w:ind w:left="240"/>
              <w:spacing w:after="0"/>
              <w:rPr>
                <w:sz w:val="20"/>
                <w:szCs w:val="20"/>
                <w:color w:val="auto"/>
              </w:rPr>
            </w:pPr>
            <w:r>
              <w:rPr>
                <w:rFonts w:ascii="Times New Roman" w:cs="Times New Roman" w:eastAsia="Times New Roman" w:hAnsi="Times New Roman"/>
                <w:sz w:val="18"/>
                <w:szCs w:val="18"/>
                <w:b w:val="1"/>
                <w:bCs w:val="1"/>
                <w:color w:val="auto"/>
              </w:rPr>
              <w:t>MX</w:t>
            </w:r>
          </w:p>
        </w:tc>
        <w:tc>
          <w:tcPr>
            <w:tcW w:w="680" w:type="dxa"/>
            <w:vAlign w:val="bottom"/>
          </w:tcPr>
          <w:p>
            <w:pPr>
              <w:spacing w:after="0"/>
              <w:rPr>
                <w:sz w:val="24"/>
                <w:szCs w:val="24"/>
                <w:color w:val="auto"/>
              </w:rPr>
            </w:pPr>
          </w:p>
        </w:tc>
        <w:tc>
          <w:tcPr>
            <w:tcW w:w="248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New York Stock Exchange</w:t>
            </w:r>
          </w:p>
        </w:tc>
      </w:tr>
    </w:tbl>
    <w:p>
      <w:pPr>
        <w:spacing w:after="0" w:line="90"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13" w:lineRule="exact"/>
        <w:rPr>
          <w:sz w:val="24"/>
          <w:szCs w:val="24"/>
          <w:color w:val="auto"/>
        </w:rPr>
      </w:pPr>
    </w:p>
    <w:p>
      <w:pPr>
        <w:spacing w:after="0" w:line="207" w:lineRule="exact"/>
        <w:tabs>
          <w:tab w:leader="none" w:pos="2140" w:val="left"/>
        </w:tabs>
        <w:rPr>
          <w:sz w:val="20"/>
          <w:szCs w:val="20"/>
          <w:color w:val="auto"/>
        </w:rPr>
      </w:pPr>
      <w:r>
        <w:rPr>
          <w:rFonts w:ascii="Times New Roman" w:cs="Times New Roman" w:eastAsia="Times New Roman" w:hAnsi="Times New Roman"/>
          <w:sz w:val="18"/>
          <w:szCs w:val="18"/>
          <w:color w:val="auto"/>
        </w:rPr>
        <w:t>Emerging growth company</w:t>
      </w:r>
      <w:r>
        <w:rPr>
          <w:sz w:val="20"/>
          <w:szCs w:val="20"/>
          <w:color w:val="auto"/>
        </w:rPr>
        <w:tab/>
      </w:r>
      <w:r>
        <w:rPr>
          <w:rFonts w:ascii="MS PGothic" w:cs="MS PGothic" w:eastAsia="MS PGothic" w:hAnsi="MS PGothic"/>
          <w:sz w:val="16"/>
          <w:szCs w:val="16"/>
          <w:color w:val="auto"/>
        </w:rPr>
        <w:t>☐</w:t>
      </w:r>
    </w:p>
    <w:p>
      <w:pPr>
        <w:spacing w:after="0" w:line="158" w:lineRule="exact"/>
        <w:rPr>
          <w:sz w:val="24"/>
          <w:szCs w:val="24"/>
          <w:color w:val="auto"/>
        </w:rPr>
      </w:pPr>
    </w:p>
    <w:p>
      <w:pPr>
        <w:ind w:right="38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-429895</wp:posOffset>
            </wp:positionH>
            <wp:positionV relativeFrom="paragraph">
              <wp:posOffset>655955</wp:posOffset>
            </wp:positionV>
            <wp:extent cx="703770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640"/>
          </w:cols>
          <w:pgMar w:left="1080" w:top="916" w:right="1179" w:bottom="1440" w:gutter="0" w:footer="0" w:header="0"/>
        </w:sectPr>
      </w:pPr>
    </w:p>
    <w:bookmarkStart w:id="1" w:name="page2"/>
    <w:bookmarkEnd w:id="1"/>
    <w:p>
      <w:pPr>
        <w:ind w:left="660" w:right="740"/>
        <w:spacing w:after="0" w:line="286" w:lineRule="auto"/>
        <w:rPr>
          <w:sz w:val="20"/>
          <w:szCs w:val="20"/>
          <w:color w:val="auto"/>
        </w:rPr>
      </w:pPr>
      <w:r>
        <w:rPr>
          <w:rFonts w:ascii="Times New Roman" w:cs="Times New Roman" w:eastAsia="Times New Roman" w:hAnsi="Times New Roman"/>
          <w:sz w:val="18"/>
          <w:szCs w:val="18"/>
          <w:b w:val="1"/>
          <w:bCs w:val="1"/>
          <w:color w:val="auto"/>
        </w:rPr>
        <w:t>Item 5.02. Departure of Directors or Certain Officers; Election of Directors; Appointment of Certain Officers; Compensatory Arrangements of Certain Officers.</w:t>
      </w:r>
    </w:p>
    <w:p>
      <w:pPr>
        <w:spacing w:after="0" w:line="51" w:lineRule="exact"/>
        <w:rPr>
          <w:sz w:val="20"/>
          <w:szCs w:val="20"/>
          <w:color w:val="auto"/>
        </w:rPr>
      </w:pPr>
    </w:p>
    <w:p>
      <w:pPr>
        <w:ind w:left="660" w:right="700" w:firstLine="4"/>
        <w:spacing w:after="0" w:line="256" w:lineRule="auto"/>
        <w:tabs>
          <w:tab w:leader="none" w:pos="90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June 11, 2026, at the 2026 Annual Meeting of Stockholders (the “Annual Meeting”) of Magnachip Semiconductor Corporation (the “Company”), the stockholders of the Company approved the Company’s Amended and Restated 2020 Equity and Incentive Compensation Plan (the “Plan”) that provides for an increase of 3,000,000 shares of the Company’s common stock authorized for issuance thereunder. The Company’s executive officers are eligible to participate in the Plan. On April 29, 2026, the Company’s Board of Directors approved the amendment and restatement of the Plan, subject to the approval of the Company’s stockholders at the Annual Meeting.</w:t>
      </w:r>
    </w:p>
    <w:p>
      <w:pPr>
        <w:spacing w:after="0" w:line="187" w:lineRule="exact"/>
        <w:rPr>
          <w:sz w:val="20"/>
          <w:szCs w:val="20"/>
          <w:color w:val="auto"/>
        </w:rPr>
      </w:pPr>
    </w:p>
    <w:p>
      <w:pPr>
        <w:ind w:left="660" w:right="760"/>
        <w:spacing w:after="0" w:line="258" w:lineRule="auto"/>
        <w:rPr>
          <w:sz w:val="20"/>
          <w:szCs w:val="20"/>
          <w:color w:val="auto"/>
        </w:rPr>
      </w:pPr>
      <w:r>
        <w:rPr>
          <w:rFonts w:ascii="Times New Roman" w:cs="Times New Roman" w:eastAsia="Times New Roman" w:hAnsi="Times New Roman"/>
          <w:sz w:val="18"/>
          <w:szCs w:val="18"/>
          <w:color w:val="auto"/>
        </w:rPr>
        <w:t>A summary of the material terms of the Plan is set forth under the caption “Proposal Four: Approval of our Amended and Restated 2020 Equity and Incentive Compensation Plan” in the Company’s Definitive Proxy Statement on Schedule 14A filed with the Securities and Exchange Commission on April 30, 2026. That summary and the above description of the Plan do not purport to be complete and are qualified in their entirety by reference to the Plan, which is filed as Exhibit 10.1 to this Current Report on Form 8-K and is incorporated herein by reference.</w:t>
      </w:r>
    </w:p>
    <w:p>
      <w:pPr>
        <w:spacing w:after="0" w:line="39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Item 5.07. Submission of Matters to a Vote of Security Holders.</w:t>
      </w:r>
    </w:p>
    <w:p>
      <w:pPr>
        <w:spacing w:after="0" w:line="229" w:lineRule="exact"/>
        <w:rPr>
          <w:sz w:val="20"/>
          <w:szCs w:val="20"/>
          <w:color w:val="auto"/>
        </w:rPr>
      </w:pPr>
    </w:p>
    <w:p>
      <w:pPr>
        <w:ind w:left="660" w:right="800"/>
        <w:spacing w:after="0" w:line="261" w:lineRule="auto"/>
        <w:rPr>
          <w:sz w:val="20"/>
          <w:szCs w:val="20"/>
          <w:color w:val="auto"/>
        </w:rPr>
      </w:pPr>
      <w:r>
        <w:rPr>
          <w:rFonts w:ascii="Times New Roman" w:cs="Times New Roman" w:eastAsia="Times New Roman" w:hAnsi="Times New Roman"/>
          <w:sz w:val="18"/>
          <w:szCs w:val="18"/>
          <w:color w:val="auto"/>
        </w:rPr>
        <w:t>The Company held its Annual Meeting on June 11, 2026. As of the close of business on the record date of April 21, 2026, there were 36,219,100 shares of the Company’s common stock outstanding and entitled to vote at the Annual Meeting. The number of shares of the Company’s common stock present at the meeting, in person or by proxy, was 24,332,390, or 67.18% of the outstanding shares entitled to vote.</w:t>
      </w:r>
    </w:p>
    <w:p>
      <w:pPr>
        <w:spacing w:after="0" w:line="180" w:lineRule="exact"/>
        <w:rPr>
          <w:sz w:val="20"/>
          <w:szCs w:val="20"/>
          <w:color w:val="auto"/>
        </w:rPr>
      </w:pPr>
    </w:p>
    <w:p>
      <w:pPr>
        <w:ind w:left="660" w:right="1340"/>
        <w:spacing w:after="0" w:line="282" w:lineRule="auto"/>
        <w:rPr>
          <w:sz w:val="20"/>
          <w:szCs w:val="20"/>
          <w:color w:val="auto"/>
        </w:rPr>
      </w:pPr>
      <w:r>
        <w:rPr>
          <w:rFonts w:ascii="Times New Roman" w:cs="Times New Roman" w:eastAsia="Times New Roman" w:hAnsi="Times New Roman"/>
          <w:sz w:val="18"/>
          <w:szCs w:val="18"/>
          <w:color w:val="auto"/>
        </w:rPr>
        <w:t>At the meeting, the following proposals were submitted to a vote of the Company’s stockholders, with the final voting results indicated below:</w:t>
      </w:r>
    </w:p>
    <w:p>
      <w:pPr>
        <w:spacing w:after="0" w:line="162" w:lineRule="exact"/>
        <w:rPr>
          <w:sz w:val="20"/>
          <w:szCs w:val="20"/>
          <w:color w:val="auto"/>
        </w:rPr>
      </w:pPr>
    </w:p>
    <w:p>
      <w:pPr>
        <w:ind w:left="660" w:right="920"/>
        <w:spacing w:after="0" w:line="282" w:lineRule="auto"/>
        <w:rPr>
          <w:sz w:val="20"/>
          <w:szCs w:val="20"/>
          <w:color w:val="auto"/>
        </w:rPr>
      </w:pPr>
      <w:r>
        <w:rPr>
          <w:rFonts w:ascii="Times New Roman" w:cs="Times New Roman" w:eastAsia="Times New Roman" w:hAnsi="Times New Roman"/>
          <w:sz w:val="18"/>
          <w:szCs w:val="18"/>
          <w:u w:val="single" w:color="auto"/>
          <w:color w:val="auto"/>
        </w:rPr>
        <w:t>Proposal 1 – Election of Directors</w:t>
      </w:r>
      <w:r>
        <w:rPr>
          <w:rFonts w:ascii="Times New Roman" w:cs="Times New Roman" w:eastAsia="Times New Roman" w:hAnsi="Times New Roman"/>
          <w:sz w:val="18"/>
          <w:szCs w:val="18"/>
          <w:color w:val="auto"/>
        </w:rPr>
        <w:t>. The Company’s stockholders elected the following four directors to serve until the 2027 Annual Meeting of Stockholders and until their respective successors are elected and qualified.</w:t>
      </w:r>
    </w:p>
    <w:p>
      <w:pPr>
        <w:spacing w:after="0" w:line="221" w:lineRule="exact"/>
        <w:rPr>
          <w:sz w:val="20"/>
          <w:szCs w:val="20"/>
          <w:color w:val="auto"/>
        </w:rPr>
      </w:pPr>
    </w:p>
    <w:tbl>
      <w:tblPr>
        <w:tblLayout w:type="fixed"/>
        <w:tblInd w:w="660" w:type="dxa"/>
        <w:tblCellMar>
          <w:top w:w="0" w:type="dxa"/>
          <w:left w:w="0" w:type="dxa"/>
          <w:bottom w:w="0" w:type="dxa"/>
          <w:right w:w="0" w:type="dxa"/>
        </w:tblCellMar>
      </w:tblPr>
      <w:tr>
        <w:trPr>
          <w:trHeight w:val="161"/>
        </w:trPr>
        <w:tc>
          <w:tcPr>
            <w:tcW w:w="3560" w:type="dxa"/>
            <w:vAlign w:val="bottom"/>
          </w:tcPr>
          <w:p>
            <w:pPr>
              <w:spacing w:after="0"/>
              <w:rPr>
                <w:sz w:val="13"/>
                <w:szCs w:val="13"/>
                <w:color w:val="auto"/>
              </w:rPr>
            </w:pPr>
          </w:p>
        </w:tc>
        <w:tc>
          <w:tcPr>
            <w:tcW w:w="1920" w:type="dxa"/>
            <w:vAlign w:val="bottom"/>
          </w:tcPr>
          <w:p>
            <w:pPr>
              <w:spacing w:after="0"/>
              <w:rPr>
                <w:sz w:val="13"/>
                <w:szCs w:val="13"/>
                <w:color w:val="auto"/>
              </w:rPr>
            </w:pPr>
          </w:p>
        </w:tc>
        <w:tc>
          <w:tcPr>
            <w:tcW w:w="2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For</w:t>
            </w:r>
          </w:p>
        </w:tc>
        <w:tc>
          <w:tcPr>
            <w:tcW w:w="7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Withheld</w:t>
            </w:r>
          </w:p>
        </w:tc>
        <w:tc>
          <w:tcPr>
            <w:tcW w:w="1680" w:type="dxa"/>
            <w:vAlign w:val="bottom"/>
            <w:gridSpan w:val="3"/>
          </w:tcPr>
          <w:p>
            <w:pPr>
              <w:jc w:val="center"/>
              <w:ind w:left="154"/>
              <w:spacing w:after="0"/>
              <w:rPr>
                <w:sz w:val="20"/>
                <w:szCs w:val="20"/>
                <w:color w:val="auto"/>
              </w:rPr>
            </w:pPr>
            <w:r>
              <w:rPr>
                <w:rFonts w:ascii="Times New Roman" w:cs="Times New Roman" w:eastAsia="Times New Roman" w:hAnsi="Times New Roman"/>
                <w:sz w:val="14"/>
                <w:szCs w:val="14"/>
                <w:b w:val="1"/>
                <w:bCs w:val="1"/>
                <w:color w:val="auto"/>
              </w:rPr>
              <w:t>Broker Non-Votes</w:t>
            </w:r>
          </w:p>
        </w:tc>
      </w:tr>
      <w:tr>
        <w:trPr>
          <w:trHeight w:val="20"/>
        </w:trPr>
        <w:tc>
          <w:tcPr>
            <w:tcW w:w="356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3560" w:type="dxa"/>
            <w:vAlign w:val="bottom"/>
            <w:shd w:val="clear" w:color="auto" w:fill="B8CCE4"/>
          </w:tcPr>
          <w:p>
            <w:pPr>
              <w:ind w:left="280"/>
              <w:spacing w:after="0"/>
              <w:rPr>
                <w:sz w:val="20"/>
                <w:szCs w:val="20"/>
                <w:color w:val="auto"/>
              </w:rPr>
            </w:pPr>
            <w:r>
              <w:rPr>
                <w:rFonts w:ascii="Times New Roman" w:cs="Times New Roman" w:eastAsia="Times New Roman" w:hAnsi="Times New Roman"/>
                <w:sz w:val="18"/>
                <w:szCs w:val="18"/>
                <w:color w:val="auto"/>
              </w:rPr>
              <w:t>Camillo Martino</w:t>
            </w:r>
          </w:p>
        </w:tc>
        <w:tc>
          <w:tcPr>
            <w:tcW w:w="2900" w:type="dxa"/>
            <w:vAlign w:val="bottom"/>
            <w:gridSpan w:val="3"/>
            <w:shd w:val="clear" w:color="auto" w:fill="B8CCE4"/>
          </w:tcPr>
          <w:p>
            <w:pPr>
              <w:jc w:val="center"/>
              <w:ind w:left="1090"/>
              <w:spacing w:after="0"/>
              <w:rPr>
                <w:sz w:val="20"/>
                <w:szCs w:val="20"/>
                <w:color w:val="auto"/>
              </w:rPr>
            </w:pPr>
            <w:r>
              <w:rPr>
                <w:rFonts w:ascii="Times New Roman" w:cs="Times New Roman" w:eastAsia="Times New Roman" w:hAnsi="Times New Roman"/>
                <w:sz w:val="18"/>
                <w:szCs w:val="18"/>
                <w:color w:val="auto"/>
                <w:w w:val="98"/>
              </w:rPr>
              <w:t>17,042,221</w:t>
            </w:r>
          </w:p>
        </w:tc>
        <w:tc>
          <w:tcPr>
            <w:tcW w:w="1580" w:type="dxa"/>
            <w:vAlign w:val="bottom"/>
            <w:gridSpan w:val="3"/>
            <w:shd w:val="clear" w:color="auto" w:fill="B8CCE4"/>
          </w:tcPr>
          <w:p>
            <w:pPr>
              <w:jc w:val="center"/>
              <w:spacing w:after="0"/>
              <w:rPr>
                <w:sz w:val="20"/>
                <w:szCs w:val="20"/>
                <w:color w:val="auto"/>
              </w:rPr>
            </w:pPr>
            <w:r>
              <w:rPr>
                <w:rFonts w:ascii="Times New Roman" w:cs="Times New Roman" w:eastAsia="Times New Roman" w:hAnsi="Times New Roman"/>
                <w:sz w:val="18"/>
                <w:szCs w:val="18"/>
                <w:color w:val="auto"/>
                <w:w w:val="99"/>
              </w:rPr>
              <w:t>498,275</w:t>
            </w:r>
          </w:p>
        </w:tc>
        <w:tc>
          <w:tcPr>
            <w:tcW w:w="1520" w:type="dxa"/>
            <w:vAlign w:val="bottom"/>
            <w:gridSpan w:val="2"/>
            <w:shd w:val="clear" w:color="auto" w:fill="B8CCE4"/>
          </w:tcPr>
          <w:p>
            <w:pPr>
              <w:jc w:val="center"/>
              <w:ind w:left="314"/>
              <w:spacing w:after="0"/>
              <w:rPr>
                <w:sz w:val="20"/>
                <w:szCs w:val="20"/>
                <w:color w:val="auto"/>
              </w:rPr>
            </w:pPr>
            <w:r>
              <w:rPr>
                <w:rFonts w:ascii="Times New Roman" w:cs="Times New Roman" w:eastAsia="Times New Roman" w:hAnsi="Times New Roman"/>
                <w:sz w:val="18"/>
                <w:szCs w:val="18"/>
                <w:color w:val="auto"/>
                <w:w w:val="99"/>
              </w:rPr>
              <w:t>6,791,894</w:t>
            </w:r>
          </w:p>
        </w:tc>
        <w:tc>
          <w:tcPr>
            <w:tcW w:w="160" w:type="dxa"/>
            <w:vAlign w:val="bottom"/>
            <w:shd w:val="clear" w:color="auto" w:fill="B8CCE4"/>
          </w:tcPr>
          <w:p>
            <w:pPr>
              <w:spacing w:after="0"/>
              <w:rPr>
                <w:sz w:val="18"/>
                <w:szCs w:val="18"/>
                <w:color w:val="auto"/>
              </w:rPr>
            </w:pPr>
          </w:p>
        </w:tc>
      </w:tr>
      <w:tr>
        <w:trPr>
          <w:trHeight w:val="216"/>
        </w:trPr>
        <w:tc>
          <w:tcPr>
            <w:tcW w:w="35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Gilbert Nathan</w:t>
            </w:r>
          </w:p>
        </w:tc>
        <w:tc>
          <w:tcPr>
            <w:tcW w:w="2900" w:type="dxa"/>
            <w:vAlign w:val="bottom"/>
            <w:gridSpan w:val="3"/>
          </w:tcPr>
          <w:p>
            <w:pPr>
              <w:jc w:val="center"/>
              <w:ind w:left="1090"/>
              <w:spacing w:after="0"/>
              <w:rPr>
                <w:sz w:val="20"/>
                <w:szCs w:val="20"/>
                <w:color w:val="auto"/>
              </w:rPr>
            </w:pPr>
            <w:r>
              <w:rPr>
                <w:rFonts w:ascii="Times New Roman" w:cs="Times New Roman" w:eastAsia="Times New Roman" w:hAnsi="Times New Roman"/>
                <w:sz w:val="18"/>
                <w:szCs w:val="18"/>
                <w:color w:val="auto"/>
                <w:w w:val="98"/>
              </w:rPr>
              <w:t>15,489,634</w:t>
            </w:r>
          </w:p>
        </w:tc>
        <w:tc>
          <w:tcPr>
            <w:tcW w:w="1580" w:type="dxa"/>
            <w:vAlign w:val="bottom"/>
            <w:gridSpan w:val="3"/>
          </w:tcPr>
          <w:p>
            <w:pPr>
              <w:jc w:val="center"/>
              <w:ind w:left="10"/>
              <w:spacing w:after="0"/>
              <w:rPr>
                <w:sz w:val="20"/>
                <w:szCs w:val="20"/>
                <w:color w:val="auto"/>
              </w:rPr>
            </w:pPr>
            <w:r>
              <w:rPr>
                <w:rFonts w:ascii="Times New Roman" w:cs="Times New Roman" w:eastAsia="Times New Roman" w:hAnsi="Times New Roman"/>
                <w:sz w:val="18"/>
                <w:szCs w:val="18"/>
                <w:color w:val="auto"/>
                <w:w w:val="99"/>
              </w:rPr>
              <w:t>2,050,862</w:t>
            </w:r>
          </w:p>
        </w:tc>
        <w:tc>
          <w:tcPr>
            <w:tcW w:w="1520" w:type="dxa"/>
            <w:vAlign w:val="bottom"/>
            <w:gridSpan w:val="2"/>
          </w:tcPr>
          <w:p>
            <w:pPr>
              <w:jc w:val="center"/>
              <w:ind w:left="314"/>
              <w:spacing w:after="0"/>
              <w:rPr>
                <w:sz w:val="20"/>
                <w:szCs w:val="20"/>
                <w:color w:val="auto"/>
              </w:rPr>
            </w:pPr>
            <w:r>
              <w:rPr>
                <w:rFonts w:ascii="Times New Roman" w:cs="Times New Roman" w:eastAsia="Times New Roman" w:hAnsi="Times New Roman"/>
                <w:sz w:val="18"/>
                <w:szCs w:val="18"/>
                <w:color w:val="auto"/>
                <w:w w:val="99"/>
              </w:rPr>
              <w:t>6,791,894</w:t>
            </w:r>
          </w:p>
        </w:tc>
        <w:tc>
          <w:tcPr>
            <w:tcW w:w="160" w:type="dxa"/>
            <w:vAlign w:val="bottom"/>
          </w:tcPr>
          <w:p>
            <w:pPr>
              <w:spacing w:after="0"/>
              <w:rPr>
                <w:sz w:val="18"/>
                <w:szCs w:val="18"/>
                <w:color w:val="auto"/>
              </w:rPr>
            </w:pPr>
          </w:p>
        </w:tc>
      </w:tr>
      <w:tr>
        <w:trPr>
          <w:trHeight w:val="216"/>
        </w:trPr>
        <w:tc>
          <w:tcPr>
            <w:tcW w:w="3560" w:type="dxa"/>
            <w:vAlign w:val="bottom"/>
            <w:shd w:val="clear" w:color="auto" w:fill="B8CCE4"/>
          </w:tcPr>
          <w:p>
            <w:pPr>
              <w:ind w:left="280"/>
              <w:spacing w:after="0"/>
              <w:rPr>
                <w:sz w:val="20"/>
                <w:szCs w:val="20"/>
                <w:color w:val="auto"/>
              </w:rPr>
            </w:pPr>
            <w:r>
              <w:rPr>
                <w:rFonts w:ascii="Times New Roman" w:cs="Times New Roman" w:eastAsia="Times New Roman" w:hAnsi="Times New Roman"/>
                <w:sz w:val="18"/>
                <w:szCs w:val="18"/>
                <w:color w:val="auto"/>
              </w:rPr>
              <w:t>Cristiano Amoruso</w:t>
            </w:r>
          </w:p>
        </w:tc>
        <w:tc>
          <w:tcPr>
            <w:tcW w:w="2900" w:type="dxa"/>
            <w:vAlign w:val="bottom"/>
            <w:gridSpan w:val="3"/>
            <w:shd w:val="clear" w:color="auto" w:fill="B8CCE4"/>
          </w:tcPr>
          <w:p>
            <w:pPr>
              <w:jc w:val="center"/>
              <w:ind w:left="1090"/>
              <w:spacing w:after="0"/>
              <w:rPr>
                <w:sz w:val="20"/>
                <w:szCs w:val="20"/>
                <w:color w:val="auto"/>
              </w:rPr>
            </w:pPr>
            <w:r>
              <w:rPr>
                <w:rFonts w:ascii="Times New Roman" w:cs="Times New Roman" w:eastAsia="Times New Roman" w:hAnsi="Times New Roman"/>
                <w:sz w:val="18"/>
                <w:szCs w:val="18"/>
                <w:color w:val="auto"/>
                <w:w w:val="98"/>
              </w:rPr>
              <w:t>17,050,708</w:t>
            </w:r>
          </w:p>
        </w:tc>
        <w:tc>
          <w:tcPr>
            <w:tcW w:w="1580" w:type="dxa"/>
            <w:vAlign w:val="bottom"/>
            <w:gridSpan w:val="3"/>
            <w:shd w:val="clear" w:color="auto" w:fill="B8CCE4"/>
          </w:tcPr>
          <w:p>
            <w:pPr>
              <w:jc w:val="center"/>
              <w:spacing w:after="0"/>
              <w:rPr>
                <w:sz w:val="20"/>
                <w:szCs w:val="20"/>
                <w:color w:val="auto"/>
              </w:rPr>
            </w:pPr>
            <w:r>
              <w:rPr>
                <w:rFonts w:ascii="Times New Roman" w:cs="Times New Roman" w:eastAsia="Times New Roman" w:hAnsi="Times New Roman"/>
                <w:sz w:val="18"/>
                <w:szCs w:val="18"/>
                <w:color w:val="auto"/>
                <w:w w:val="99"/>
              </w:rPr>
              <w:t>489,788</w:t>
            </w:r>
          </w:p>
        </w:tc>
        <w:tc>
          <w:tcPr>
            <w:tcW w:w="1520" w:type="dxa"/>
            <w:vAlign w:val="bottom"/>
            <w:gridSpan w:val="2"/>
            <w:shd w:val="clear" w:color="auto" w:fill="B8CCE4"/>
          </w:tcPr>
          <w:p>
            <w:pPr>
              <w:jc w:val="center"/>
              <w:ind w:left="314"/>
              <w:spacing w:after="0"/>
              <w:rPr>
                <w:sz w:val="20"/>
                <w:szCs w:val="20"/>
                <w:color w:val="auto"/>
              </w:rPr>
            </w:pPr>
            <w:r>
              <w:rPr>
                <w:rFonts w:ascii="Times New Roman" w:cs="Times New Roman" w:eastAsia="Times New Roman" w:hAnsi="Times New Roman"/>
                <w:sz w:val="18"/>
                <w:szCs w:val="18"/>
                <w:color w:val="auto"/>
                <w:w w:val="99"/>
              </w:rPr>
              <w:t>6,791,894</w:t>
            </w:r>
          </w:p>
        </w:tc>
        <w:tc>
          <w:tcPr>
            <w:tcW w:w="160" w:type="dxa"/>
            <w:vAlign w:val="bottom"/>
            <w:shd w:val="clear" w:color="auto" w:fill="B8CCE4"/>
          </w:tcPr>
          <w:p>
            <w:pPr>
              <w:spacing w:after="0"/>
              <w:rPr>
                <w:sz w:val="18"/>
                <w:szCs w:val="18"/>
                <w:color w:val="auto"/>
              </w:rPr>
            </w:pPr>
          </w:p>
        </w:tc>
      </w:tr>
      <w:tr>
        <w:trPr>
          <w:trHeight w:val="234"/>
        </w:trPr>
        <w:tc>
          <w:tcPr>
            <w:tcW w:w="35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Kyo-Hwa (Liz) Chung</w:t>
            </w:r>
          </w:p>
        </w:tc>
        <w:tc>
          <w:tcPr>
            <w:tcW w:w="2900" w:type="dxa"/>
            <w:vAlign w:val="bottom"/>
            <w:gridSpan w:val="3"/>
          </w:tcPr>
          <w:p>
            <w:pPr>
              <w:jc w:val="center"/>
              <w:ind w:left="1090"/>
              <w:spacing w:after="0"/>
              <w:rPr>
                <w:sz w:val="20"/>
                <w:szCs w:val="20"/>
                <w:color w:val="auto"/>
              </w:rPr>
            </w:pPr>
            <w:r>
              <w:rPr>
                <w:rFonts w:ascii="Times New Roman" w:cs="Times New Roman" w:eastAsia="Times New Roman" w:hAnsi="Times New Roman"/>
                <w:sz w:val="18"/>
                <w:szCs w:val="18"/>
                <w:color w:val="auto"/>
                <w:w w:val="98"/>
              </w:rPr>
              <w:t>15,685,921</w:t>
            </w:r>
          </w:p>
        </w:tc>
        <w:tc>
          <w:tcPr>
            <w:tcW w:w="1580" w:type="dxa"/>
            <w:vAlign w:val="bottom"/>
            <w:gridSpan w:val="3"/>
          </w:tcPr>
          <w:p>
            <w:pPr>
              <w:jc w:val="center"/>
              <w:ind w:left="10"/>
              <w:spacing w:after="0"/>
              <w:rPr>
                <w:sz w:val="20"/>
                <w:szCs w:val="20"/>
                <w:color w:val="auto"/>
              </w:rPr>
            </w:pPr>
            <w:r>
              <w:rPr>
                <w:rFonts w:ascii="Times New Roman" w:cs="Times New Roman" w:eastAsia="Times New Roman" w:hAnsi="Times New Roman"/>
                <w:sz w:val="18"/>
                <w:szCs w:val="18"/>
                <w:color w:val="auto"/>
                <w:w w:val="99"/>
              </w:rPr>
              <w:t>1,854,575</w:t>
            </w:r>
          </w:p>
        </w:tc>
        <w:tc>
          <w:tcPr>
            <w:tcW w:w="1520" w:type="dxa"/>
            <w:vAlign w:val="bottom"/>
            <w:gridSpan w:val="2"/>
          </w:tcPr>
          <w:p>
            <w:pPr>
              <w:jc w:val="center"/>
              <w:ind w:left="314"/>
              <w:spacing w:after="0"/>
              <w:rPr>
                <w:sz w:val="20"/>
                <w:szCs w:val="20"/>
                <w:color w:val="auto"/>
              </w:rPr>
            </w:pPr>
            <w:r>
              <w:rPr>
                <w:rFonts w:ascii="Times New Roman" w:cs="Times New Roman" w:eastAsia="Times New Roman" w:hAnsi="Times New Roman"/>
                <w:sz w:val="18"/>
                <w:szCs w:val="18"/>
                <w:color w:val="auto"/>
                <w:w w:val="99"/>
              </w:rPr>
              <w:t>6,791,894</w:t>
            </w:r>
          </w:p>
        </w:tc>
        <w:tc>
          <w:tcPr>
            <w:tcW w:w="160" w:type="dxa"/>
            <w:vAlign w:val="bottom"/>
          </w:tcPr>
          <w:p>
            <w:pPr>
              <w:spacing w:after="0"/>
              <w:rPr>
                <w:sz w:val="20"/>
                <w:szCs w:val="20"/>
                <w:color w:val="auto"/>
              </w:rPr>
            </w:pPr>
          </w:p>
        </w:tc>
      </w:tr>
    </w:tbl>
    <w:p>
      <w:pPr>
        <w:spacing w:after="0" w:line="179" w:lineRule="exact"/>
        <w:rPr>
          <w:sz w:val="20"/>
          <w:szCs w:val="20"/>
          <w:color w:val="auto"/>
        </w:rPr>
      </w:pPr>
    </w:p>
    <w:p>
      <w:pPr>
        <w:jc w:val="both"/>
        <w:ind w:left="660" w:right="960"/>
        <w:spacing w:after="0" w:line="312" w:lineRule="auto"/>
        <w:rPr>
          <w:sz w:val="20"/>
          <w:szCs w:val="20"/>
          <w:color w:val="auto"/>
        </w:rPr>
      </w:pPr>
      <w:r>
        <w:rPr>
          <w:rFonts w:ascii="Times New Roman" w:cs="Times New Roman" w:eastAsia="Times New Roman" w:hAnsi="Times New Roman"/>
          <w:sz w:val="17"/>
          <w:szCs w:val="17"/>
          <w:u w:val="single" w:color="auto"/>
          <w:color w:val="auto"/>
        </w:rPr>
        <w:t>Proposal 2 – Advisory Vote on the Compensation of the Named Executive Officers</w:t>
      </w:r>
      <w:r>
        <w:rPr>
          <w:rFonts w:ascii="Times New Roman" w:cs="Times New Roman" w:eastAsia="Times New Roman" w:hAnsi="Times New Roman"/>
          <w:sz w:val="17"/>
          <w:szCs w:val="17"/>
          <w:color w:val="auto"/>
        </w:rPr>
        <w:t>. The Company’s stockholders approved, on an advisory basis, the compensation of the Company’s named executive officers as disclosed in the Company’s 2026 proxy materials.</w:t>
      </w:r>
    </w:p>
    <w:p>
      <w:pPr>
        <w:spacing w:after="0" w:line="132" w:lineRule="exact"/>
        <w:rPr>
          <w:sz w:val="20"/>
          <w:szCs w:val="20"/>
          <w:color w:val="auto"/>
        </w:rPr>
      </w:pPr>
    </w:p>
    <w:tbl>
      <w:tblPr>
        <w:tblLayout w:type="fixed"/>
        <w:tblInd w:w="660" w:type="dxa"/>
        <w:tblCellMar>
          <w:top w:w="0" w:type="dxa"/>
          <w:left w:w="0" w:type="dxa"/>
          <w:bottom w:w="0" w:type="dxa"/>
          <w:right w:w="0" w:type="dxa"/>
        </w:tblCellMar>
      </w:tblPr>
      <w:tr>
        <w:trPr>
          <w:trHeight w:val="161"/>
        </w:trPr>
        <w:tc>
          <w:tcPr>
            <w:tcW w:w="1100" w:type="dxa"/>
            <w:vAlign w:val="bottom"/>
          </w:tcPr>
          <w:p>
            <w:pPr>
              <w:spacing w:after="0"/>
              <w:rPr>
                <w:sz w:val="13"/>
                <w:szCs w:val="13"/>
                <w:color w:val="auto"/>
              </w:rPr>
            </w:pPr>
          </w:p>
        </w:tc>
        <w:tc>
          <w:tcPr>
            <w:tcW w:w="2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For</w:t>
            </w:r>
          </w:p>
        </w:tc>
        <w:tc>
          <w:tcPr>
            <w:tcW w:w="11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460" w:type="dxa"/>
            <w:vAlign w:val="bottom"/>
            <w:gridSpan w:val="2"/>
          </w:tcPr>
          <w:p>
            <w:pPr>
              <w:jc w:val="center"/>
              <w:ind w:right="1000"/>
              <w:spacing w:after="0"/>
              <w:rPr>
                <w:sz w:val="20"/>
                <w:szCs w:val="20"/>
                <w:color w:val="auto"/>
              </w:rPr>
            </w:pPr>
            <w:r>
              <w:rPr>
                <w:rFonts w:ascii="Times New Roman" w:cs="Times New Roman" w:eastAsia="Times New Roman" w:hAnsi="Times New Roman"/>
                <w:sz w:val="14"/>
                <w:szCs w:val="14"/>
                <w:b w:val="1"/>
                <w:bCs w:val="1"/>
                <w:color w:val="auto"/>
              </w:rPr>
              <w:t>Against</w:t>
            </w:r>
          </w:p>
        </w:tc>
        <w:tc>
          <w:tcPr>
            <w:tcW w:w="2280" w:type="dxa"/>
            <w:vAlign w:val="bottom"/>
            <w:gridSpan w:val="3"/>
          </w:tcPr>
          <w:p>
            <w:pPr>
              <w:ind w:left="880"/>
              <w:spacing w:after="0"/>
              <w:rPr>
                <w:sz w:val="20"/>
                <w:szCs w:val="20"/>
                <w:color w:val="auto"/>
              </w:rPr>
            </w:pPr>
            <w:r>
              <w:rPr>
                <w:rFonts w:ascii="Times New Roman" w:cs="Times New Roman" w:eastAsia="Times New Roman" w:hAnsi="Times New Roman"/>
                <w:sz w:val="14"/>
                <w:szCs w:val="14"/>
                <w:b w:val="1"/>
                <w:bCs w:val="1"/>
                <w:color w:val="auto"/>
              </w:rPr>
              <w:t>Abstained</w:t>
            </w:r>
          </w:p>
        </w:tc>
        <w:tc>
          <w:tcPr>
            <w:tcW w:w="2560" w:type="dxa"/>
            <w:vAlign w:val="bottom"/>
            <w:gridSpan w:val="3"/>
          </w:tcPr>
          <w:p>
            <w:pPr>
              <w:jc w:val="center"/>
              <w:ind w:left="59"/>
              <w:spacing w:after="0"/>
              <w:rPr>
                <w:sz w:val="20"/>
                <w:szCs w:val="20"/>
                <w:color w:val="auto"/>
              </w:rPr>
            </w:pPr>
            <w:r>
              <w:rPr>
                <w:rFonts w:ascii="Times New Roman" w:cs="Times New Roman" w:eastAsia="Times New Roman" w:hAnsi="Times New Roman"/>
                <w:sz w:val="14"/>
                <w:szCs w:val="14"/>
                <w:b w:val="1"/>
                <w:bCs w:val="1"/>
                <w:color w:val="auto"/>
              </w:rPr>
              <w:t>Broker Non-Votes</w:t>
            </w:r>
          </w:p>
        </w:tc>
      </w:tr>
      <w:tr>
        <w:trPr>
          <w:trHeight w:val="20"/>
        </w:trPr>
        <w:tc>
          <w:tcPr>
            <w:tcW w:w="1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209"/>
        </w:trPr>
        <w:tc>
          <w:tcPr>
            <w:tcW w:w="2460" w:type="dxa"/>
            <w:vAlign w:val="bottom"/>
            <w:gridSpan w:val="3"/>
            <w:shd w:val="clear" w:color="auto" w:fill="B8CCE4"/>
          </w:tcPr>
          <w:p>
            <w:pPr>
              <w:jc w:val="right"/>
              <w:ind w:right="840"/>
              <w:spacing w:after="0"/>
              <w:rPr>
                <w:sz w:val="20"/>
                <w:szCs w:val="20"/>
                <w:color w:val="auto"/>
              </w:rPr>
            </w:pPr>
            <w:r>
              <w:rPr>
                <w:rFonts w:ascii="Times New Roman" w:cs="Times New Roman" w:eastAsia="Times New Roman" w:hAnsi="Times New Roman"/>
                <w:sz w:val="18"/>
                <w:szCs w:val="18"/>
                <w:color w:val="auto"/>
              </w:rPr>
              <w:t>14,602,034</w:t>
            </w:r>
          </w:p>
        </w:tc>
        <w:tc>
          <w:tcPr>
            <w:tcW w:w="2420" w:type="dxa"/>
            <w:vAlign w:val="bottom"/>
            <w:gridSpan w:val="3"/>
            <w:shd w:val="clear" w:color="auto" w:fill="B8CCE4"/>
          </w:tcPr>
          <w:p>
            <w:pPr>
              <w:jc w:val="right"/>
              <w:ind w:right="880"/>
              <w:spacing w:after="0"/>
              <w:rPr>
                <w:sz w:val="20"/>
                <w:szCs w:val="20"/>
                <w:color w:val="auto"/>
              </w:rPr>
            </w:pPr>
            <w:r>
              <w:rPr>
                <w:rFonts w:ascii="Times New Roman" w:cs="Times New Roman" w:eastAsia="Times New Roman" w:hAnsi="Times New Roman"/>
                <w:sz w:val="18"/>
                <w:szCs w:val="18"/>
                <w:color w:val="auto"/>
              </w:rPr>
              <w:t>2,791,527</w:t>
            </w:r>
          </w:p>
        </w:tc>
        <w:tc>
          <w:tcPr>
            <w:tcW w:w="1520" w:type="dxa"/>
            <w:vAlign w:val="bottom"/>
            <w:gridSpan w:val="2"/>
            <w:shd w:val="clear" w:color="auto" w:fill="B8CCE4"/>
          </w:tcPr>
          <w:p>
            <w:pPr>
              <w:ind w:left="900"/>
              <w:spacing w:after="0"/>
              <w:rPr>
                <w:sz w:val="20"/>
                <w:szCs w:val="20"/>
                <w:color w:val="auto"/>
              </w:rPr>
            </w:pPr>
            <w:r>
              <w:rPr>
                <w:rFonts w:ascii="Times New Roman" w:cs="Times New Roman" w:eastAsia="Times New Roman" w:hAnsi="Times New Roman"/>
                <w:sz w:val="18"/>
                <w:szCs w:val="18"/>
                <w:color w:val="auto"/>
              </w:rPr>
              <w:t>146,935</w:t>
            </w:r>
          </w:p>
        </w:tc>
        <w:tc>
          <w:tcPr>
            <w:tcW w:w="760" w:type="dxa"/>
            <w:vAlign w:val="bottom"/>
            <w:shd w:val="clear" w:color="auto" w:fill="B8CCE4"/>
          </w:tcPr>
          <w:p>
            <w:pPr>
              <w:spacing w:after="0"/>
              <w:rPr>
                <w:sz w:val="18"/>
                <w:szCs w:val="18"/>
                <w:color w:val="auto"/>
              </w:rPr>
            </w:pPr>
          </w:p>
        </w:tc>
        <w:tc>
          <w:tcPr>
            <w:tcW w:w="1920" w:type="dxa"/>
            <w:vAlign w:val="bottom"/>
            <w:gridSpan w:val="2"/>
            <w:shd w:val="clear" w:color="auto" w:fill="B8CCE4"/>
          </w:tcPr>
          <w:p>
            <w:pPr>
              <w:jc w:val="right"/>
              <w:ind w:right="220"/>
              <w:spacing w:after="0"/>
              <w:rPr>
                <w:sz w:val="20"/>
                <w:szCs w:val="20"/>
                <w:color w:val="auto"/>
              </w:rPr>
            </w:pPr>
            <w:r>
              <w:rPr>
                <w:rFonts w:ascii="Times New Roman" w:cs="Times New Roman" w:eastAsia="Times New Roman" w:hAnsi="Times New Roman"/>
                <w:sz w:val="18"/>
                <w:szCs w:val="18"/>
                <w:color w:val="auto"/>
              </w:rPr>
              <w:t>6,791,894</w:t>
            </w:r>
          </w:p>
        </w:tc>
        <w:tc>
          <w:tcPr>
            <w:tcW w:w="640" w:type="dxa"/>
            <w:vAlign w:val="bottom"/>
            <w:shd w:val="clear" w:color="auto" w:fill="B8CCE4"/>
          </w:tcPr>
          <w:p>
            <w:pPr>
              <w:spacing w:after="0"/>
              <w:rPr>
                <w:sz w:val="18"/>
                <w:szCs w:val="18"/>
                <w:color w:val="auto"/>
              </w:rPr>
            </w:pPr>
          </w:p>
        </w:tc>
      </w:tr>
    </w:tbl>
    <w:p>
      <w:pPr>
        <w:spacing w:after="0" w:line="198" w:lineRule="exact"/>
        <w:rPr>
          <w:sz w:val="20"/>
          <w:szCs w:val="20"/>
          <w:color w:val="auto"/>
        </w:rPr>
      </w:pPr>
    </w:p>
    <w:p>
      <w:pPr>
        <w:ind w:left="660" w:right="980"/>
        <w:spacing w:after="0" w:line="282" w:lineRule="auto"/>
        <w:rPr>
          <w:sz w:val="20"/>
          <w:szCs w:val="20"/>
          <w:color w:val="auto"/>
        </w:rPr>
      </w:pPr>
      <w:r>
        <w:rPr>
          <w:rFonts w:ascii="Times New Roman" w:cs="Times New Roman" w:eastAsia="Times New Roman" w:hAnsi="Times New Roman"/>
          <w:sz w:val="18"/>
          <w:szCs w:val="18"/>
          <w:u w:val="single" w:color="auto"/>
          <w:color w:val="auto"/>
        </w:rPr>
        <w:t>Proposal 3 – Ratification of the Appointment of EY Han Young</w:t>
      </w:r>
      <w:r>
        <w:rPr>
          <w:rFonts w:ascii="Times New Roman" w:cs="Times New Roman" w:eastAsia="Times New Roman" w:hAnsi="Times New Roman"/>
          <w:sz w:val="18"/>
          <w:szCs w:val="18"/>
          <w:color w:val="auto"/>
        </w:rPr>
        <w:t>. The Company’s stockholders ratified the appointment of EY Han Young as the Company’s independent registered public accounting firm for the fiscal year ending December 31, 2026.</w:t>
      </w:r>
    </w:p>
    <w:p>
      <w:pPr>
        <w:spacing w:after="0" w:line="154" w:lineRule="exact"/>
        <w:rPr>
          <w:sz w:val="20"/>
          <w:szCs w:val="20"/>
          <w:color w:val="auto"/>
        </w:rPr>
      </w:pPr>
    </w:p>
    <w:tbl>
      <w:tblPr>
        <w:tblLayout w:type="fixed"/>
        <w:tblInd w:w="660" w:type="dxa"/>
        <w:tblCellMar>
          <w:top w:w="0" w:type="dxa"/>
          <w:left w:w="0" w:type="dxa"/>
          <w:bottom w:w="0" w:type="dxa"/>
          <w:right w:w="0" w:type="dxa"/>
        </w:tblCellMar>
      </w:tblPr>
      <w:tr>
        <w:trPr>
          <w:trHeight w:val="161"/>
        </w:trPr>
        <w:tc>
          <w:tcPr>
            <w:tcW w:w="1500" w:type="dxa"/>
            <w:vAlign w:val="bottom"/>
          </w:tcPr>
          <w:p>
            <w:pPr>
              <w:spacing w:after="0"/>
              <w:rPr>
                <w:sz w:val="13"/>
                <w:szCs w:val="13"/>
                <w:color w:val="auto"/>
              </w:rPr>
            </w:pPr>
          </w:p>
        </w:tc>
        <w:tc>
          <w:tcPr>
            <w:tcW w:w="2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For</w:t>
            </w:r>
          </w:p>
        </w:tc>
        <w:tc>
          <w:tcPr>
            <w:tcW w:w="26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Against</w:t>
            </w:r>
          </w:p>
        </w:tc>
        <w:tc>
          <w:tcPr>
            <w:tcW w:w="2700" w:type="dxa"/>
            <w:vAlign w:val="bottom"/>
          </w:tcPr>
          <w:p>
            <w:pPr>
              <w:spacing w:after="0"/>
              <w:rPr>
                <w:sz w:val="13"/>
                <w:szCs w:val="13"/>
                <w:color w:val="auto"/>
              </w:rPr>
            </w:pPr>
          </w:p>
        </w:tc>
        <w:tc>
          <w:tcPr>
            <w:tcW w:w="19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Abstained</w:t>
            </w:r>
          </w:p>
        </w:tc>
      </w:tr>
      <w:tr>
        <w:trPr>
          <w:trHeight w:val="20"/>
        </w:trPr>
        <w:tc>
          <w:tcPr>
            <w:tcW w:w="15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210"/>
        </w:trPr>
        <w:tc>
          <w:tcPr>
            <w:tcW w:w="4380" w:type="dxa"/>
            <w:vAlign w:val="bottom"/>
            <w:gridSpan w:val="3"/>
            <w:shd w:val="clear" w:color="auto" w:fill="B8CCE4"/>
          </w:tcPr>
          <w:p>
            <w:pPr>
              <w:jc w:val="right"/>
              <w:ind w:right="2380"/>
              <w:spacing w:after="0"/>
              <w:rPr>
                <w:sz w:val="20"/>
                <w:szCs w:val="20"/>
                <w:color w:val="auto"/>
              </w:rPr>
            </w:pPr>
            <w:r>
              <w:rPr>
                <w:rFonts w:ascii="Times New Roman" w:cs="Times New Roman" w:eastAsia="Times New Roman" w:hAnsi="Times New Roman"/>
                <w:sz w:val="18"/>
                <w:szCs w:val="18"/>
                <w:color w:val="auto"/>
              </w:rPr>
              <w:t>22,467,959</w:t>
            </w:r>
          </w:p>
        </w:tc>
        <w:tc>
          <w:tcPr>
            <w:tcW w:w="3420" w:type="dxa"/>
            <w:vAlign w:val="bottom"/>
            <w:gridSpan w:val="3"/>
            <w:shd w:val="clear" w:color="auto" w:fill="B8CCE4"/>
          </w:tcPr>
          <w:p>
            <w:pPr>
              <w:jc w:val="right"/>
              <w:ind w:right="2580"/>
              <w:spacing w:after="0"/>
              <w:rPr>
                <w:sz w:val="20"/>
                <w:szCs w:val="20"/>
                <w:color w:val="auto"/>
              </w:rPr>
            </w:pPr>
            <w:r>
              <w:rPr>
                <w:rFonts w:ascii="Times New Roman" w:cs="Times New Roman" w:eastAsia="Times New Roman" w:hAnsi="Times New Roman"/>
                <w:sz w:val="18"/>
                <w:szCs w:val="18"/>
                <w:color w:val="auto"/>
              </w:rPr>
              <w:t>1,175,489</w:t>
            </w:r>
          </w:p>
        </w:tc>
        <w:tc>
          <w:tcPr>
            <w:tcW w:w="620" w:type="dxa"/>
            <w:vAlign w:val="bottom"/>
            <w:shd w:val="clear" w:color="auto" w:fill="B8CCE4"/>
          </w:tcPr>
          <w:p>
            <w:pPr>
              <w:ind w:left="20"/>
              <w:spacing w:after="0"/>
              <w:rPr>
                <w:sz w:val="20"/>
                <w:szCs w:val="20"/>
                <w:color w:val="auto"/>
              </w:rPr>
            </w:pPr>
            <w:r>
              <w:rPr>
                <w:rFonts w:ascii="Times New Roman" w:cs="Times New Roman" w:eastAsia="Times New Roman" w:hAnsi="Times New Roman"/>
                <w:sz w:val="18"/>
                <w:szCs w:val="18"/>
                <w:color w:val="auto"/>
                <w:w w:val="99"/>
              </w:rPr>
              <w:t>688,942</w:t>
            </w:r>
          </w:p>
        </w:tc>
        <w:tc>
          <w:tcPr>
            <w:tcW w:w="1300" w:type="dxa"/>
            <w:vAlign w:val="bottom"/>
            <w:shd w:val="clear" w:color="auto" w:fill="B8CCE4"/>
          </w:tcPr>
          <w:p>
            <w:pPr>
              <w:spacing w:after="0"/>
              <w:rPr>
                <w:sz w:val="18"/>
                <w:szCs w:val="18"/>
                <w:color w:val="auto"/>
              </w:rPr>
            </w:pPr>
          </w:p>
        </w:tc>
      </w:tr>
      <w:tr>
        <w:trPr>
          <w:trHeight w:val="432"/>
        </w:trPr>
        <w:tc>
          <w:tcPr>
            <w:tcW w:w="43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There were no broker non-votes with respect to Proposal 3.</w:t>
            </w: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300" w:type="dxa"/>
            <w:vAlign w:val="bottom"/>
          </w:tcPr>
          <w:p>
            <w:pPr>
              <w:spacing w:after="0"/>
              <w:rPr>
                <w:sz w:val="24"/>
                <w:szCs w:val="24"/>
                <w:color w:val="auto"/>
              </w:rPr>
            </w:pPr>
          </w:p>
        </w:tc>
      </w:tr>
    </w:tbl>
    <w:p>
      <w:pPr>
        <w:spacing w:after="0" w:line="198" w:lineRule="exact"/>
        <w:rPr>
          <w:sz w:val="20"/>
          <w:szCs w:val="20"/>
          <w:color w:val="auto"/>
        </w:rPr>
      </w:pPr>
    </w:p>
    <w:p>
      <w:pPr>
        <w:ind w:left="660" w:right="1240"/>
        <w:spacing w:after="0" w:line="282" w:lineRule="auto"/>
        <w:rPr>
          <w:sz w:val="20"/>
          <w:szCs w:val="20"/>
          <w:color w:val="auto"/>
        </w:rPr>
      </w:pPr>
      <w:r>
        <w:rPr>
          <w:rFonts w:ascii="Times New Roman" w:cs="Times New Roman" w:eastAsia="Times New Roman" w:hAnsi="Times New Roman"/>
          <w:sz w:val="18"/>
          <w:szCs w:val="18"/>
          <w:u w:val="single" w:color="auto"/>
          <w:color w:val="auto"/>
        </w:rPr>
        <w:t>Proposal 4 – Approval of Amended and Restated 2020 Equity and Incentive Compensation Plan</w:t>
      </w:r>
      <w:r>
        <w:rPr>
          <w:rFonts w:ascii="Times New Roman" w:cs="Times New Roman" w:eastAsia="Times New Roman" w:hAnsi="Times New Roman"/>
          <w:sz w:val="18"/>
          <w:szCs w:val="18"/>
          <w:color w:val="auto"/>
        </w:rPr>
        <w:t>. The Company’s stockholders approved the Company's Amended and Restated 2020 Equity and Incentive Compensation Plan.</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340" w:type="dxa"/>
            <w:vAlign w:val="bottom"/>
            <w:gridSpan w:val="2"/>
          </w:tcPr>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For</w:t>
            </w:r>
          </w:p>
        </w:tc>
        <w:tc>
          <w:tcPr>
            <w:tcW w:w="3320" w:type="dxa"/>
            <w:vAlign w:val="bottom"/>
            <w:gridSpan w:val="3"/>
          </w:tcPr>
          <w:p>
            <w:pPr>
              <w:jc w:val="center"/>
              <w:ind w:right="920"/>
              <w:spacing w:after="0"/>
              <w:rPr>
                <w:sz w:val="20"/>
                <w:szCs w:val="20"/>
                <w:color w:val="auto"/>
              </w:rPr>
            </w:pPr>
            <w:r>
              <w:rPr>
                <w:rFonts w:ascii="Times New Roman" w:cs="Times New Roman" w:eastAsia="Times New Roman" w:hAnsi="Times New Roman"/>
                <w:sz w:val="14"/>
                <w:szCs w:val="14"/>
                <w:b w:val="1"/>
                <w:bCs w:val="1"/>
                <w:color w:val="auto"/>
              </w:rPr>
              <w:t>Against</w:t>
            </w:r>
          </w:p>
        </w:tc>
        <w:tc>
          <w:tcPr>
            <w:tcW w:w="6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w w:val="98"/>
              </w:rPr>
              <w:t>Abstained</w:t>
            </w:r>
          </w:p>
        </w:tc>
        <w:tc>
          <w:tcPr>
            <w:tcW w:w="1560" w:type="dxa"/>
            <w:vAlign w:val="bottom"/>
          </w:tcPr>
          <w:p>
            <w:pPr>
              <w:spacing w:after="0"/>
              <w:rPr>
                <w:sz w:val="13"/>
                <w:szCs w:val="13"/>
                <w:color w:val="auto"/>
              </w:rPr>
            </w:pPr>
          </w:p>
        </w:tc>
        <w:tc>
          <w:tcPr>
            <w:tcW w:w="2440" w:type="dxa"/>
            <w:vAlign w:val="bottom"/>
            <w:gridSpan w:val="3"/>
          </w:tcPr>
          <w:p>
            <w:pPr>
              <w:jc w:val="center"/>
              <w:ind w:right="1320"/>
              <w:spacing w:after="0"/>
              <w:rPr>
                <w:sz w:val="20"/>
                <w:szCs w:val="20"/>
                <w:color w:val="auto"/>
              </w:rPr>
            </w:pPr>
            <w:r>
              <w:rPr>
                <w:rFonts w:ascii="Times New Roman" w:cs="Times New Roman" w:eastAsia="Times New Roman" w:hAnsi="Times New Roman"/>
                <w:sz w:val="14"/>
                <w:szCs w:val="14"/>
                <w:b w:val="1"/>
                <w:bCs w:val="1"/>
                <w:color w:val="auto"/>
              </w:rPr>
              <w:t>Broker Non-Votes</w:t>
            </w:r>
          </w:p>
        </w:tc>
        <w:tc>
          <w:tcPr>
            <w:tcW w:w="0" w:type="dxa"/>
            <w:vAlign w:val="bottom"/>
          </w:tcPr>
          <w:p>
            <w:pPr>
              <w:spacing w:after="0"/>
              <w:rPr>
                <w:sz w:val="1"/>
                <w:szCs w:val="1"/>
                <w:color w:val="auto"/>
              </w:rPr>
            </w:pPr>
          </w:p>
        </w:tc>
      </w:tr>
      <w:tr>
        <w:trPr>
          <w:trHeight w:val="20"/>
        </w:trPr>
        <w:tc>
          <w:tcPr>
            <w:tcW w:w="660" w:type="dxa"/>
            <w:vAlign w:val="bottom"/>
            <w:vMerge w:val="restart"/>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60" w:type="dxa"/>
            <w:vAlign w:val="bottom"/>
            <w:vMerge w:val="continue"/>
          </w:tcPr>
          <w:p>
            <w:pPr>
              <w:spacing w:after="0"/>
              <w:rPr>
                <w:sz w:val="18"/>
                <w:szCs w:val="18"/>
                <w:color w:val="auto"/>
              </w:rPr>
            </w:pPr>
          </w:p>
        </w:tc>
        <w:tc>
          <w:tcPr>
            <w:tcW w:w="2440" w:type="dxa"/>
            <w:vAlign w:val="bottom"/>
            <w:gridSpan w:val="3"/>
            <w:shd w:val="clear" w:color="auto" w:fill="B8CCE4"/>
          </w:tcPr>
          <w:p>
            <w:pPr>
              <w:jc w:val="right"/>
              <w:ind w:right="820"/>
              <w:spacing w:after="0"/>
              <w:rPr>
                <w:sz w:val="20"/>
                <w:szCs w:val="20"/>
                <w:color w:val="auto"/>
              </w:rPr>
            </w:pPr>
            <w:r>
              <w:rPr>
                <w:rFonts w:ascii="Times New Roman" w:cs="Times New Roman" w:eastAsia="Times New Roman" w:hAnsi="Times New Roman"/>
                <w:sz w:val="18"/>
                <w:szCs w:val="18"/>
                <w:color w:val="auto"/>
              </w:rPr>
              <w:t>13,328,072</w:t>
            </w:r>
          </w:p>
        </w:tc>
        <w:tc>
          <w:tcPr>
            <w:tcW w:w="3320" w:type="dxa"/>
            <w:vAlign w:val="bottom"/>
            <w:gridSpan w:val="3"/>
            <w:shd w:val="clear" w:color="auto" w:fill="B8CCE4"/>
          </w:tcPr>
          <w:p>
            <w:pPr>
              <w:jc w:val="right"/>
              <w:ind w:right="1760"/>
              <w:spacing w:after="0"/>
              <w:rPr>
                <w:sz w:val="20"/>
                <w:szCs w:val="20"/>
                <w:color w:val="auto"/>
              </w:rPr>
            </w:pPr>
            <w:r>
              <w:rPr>
                <w:rFonts w:ascii="Times New Roman" w:cs="Times New Roman" w:eastAsia="Times New Roman" w:hAnsi="Times New Roman"/>
                <w:sz w:val="18"/>
                <w:szCs w:val="18"/>
                <w:color w:val="auto"/>
              </w:rPr>
              <w:t>4,058,795</w:t>
            </w:r>
          </w:p>
        </w:tc>
        <w:tc>
          <w:tcPr>
            <w:tcW w:w="620" w:type="dxa"/>
            <w:vAlign w:val="bottom"/>
            <w:shd w:val="clear" w:color="auto" w:fill="B8CCE4"/>
          </w:tcPr>
          <w:p>
            <w:pPr>
              <w:ind w:left="20"/>
              <w:spacing w:after="0"/>
              <w:rPr>
                <w:sz w:val="20"/>
                <w:szCs w:val="20"/>
                <w:color w:val="auto"/>
              </w:rPr>
            </w:pPr>
            <w:r>
              <w:rPr>
                <w:rFonts w:ascii="Times New Roman" w:cs="Times New Roman" w:eastAsia="Times New Roman" w:hAnsi="Times New Roman"/>
                <w:sz w:val="18"/>
                <w:szCs w:val="18"/>
                <w:color w:val="auto"/>
                <w:w w:val="99"/>
              </w:rPr>
              <w:t>153,629</w:t>
            </w:r>
          </w:p>
        </w:tc>
        <w:tc>
          <w:tcPr>
            <w:tcW w:w="2680" w:type="dxa"/>
            <w:vAlign w:val="bottom"/>
            <w:gridSpan w:val="2"/>
            <w:shd w:val="clear" w:color="auto" w:fill="B8CCE4"/>
          </w:tcPr>
          <w:p>
            <w:pPr>
              <w:jc w:val="right"/>
              <w:ind w:right="128"/>
              <w:spacing w:after="0"/>
              <w:rPr>
                <w:sz w:val="20"/>
                <w:szCs w:val="20"/>
                <w:color w:val="auto"/>
              </w:rPr>
            </w:pPr>
            <w:r>
              <w:rPr>
                <w:rFonts w:ascii="Times New Roman" w:cs="Times New Roman" w:eastAsia="Times New Roman" w:hAnsi="Times New Roman"/>
                <w:sz w:val="18"/>
                <w:szCs w:val="18"/>
                <w:color w:val="auto"/>
              </w:rPr>
              <w:t>6,791,894</w:t>
            </w:r>
          </w:p>
        </w:tc>
        <w:tc>
          <w:tcPr>
            <w:tcW w:w="660" w:type="dxa"/>
            <w:vAlign w:val="bottom"/>
            <w:shd w:val="clear" w:color="auto" w:fill="B8CCE4"/>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95"/>
        </w:trPr>
        <w:tc>
          <w:tcPr>
            <w:tcW w:w="66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188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156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6992620</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-29210</wp:posOffset>
            </wp:positionV>
            <wp:extent cx="3365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040"/>
          </w:cols>
          <w:pgMar w:left="420" w:top="765" w:right="439" w:bottom="1440" w:gutter="0" w:footer="0" w:header="0"/>
        </w:sectPr>
      </w:pPr>
    </w:p>
    <w:bookmarkStart w:id="2" w:name="page3"/>
    <w:bookmarkEnd w:id="2"/>
    <w:p>
      <w:pPr>
        <w:ind w:left="660"/>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117" w:lineRule="exact"/>
        <w:rPr>
          <w:sz w:val="20"/>
          <w:szCs w:val="20"/>
          <w:color w:val="auto"/>
        </w:rPr>
      </w:pPr>
    </w:p>
    <w:p>
      <w:pPr>
        <w:ind w:left="660"/>
        <w:spacing w:after="0"/>
        <w:tabs>
          <w:tab w:leader="none" w:pos="1040" w:val="left"/>
        </w:tabs>
        <w:rPr>
          <w:sz w:val="20"/>
          <w:szCs w:val="20"/>
          <w:color w:val="auto"/>
        </w:rPr>
      </w:pPr>
      <w:r>
        <w:rPr>
          <w:rFonts w:ascii="Times New Roman" w:cs="Times New Roman" w:eastAsia="Times New Roman" w:hAnsi="Times New Roman"/>
          <w:sz w:val="18"/>
          <w:szCs w:val="18"/>
          <w:b w:val="1"/>
          <w:bCs w:val="1"/>
          <w:color w:val="auto"/>
        </w:rPr>
        <w:t>(d)</w:t>
      </w:r>
      <w:r>
        <w:rPr>
          <w:sz w:val="20"/>
          <w:szCs w:val="20"/>
          <w:color w:val="auto"/>
        </w:rPr>
        <w:tab/>
      </w:r>
      <w:r>
        <w:rPr>
          <w:rFonts w:ascii="Times New Roman" w:cs="Times New Roman" w:eastAsia="Times New Roman" w:hAnsi="Times New Roman"/>
          <w:sz w:val="17"/>
          <w:szCs w:val="17"/>
          <w:b w:val="1"/>
          <w:bCs w:val="1"/>
          <w:color w:val="auto"/>
        </w:rPr>
        <w:t>Exhibits</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exhibits are filed as part of this report:</w:t>
      </w:r>
    </w:p>
    <w:p>
      <w:pPr>
        <w:spacing w:after="0" w:line="200" w:lineRule="exact"/>
        <w:rPr>
          <w:sz w:val="20"/>
          <w:szCs w:val="20"/>
          <w:color w:val="auto"/>
        </w:rPr>
      </w:pP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0" w:type="dxa"/>
            <w:vAlign w:val="bottom"/>
          </w:tcPr>
          <w:p>
            <w:pPr>
              <w:spacing w:after="0"/>
              <w:rPr>
                <w:sz w:val="13"/>
                <w:szCs w:val="13"/>
                <w:color w:val="auto"/>
              </w:rPr>
            </w:pPr>
          </w:p>
        </w:tc>
        <w:tc>
          <w:tcPr>
            <w:tcW w:w="7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20" w:type="dxa"/>
            <w:vAlign w:val="bottom"/>
          </w:tcPr>
          <w:p>
            <w:pPr>
              <w:spacing w:after="0"/>
              <w:rPr>
                <w:sz w:val="13"/>
                <w:szCs w:val="13"/>
                <w:color w:val="auto"/>
              </w:rPr>
            </w:pPr>
          </w:p>
        </w:tc>
        <w:tc>
          <w:tcPr>
            <w:tcW w:w="9560" w:type="dxa"/>
            <w:vAlign w:val="bottom"/>
            <w:gridSpan w:val="4"/>
            <w:vMerge w:val="restart"/>
          </w:tcPr>
          <w:p>
            <w:pPr>
              <w:ind w:left="408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09"/>
        </w:trPr>
        <w:tc>
          <w:tcPr>
            <w:tcW w:w="660" w:type="dxa"/>
            <w:vAlign w:val="bottom"/>
          </w:tcPr>
          <w:p>
            <w:pPr>
              <w:spacing w:after="0"/>
              <w:rPr>
                <w:sz w:val="9"/>
                <w:szCs w:val="9"/>
                <w:color w:val="auto"/>
              </w:rPr>
            </w:pPr>
          </w:p>
        </w:tc>
        <w:tc>
          <w:tcPr>
            <w:tcW w:w="7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No.</w:t>
            </w:r>
          </w:p>
        </w:tc>
        <w:tc>
          <w:tcPr>
            <w:tcW w:w="120" w:type="dxa"/>
            <w:vAlign w:val="bottom"/>
          </w:tcPr>
          <w:p>
            <w:pPr>
              <w:spacing w:after="0"/>
              <w:rPr>
                <w:sz w:val="9"/>
                <w:szCs w:val="9"/>
                <w:color w:val="auto"/>
              </w:rPr>
            </w:pPr>
          </w:p>
        </w:tc>
        <w:tc>
          <w:tcPr>
            <w:tcW w:w="956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8"/>
        </w:trPr>
        <w:tc>
          <w:tcPr>
            <w:tcW w:w="660" w:type="dxa"/>
            <w:vAlign w:val="bottom"/>
          </w:tcPr>
          <w:p>
            <w:pPr>
              <w:spacing w:after="0"/>
              <w:rPr>
                <w:sz w:val="6"/>
                <w:szCs w:val="6"/>
                <w:color w:val="auto"/>
              </w:rPr>
            </w:pPr>
          </w:p>
        </w:tc>
        <w:tc>
          <w:tcPr>
            <w:tcW w:w="700" w:type="dxa"/>
            <w:vAlign w:val="bottom"/>
            <w:tcBorders>
              <w:bottom w:val="single" w:sz="8" w:color="auto"/>
            </w:tcBorders>
            <w:vMerge w:val="continue"/>
          </w:tcPr>
          <w:p>
            <w:pPr>
              <w:spacing w:after="0"/>
              <w:rPr>
                <w:sz w:val="6"/>
                <w:szCs w:val="6"/>
                <w:color w:val="auto"/>
              </w:rPr>
            </w:pPr>
          </w:p>
        </w:tc>
        <w:tc>
          <w:tcPr>
            <w:tcW w:w="120" w:type="dxa"/>
            <w:vAlign w:val="bottom"/>
          </w:tcPr>
          <w:p>
            <w:pPr>
              <w:spacing w:after="0"/>
              <w:rPr>
                <w:sz w:val="6"/>
                <w:szCs w:val="6"/>
                <w:color w:val="auto"/>
              </w:rPr>
            </w:pPr>
          </w:p>
        </w:tc>
        <w:tc>
          <w:tcPr>
            <w:tcW w:w="6620" w:type="dxa"/>
            <w:vAlign w:val="bottom"/>
            <w:tcBorders>
              <w:bottom w:val="single" w:sz="8" w:color="auto"/>
            </w:tcBorders>
          </w:tcPr>
          <w:p>
            <w:pPr>
              <w:spacing w:after="0"/>
              <w:rPr>
                <w:sz w:val="6"/>
                <w:szCs w:val="6"/>
                <w:color w:val="auto"/>
              </w:rPr>
            </w:pPr>
          </w:p>
        </w:tc>
        <w:tc>
          <w:tcPr>
            <w:tcW w:w="2020" w:type="dxa"/>
            <w:vAlign w:val="bottom"/>
            <w:tcBorders>
              <w:bottom w:val="single" w:sz="8" w:color="auto"/>
            </w:tcBorders>
          </w:tcPr>
          <w:p>
            <w:pPr>
              <w:spacing w:after="0"/>
              <w:rPr>
                <w:sz w:val="6"/>
                <w:szCs w:val="6"/>
                <w:color w:val="auto"/>
              </w:rPr>
            </w:pPr>
          </w:p>
        </w:tc>
        <w:tc>
          <w:tcPr>
            <w:tcW w:w="260" w:type="dxa"/>
            <w:vAlign w:val="bottom"/>
            <w:tcBorders>
              <w:bottom w:val="single" w:sz="8" w:color="auto"/>
            </w:tcBorders>
          </w:tcPr>
          <w:p>
            <w:pPr>
              <w:spacing w:after="0"/>
              <w:rPr>
                <w:sz w:val="6"/>
                <w:szCs w:val="6"/>
                <w:color w:val="auto"/>
              </w:rPr>
            </w:pPr>
          </w:p>
        </w:tc>
        <w:tc>
          <w:tcPr>
            <w:tcW w:w="6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5"/>
        </w:trPr>
        <w:tc>
          <w:tcPr>
            <w:tcW w:w="1360" w:type="dxa"/>
            <w:vAlign w:val="bottom"/>
            <w:gridSpan w:val="2"/>
            <w:vMerge w:val="restart"/>
          </w:tcPr>
          <w:p>
            <w:pPr>
              <w:ind w:left="660"/>
              <w:spacing w:after="0"/>
              <w:rPr>
                <w:sz w:val="20"/>
                <w:szCs w:val="20"/>
                <w:color w:val="auto"/>
              </w:rPr>
            </w:pPr>
            <w:r>
              <w:rPr>
                <w:rFonts w:ascii="Times New Roman" w:cs="Times New Roman" w:eastAsia="Times New Roman" w:hAnsi="Times New Roman"/>
                <w:sz w:val="18"/>
                <w:szCs w:val="18"/>
                <w:color w:val="auto"/>
              </w:rPr>
              <w:t>10.1</w:t>
            </w:r>
          </w:p>
        </w:tc>
        <w:tc>
          <w:tcPr>
            <w:tcW w:w="120" w:type="dxa"/>
            <w:vAlign w:val="bottom"/>
          </w:tcPr>
          <w:p>
            <w:pPr>
              <w:spacing w:after="0"/>
              <w:rPr>
                <w:sz w:val="24"/>
                <w:szCs w:val="24"/>
                <w:color w:val="auto"/>
              </w:rPr>
            </w:pPr>
          </w:p>
        </w:tc>
        <w:tc>
          <w:tcPr>
            <w:tcW w:w="9560" w:type="dxa"/>
            <w:vAlign w:val="bottom"/>
            <w:gridSpan w:val="4"/>
          </w:tcPr>
          <w:p>
            <w:pPr>
              <w:spacing w:after="0"/>
              <w:rPr>
                <w:rFonts w:ascii="Times New Roman" w:cs="Times New Roman" w:eastAsia="Times New Roman" w:hAnsi="Times New Roman"/>
                <w:sz w:val="18"/>
                <w:szCs w:val="18"/>
                <w:color w:val="0000FF"/>
              </w:rPr>
            </w:pPr>
            <w:hyperlink r:id="rId16">
              <w:r>
                <w:rPr>
                  <w:rFonts w:ascii="Times New Roman" w:cs="Times New Roman" w:eastAsia="Times New Roman" w:hAnsi="Times New Roman"/>
                  <w:sz w:val="18"/>
                  <w:szCs w:val="18"/>
                  <w:color w:val="0000FF"/>
                </w:rPr>
                <w:t>Amended and Restated 2020 Equity and Incentive Compensation Plan (Incorporated by reference to Appendix A to our</w:t>
              </w:r>
            </w:hyperlink>
          </w:p>
        </w:tc>
        <w:tc>
          <w:tcPr>
            <w:tcW w:w="0" w:type="dxa"/>
            <w:vAlign w:val="bottom"/>
          </w:tcPr>
          <w:p>
            <w:pPr>
              <w:spacing w:after="0"/>
              <w:rPr>
                <w:sz w:val="1"/>
                <w:szCs w:val="1"/>
                <w:color w:val="auto"/>
              </w:rPr>
            </w:pPr>
          </w:p>
        </w:tc>
      </w:tr>
      <w:tr>
        <w:trPr>
          <w:trHeight w:val="20"/>
        </w:trPr>
        <w:tc>
          <w:tcPr>
            <w:tcW w:w="1360" w:type="dxa"/>
            <w:vAlign w:val="bottom"/>
            <w:gridSpan w:val="2"/>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20" w:type="dxa"/>
            <w:vAlign w:val="bottom"/>
            <w:shd w:val="clear" w:color="auto" w:fill="0000FF"/>
          </w:tcPr>
          <w:p>
            <w:pPr>
              <w:spacing w:after="0" w:line="20" w:lineRule="exact"/>
              <w:rPr>
                <w:sz w:val="1"/>
                <w:szCs w:val="1"/>
                <w:color w:val="auto"/>
              </w:rPr>
            </w:pPr>
          </w:p>
        </w:tc>
        <w:tc>
          <w:tcPr>
            <w:tcW w:w="202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136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9560" w:type="dxa"/>
            <w:vAlign w:val="bottom"/>
            <w:gridSpan w:val="4"/>
            <w:vMerge w:val="restart"/>
          </w:tcPr>
          <w:p>
            <w:pPr>
              <w:spacing w:after="0" w:line="196" w:lineRule="exact"/>
              <w:rPr>
                <w:rFonts w:ascii="Times New Roman" w:cs="Times New Roman" w:eastAsia="Times New Roman" w:hAnsi="Times New Roman"/>
                <w:sz w:val="18"/>
                <w:szCs w:val="18"/>
                <w:color w:val="0000FF"/>
              </w:rPr>
            </w:pPr>
            <w:hyperlink r:id="rId16">
              <w:r>
                <w:rPr>
                  <w:rFonts w:ascii="Times New Roman" w:cs="Times New Roman" w:eastAsia="Times New Roman" w:hAnsi="Times New Roman"/>
                  <w:sz w:val="18"/>
                  <w:szCs w:val="18"/>
                  <w:color w:val="0000FF"/>
                </w:rPr>
                <w:t>Definitive Proxy Statement on Schedule 14A filed with the Commission on April 30, 2026).</w:t>
              </w:r>
            </w:hyperlink>
          </w:p>
        </w:tc>
        <w:tc>
          <w:tcPr>
            <w:tcW w:w="0" w:type="dxa"/>
            <w:vAlign w:val="bottom"/>
          </w:tcPr>
          <w:p>
            <w:pPr>
              <w:spacing w:after="0"/>
              <w:rPr>
                <w:sz w:val="1"/>
                <w:szCs w:val="1"/>
                <w:color w:val="auto"/>
              </w:rPr>
            </w:pPr>
          </w:p>
        </w:tc>
      </w:tr>
      <w:tr>
        <w:trPr>
          <w:trHeight w:val="68"/>
        </w:trPr>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120" w:type="dxa"/>
            <w:vAlign w:val="bottom"/>
          </w:tcPr>
          <w:p>
            <w:pPr>
              <w:spacing w:after="0"/>
              <w:rPr>
                <w:sz w:val="5"/>
                <w:szCs w:val="5"/>
                <w:color w:val="auto"/>
              </w:rPr>
            </w:pPr>
          </w:p>
        </w:tc>
        <w:tc>
          <w:tcPr>
            <w:tcW w:w="956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1360" w:type="dxa"/>
            <w:vAlign w:val="bottom"/>
            <w:gridSpan w:val="2"/>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6620" w:type="dxa"/>
            <w:vAlign w:val="bottom"/>
            <w:shd w:val="clear" w:color="auto" w:fill="0000FF"/>
          </w:tcPr>
          <w:p>
            <w:pPr>
              <w:spacing w:after="0" w:line="20" w:lineRule="exact"/>
              <w:rPr>
                <w:sz w:val="1"/>
                <w:szCs w:val="1"/>
                <w:color w:val="auto"/>
              </w:rPr>
            </w:pPr>
          </w:p>
        </w:tc>
        <w:tc>
          <w:tcPr>
            <w:tcW w:w="294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136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104</w:t>
            </w:r>
          </w:p>
        </w:tc>
        <w:tc>
          <w:tcPr>
            <w:tcW w:w="120" w:type="dxa"/>
            <w:vAlign w:val="bottom"/>
          </w:tcPr>
          <w:p>
            <w:pPr>
              <w:spacing w:after="0"/>
              <w:rPr>
                <w:sz w:val="24"/>
                <w:szCs w:val="24"/>
                <w:color w:val="auto"/>
              </w:rPr>
            </w:pPr>
          </w:p>
        </w:tc>
        <w:tc>
          <w:tcPr>
            <w:tcW w:w="95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c>
          <w:tcPr>
            <w:tcW w:w="0" w:type="dxa"/>
            <w:vAlign w:val="bottom"/>
          </w:tcPr>
          <w:p>
            <w:pPr>
              <w:spacing w:after="0"/>
              <w:rPr>
                <w:sz w:val="1"/>
                <w:szCs w:val="1"/>
                <w:color w:val="auto"/>
              </w:rPr>
            </w:pPr>
          </w:p>
        </w:tc>
      </w:tr>
      <w:tr>
        <w:trPr>
          <w:trHeight w:val="979"/>
        </w:trPr>
        <w:tc>
          <w:tcPr>
            <w:tcW w:w="66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6620" w:type="dxa"/>
            <w:vAlign w:val="bottom"/>
            <w:tcBorders>
              <w:bottom w:val="single" w:sz="8" w:color="9A9A9A"/>
            </w:tcBorders>
          </w:tcPr>
          <w:p>
            <w:pPr>
              <w:spacing w:after="0"/>
              <w:rPr>
                <w:sz w:val="24"/>
                <w:szCs w:val="24"/>
                <w:color w:val="auto"/>
              </w:rPr>
            </w:pPr>
          </w:p>
        </w:tc>
        <w:tc>
          <w:tcPr>
            <w:tcW w:w="20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6992620</wp:posOffset>
            </wp:positionH>
            <wp:positionV relativeFrom="paragraph">
              <wp:posOffset>-29210</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-29210</wp:posOffset>
            </wp:positionV>
            <wp:extent cx="3365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040"/>
          </w:cols>
          <w:pgMar w:left="420" w:top="765" w:right="439" w:bottom="1440" w:gutter="0" w:footer="0" w:header="0"/>
        </w:sectPr>
      </w:pPr>
    </w:p>
    <w:bookmarkStart w:id="3" w:name="page4"/>
    <w:bookmarkEnd w:id="3"/>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firstLine="441"/>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2"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8"/>
          <w:szCs w:val="18"/>
          <w:color w:val="auto"/>
        </w:rPr>
        <w:t>MAGNACHIP SEMICONDUCTOR CORPORATION</w:t>
      </w:r>
    </w:p>
    <w:p>
      <w:pPr>
        <w:spacing w:after="0" w:line="225" w:lineRule="exact"/>
        <w:rPr>
          <w:sz w:val="20"/>
          <w:szCs w:val="20"/>
          <w:color w:val="auto"/>
        </w:rPr>
      </w:pPr>
    </w:p>
    <w:p>
      <w:pPr>
        <w:spacing w:after="0"/>
        <w:tabs>
          <w:tab w:leader="none" w:pos="5160" w:val="left"/>
          <w:tab w:leader="none" w:pos="6040" w:val="left"/>
        </w:tabs>
        <w:rPr>
          <w:sz w:val="20"/>
          <w:szCs w:val="20"/>
          <w:color w:val="auto"/>
        </w:rPr>
      </w:pPr>
      <w:r>
        <w:rPr>
          <w:rFonts w:ascii="Times New Roman" w:cs="Times New Roman" w:eastAsia="Times New Roman" w:hAnsi="Times New Roman"/>
          <w:sz w:val="18"/>
          <w:szCs w:val="18"/>
          <w:color w:val="auto"/>
        </w:rPr>
        <w:t>Dated: June 17,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Shinyoung Park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3843020</wp:posOffset>
            </wp:positionH>
            <wp:positionV relativeFrom="paragraph">
              <wp:posOffset>26035</wp:posOffset>
            </wp:positionV>
            <wp:extent cx="207454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extLst>
                    </a:blip>
                    <a:srcRect/>
                    <a:stretch>
                      <a:fillRect/>
                    </a:stretch>
                  </pic:blipFill>
                  <pic:spPr bwMode="auto">
                    <a:xfrm>
                      <a:off x="0" y="0"/>
                      <a:ext cx="2074545" cy="8255"/>
                    </a:xfrm>
                    <a:prstGeom prst="rect">
                      <a:avLst/>
                    </a:prstGeom>
                    <a:noFill/>
                  </pic:spPr>
                </pic:pic>
              </a:graphicData>
            </a:graphic>
          </wp:anchor>
        </w:drawing>
      </w:r>
    </w:p>
    <w:p>
      <w:pPr>
        <w:spacing w:after="0" w:line="259"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Shinyoung Park</w:t>
      </w:r>
    </w:p>
    <w:p>
      <w:pPr>
        <w:spacing w:after="0" w:line="27"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-429895</wp:posOffset>
            </wp:positionH>
            <wp:positionV relativeFrom="paragraph">
              <wp:posOffset>824865</wp:posOffset>
            </wp:positionV>
            <wp:extent cx="703770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7037705" cy="42545"/>
                    </a:xfrm>
                    <a:prstGeom prst="rect">
                      <a:avLst/>
                    </a:prstGeom>
                    <a:noFill/>
                  </pic:spPr>
                </pic:pic>
              </a:graphicData>
            </a:graphic>
          </wp:anchor>
        </w:drawing>
      </w:r>
    </w:p>
    <w:p>
      <w:pPr>
        <w:sectPr>
          <w:pgSz w:w="11900" w:h="16838" w:orient="portrait"/>
          <w:cols w:equalWidth="0" w:num="1">
            <w:col w:w="9520"/>
          </w:cols>
          <w:pgMar w:left="1080" w:top="765" w:right="1299" w:bottom="1440" w:gutter="0" w:footer="0" w:header="0"/>
        </w:sectPr>
      </w:pPr>
    </w:p>
    <w:bookmarkStart w:id="4" w:name="page5"/>
    <w:bookmarkEnd w:id="4"/>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5"/>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7" Type="http://schemas.openxmlformats.org/officeDocument/2006/relationships/image" Target="media/image9.png"/><Relationship Id="rId18" Type="http://schemas.openxmlformats.org/officeDocument/2006/relationships/image" Target="media/image10.png"/><Relationship Id="rId19" Type="http://schemas.openxmlformats.org/officeDocument/2006/relationships/image" Target="media/image11.png"/><Relationship Id="rId20" Type="http://schemas.openxmlformats.org/officeDocument/2006/relationships/image" Target="media/image12.png"/><Relationship Id="rId16" Type="http://schemas.openxmlformats.org/officeDocument/2006/relationships/hyperlink" Target="https://www.sec.gov/Archives/edgar/data/1325702/000119312526197484/mx-20260430.htm#other_matters"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2026-06-17T05:32:58Z</dcterms:created>
  <dcterms:modified xsi:type="dcterms:W3CDTF">2026-06-17T05:32:58Z</dcterms:modified>
</cp:coreProperties>
</file>