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220" w:type="dxa"/>
            <w:vAlign w:val="bottom"/>
          </w:tcPr>
          <w:p>
            <w:pPr>
              <w:jc w:val="center"/>
              <w:ind w:right="2458"/>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40"/>
              <w:spacing w:after="0"/>
              <w:rPr>
                <w:sz w:val="20"/>
                <w:szCs w:val="20"/>
                <w:color w:val="auto"/>
              </w:rPr>
            </w:pPr>
            <w:r>
              <w:rPr>
                <w:rFonts w:ascii="Arial" w:cs="Arial" w:eastAsia="Arial" w:hAnsi="Arial"/>
                <w:sz w:val="18"/>
                <w:szCs w:val="18"/>
                <w:b w:val="1"/>
                <w:bCs w:val="1"/>
                <w:color w:val="auto"/>
              </w:rPr>
              <w:t>001-34791</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220" w:type="dxa"/>
            <w:vAlign w:val="bottom"/>
          </w:tcPr>
          <w:p>
            <w:pPr>
              <w:jc w:val="center"/>
              <w:ind w:right="24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(Commission</w:t>
            </w:r>
          </w:p>
        </w:tc>
        <w:tc>
          <w:tcPr>
            <w:tcW w:w="254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20" w:type="dxa"/>
            <w:vAlign w:val="bottom"/>
          </w:tcPr>
          <w:p>
            <w:pPr>
              <w:jc w:val="center"/>
              <w:ind w:right="2438"/>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00"/>
              <w:spacing w:after="0"/>
              <w:rPr>
                <w:sz w:val="20"/>
                <w:szCs w:val="20"/>
                <w:color w:val="auto"/>
              </w:rPr>
            </w:pPr>
            <w:r>
              <w:rPr>
                <w:rFonts w:ascii="Arial" w:cs="Arial" w:eastAsia="Arial" w:hAnsi="Arial"/>
                <w:sz w:val="14"/>
                <w:szCs w:val="14"/>
                <w:b w:val="1"/>
                <w:bCs w:val="1"/>
                <w:color w:val="auto"/>
              </w:rPr>
              <w:t>File Number)</w:t>
            </w: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c/o MagnaChip Semiconductor S.A.</w:t>
            </w:r>
          </w:p>
        </w:tc>
        <w:tc>
          <w:tcPr>
            <w:tcW w:w="2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4220" w:type="dxa"/>
            <w:vAlign w:val="bottom"/>
          </w:tcPr>
          <w:p>
            <w:pPr>
              <w:jc w:val="center"/>
              <w:ind w:left="1178"/>
              <w:spacing w:after="0"/>
              <w:rPr>
                <w:sz w:val="20"/>
                <w:szCs w:val="20"/>
                <w:color w:val="auto"/>
              </w:rPr>
            </w:pPr>
            <w:r>
              <w:rPr>
                <w:rFonts w:ascii="Arial" w:cs="Arial" w:eastAsia="Arial" w:hAnsi="Arial"/>
                <w:sz w:val="18"/>
                <w:szCs w:val="18"/>
                <w:b w:val="1"/>
                <w:bCs w:val="1"/>
                <w:color w:val="auto"/>
                <w:w w:val="90"/>
              </w:rPr>
              <w:t>1, Allée Scheffer, L-2520</w:t>
            </w:r>
          </w:p>
        </w:tc>
        <w:tc>
          <w:tcPr>
            <w:tcW w:w="23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5"/>
        </w:trPr>
        <w:tc>
          <w:tcPr>
            <w:tcW w:w="65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540" w:type="dxa"/>
            <w:vAlign w:val="bottom"/>
          </w:tcPr>
          <w:p>
            <w:pPr>
              <w:jc w:val="center"/>
              <w:ind w:left="130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220" w:type="dxa"/>
            <w:vAlign w:val="bottom"/>
          </w:tcPr>
          <w:p>
            <w:pPr>
              <w:jc w:val="center"/>
              <w:ind w:left="115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20" w:type="dxa"/>
            <w:vAlign w:val="bottom"/>
          </w:tcPr>
          <w:p>
            <w:pPr>
              <w:spacing w:after="0"/>
              <w:rPr>
                <w:sz w:val="16"/>
                <w:szCs w:val="16"/>
                <w:color w:val="auto"/>
              </w:rPr>
            </w:pPr>
          </w:p>
        </w:tc>
        <w:tc>
          <w:tcPr>
            <w:tcW w:w="2540" w:type="dxa"/>
            <w:vAlign w:val="bottom"/>
          </w:tcPr>
          <w:p>
            <w:pPr>
              <w:jc w:val="center"/>
              <w:ind w:left="13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fourth quarter and full year ended December 31, 2017, as presented in a press release dated February 6, 2018.</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2"/>
                <w:szCs w:val="22"/>
                <w:color w:val="auto"/>
              </w:rPr>
            </w:pPr>
          </w:p>
        </w:tc>
        <w:tc>
          <w:tcPr>
            <w:tcW w:w="100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for MagnaChip Semiconductor Corporation dated February 6, 2018, announcing the results for the fourth quarter and full year</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ended December 31, 2017.</w:t>
              </w:r>
            </w:hyperlink>
          </w:p>
        </w:tc>
        <w:tc>
          <w:tcPr>
            <w:tcW w:w="8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Dated: February 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120"/>
          </w:cols>
          <w:pgMar w:left="240" w:top="270"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21234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234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Reports Fourth Quarter and Full Year 2017 Financial Results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Feb. 6, 2018 </w:t>
      </w:r>
      <w:r>
        <w:rPr>
          <w:rFonts w:ascii="Arial" w:cs="Arial" w:eastAsia="Arial" w:hAnsi="Arial"/>
          <w:sz w:val="18"/>
          <w:szCs w:val="18"/>
          <w:color w:val="auto"/>
        </w:rPr>
        <w:t>— MagnaChip Semiconductor Corporation (NYSE: MX), today, announced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and full year of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Summary</w:t>
      </w:r>
    </w:p>
    <w:p>
      <w:pPr>
        <w:spacing w:after="0" w:line="13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of $174.6 million, slightly higher than the mid-point of the guidance range</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of 28.3%, slightly higher than mid-point of guidance range</w:t>
      </w:r>
    </w:p>
    <w:p>
      <w:pPr>
        <w:spacing w:after="0" w:line="130" w:lineRule="exact"/>
        <w:rPr>
          <w:rFonts w:ascii="Arial" w:cs="Arial" w:eastAsia="Arial" w:hAnsi="Arial"/>
          <w:sz w:val="18"/>
          <w:szCs w:val="18"/>
          <w:b w:val="1"/>
          <w:bCs w:val="1"/>
          <w:color w:val="auto"/>
        </w:rPr>
      </w:pPr>
    </w:p>
    <w:p>
      <w:pPr>
        <w:ind w:left="900" w:right="580" w:hanging="325"/>
        <w:spacing w:after="0" w:line="282"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income of $7.6 million, up 46.1% from $5.2 million in Q4 2016, and Adjusted EBITDA of $20.5 million, up 45.8% from $14.1 million in Q4 2016, reflecting improvement in core operating performance</w:t>
      </w:r>
    </w:p>
    <w:p>
      <w:pPr>
        <w:spacing w:after="0" w:line="67"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Foundry gross profit margin of 31.7%, the highest level in 4 years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Power revenue highest since Q4 2013 with gross margin improvement of about 15 percentage points</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Achieved 6 new OLED design wins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Highlights</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$679.7 million in revenue achieved despite a prolonged slowdown in China smartphone market</w:t>
      </w:r>
    </w:p>
    <w:p>
      <w:pPr>
        <w:spacing w:after="0" w:line="130" w:lineRule="exact"/>
        <w:rPr>
          <w:rFonts w:ascii="Arial" w:cs="Arial" w:eastAsia="Arial" w:hAnsi="Arial"/>
          <w:sz w:val="18"/>
          <w:szCs w:val="18"/>
          <w:b w:val="1"/>
          <w:bCs w:val="1"/>
          <w:color w:val="auto"/>
        </w:rPr>
      </w:pPr>
    </w:p>
    <w:p>
      <w:pPr>
        <w:ind w:left="900" w:right="240" w:hanging="325"/>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of 27.6% rose nearly 5 percentage points over 2016, due to improved product mix, higher utilization rate, product portfolio optimization and implementation of a headcount reduction plan</w:t>
      </w:r>
    </w:p>
    <w:p>
      <w:pPr>
        <w:spacing w:after="0" w:line="67" w:lineRule="exact"/>
        <w:rPr>
          <w:rFonts w:ascii="Arial" w:cs="Arial" w:eastAsia="Arial" w:hAnsi="Arial"/>
          <w:sz w:val="18"/>
          <w:szCs w:val="18"/>
          <w:b w:val="1"/>
          <w:bCs w:val="1"/>
          <w:color w:val="auto"/>
        </w:rPr>
      </w:pPr>
    </w:p>
    <w:p>
      <w:pPr>
        <w:ind w:left="900" w:right="380" w:hanging="325"/>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income of $39.2 million increased from $2.7 million in 2016 and Adjusted EBITDA of $78.7 million increased 93.3% from $40.7 million in 2016</w:t>
      </w:r>
    </w:p>
    <w:p>
      <w:pPr>
        <w:spacing w:after="0" w:line="67"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Foundry revenue grew 16.8% over 2016; Power standard product revenue increases 14.0%</w:t>
      </w:r>
    </w:p>
    <w:p>
      <w:pPr>
        <w:spacing w:after="0" w:line="130"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Introduced 4 new advanced OLED display drivers and achieved a total of 18 new smartphone design wins</w:t>
      </w:r>
    </w:p>
    <w:p>
      <w:pPr>
        <w:spacing w:after="0" w:line="22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CEO Comments</w:t>
      </w:r>
      <w:r>
        <w:rPr>
          <w:rFonts w:ascii="Arial" w:cs="Arial" w:eastAsia="Arial" w:hAnsi="Arial"/>
          <w:sz w:val="18"/>
          <w:szCs w:val="18"/>
          <w:color w:val="auto"/>
        </w:rPr>
        <w:t>: “Revenue and gross profit margin in the fourth quarter topped the mid-point of our guidance range despite a typically soft seasonal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 slowdown in the China smartphone market that affected our Display business, and an industry-wide increase in wafer prices that began in the second half of 2017, which kept a lid on gross profit,” said YJ Kim, Chief Executive Officer.</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in our Foundry and Power businesses edged higher sequentially in the fourth quarter, while revenue in the Display business, including OLED drivers, declined due to general market factors.” Mr. Kim said, “Based upon our current business visibility, we anticipate a sharp rebound and steep growth in our OLED business in the first quarter of 2018 and remain confident that our OLED revenue this year is on track to exceed 50% growth as compared to 2017 or clearly exceed $100 million.” CEO Kim added, “Overall, we made significant operational progress across the board in 2017 and have set a solid foundation for MagnaChip’s growth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CFO Comments</w:t>
      </w:r>
      <w:r>
        <w:rPr>
          <w:rFonts w:ascii="Arial" w:cs="Arial" w:eastAsia="Arial" w:hAnsi="Arial"/>
          <w:sz w:val="18"/>
          <w:szCs w:val="18"/>
          <w:color w:val="auto"/>
        </w:rPr>
        <w: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margin of 27.6% for the 2017 calendar year increased approximately 5 percentage points over 2016, operating income of $39.2 million increased substantially from $2.7 million in 2016, and Adjusted EBITDA of $78.7 million increased 93.3% from $40.7 million in 2016,” said Jonathan Kim, Chief Financial Officer. “The sharp improvement in our financial results stemmed primarily from the success of our business strategy to improve product mix, achieve a higher utilization rate, increase manufacturing efficiencies and reduce expenses by implementing a substantial headcount reduction plan.” CFO Kim added, “We remain fully committed in 2018 to focus on the overall profitability of MagnaChip, continue to optimize our product portfolio, and to manage the business in order to maximize opportunities for revenue growth.”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Quarter and Full-Year 2017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Total revenue for the fourth quarter of 2017 was $174.6 million, down 3.3% as compared to $180.5 million from the fourth quarter a year ago, and down</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1.2% as compared to $176.7 million from the third quarter of 2017. Total revenue for the full year 2017 was $679.7 million, down 1.2% from $688.0 million in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Foundry Services Group revenue in the fourth quarter was $80.6 million, up 3.6% year-over year, and up 0.3% from $80.4 million in the prior quarter. Standard Products Group revenue in the fourth quarter was $93.9 million, down 8.4% year-over- year, and down 2.4% sequentially, which primarily reflected changes in the mobile OLED business in both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gross profit in the fourth quarter of 2017 was $49.4 million or 28.3% as a percentage of sales as compared with gross profit of $46.1 million or 25.5% gross profit margin in the fourth quarter of 2016, and $50.3 million or 28.5% gross profit margin for the third quarter of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Foundry Services Group gross profit margin was 31.7% in the fourth quarter of 2017 as compared with 30.3% in the fourth quarter of 2016 and 30.3% in the third quarter of 2017. The Standard Products Group gross profit margin was 25.3% in the fourth quarter of 2017 as compared with 21.8% in the fourth quarter of 2016 and 26.9% in the third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Net Income, Adjusted Net Income, Adjusted EBITDA</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on a GAAP basis, for the fourth quarter was $7.6 million, as compared with $5.2 million in the fourth quarter of 2016 and $15.5 million in the third quarter of 2017.</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on a GAAP basis, for the fourth quarter was $43.7 million or $1.28 per basic share and $0.99 per diluted share, as compared with a net loss on a GAAP basis of $49.8 million or $1.42 per basic share in the fourth quarter of 2016, and compared with net income of $5.6 million or $0.16 per basic share and $0.15 per diluted share in the third quarter of 2017.</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Adjusted Net Income, a non-GAAP financial measure, for the fourth quarter of 2017, totaled $9.1 million or $0.27 per basic share and $0.23 per diluted share, as compared with Adjusted Net Income of $1.6 million or $0.05 per basic share and $0.04 per diluted share in the fourth quarter of 2016, and compared with Adjusted Net Income of $11.4 million or $0.33 per basic share and $0.28 per diluted share in the third quarter of 2017.</w:t>
      </w:r>
    </w:p>
    <w:p>
      <w:pPr>
        <w:spacing w:after="0" w:line="16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Adjusted EBITDA, a non-GAAP financial measure, in the fourth quarter was $20.5 million or 11.8% of revenue, as compared with Adjusted EBITDA of $14.1 million or 7.8% of revenue in the fourth quarter of 2016, and compared with Adjusted EBITDA of $24.7 million or 14.0% of revenue in the third quarter of 2017.</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totaled $128.6 million at the end of the fourth quarter, about flat with $128.4 million at the end of the third quarter of 2017.</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information relating to our operating segments: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10"/>
          </w:tcPr>
          <w:p>
            <w:pPr>
              <w:jc w:val="center"/>
              <w:ind w:right="60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8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Borders>
              <w:top w:val="single" w:sz="8" w:color="auto"/>
            </w:tcBorders>
            <w:gridSpan w:val="6"/>
          </w:tcPr>
          <w:p>
            <w:pPr>
              <w:jc w:val="right"/>
              <w:ind w:right="36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80,629</w:t>
            </w:r>
          </w:p>
        </w:tc>
        <w:tc>
          <w:tcPr>
            <w:tcW w:w="62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77,809</w:t>
            </w:r>
          </w:p>
        </w:tc>
        <w:tc>
          <w:tcPr>
            <w:tcW w:w="220" w:type="dxa"/>
            <w:vAlign w:val="bottom"/>
          </w:tcPr>
          <w:p>
            <w:pPr>
              <w:spacing w:after="0"/>
              <w:rPr>
                <w:sz w:val="18"/>
                <w:szCs w:val="18"/>
                <w:color w:val="auto"/>
              </w:rPr>
            </w:pPr>
          </w:p>
        </w:tc>
        <w:tc>
          <w:tcPr>
            <w:tcW w:w="2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320,089</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273,961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53,671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64,796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209,539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281,967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40,241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149,836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131,468</w:t>
            </w:r>
          </w:p>
        </w:tc>
        <w:tc>
          <w:tcPr>
            <w:tcW w:w="0" w:type="dxa"/>
            <w:vAlign w:val="bottom"/>
          </w:tcPr>
          <w:p>
            <w:pPr>
              <w:spacing w:after="0"/>
              <w:rPr>
                <w:sz w:val="1"/>
                <w:szCs w:val="1"/>
                <w:color w:val="auto"/>
              </w:rPr>
            </w:pPr>
          </w:p>
        </w:tc>
      </w:tr>
      <w:tr>
        <w:trPr>
          <w:trHeight w:val="223"/>
        </w:trPr>
        <w:tc>
          <w:tcPr>
            <w:tcW w:w="5600" w:type="dxa"/>
            <w:vAlign w:val="bottom"/>
          </w:tcPr>
          <w:p>
            <w:pPr>
              <w:ind w:left="720"/>
              <w:spacing w:after="0"/>
              <w:rPr>
                <w:sz w:val="20"/>
                <w:szCs w:val="20"/>
                <w:color w:val="auto"/>
              </w:rPr>
            </w:pPr>
            <w:r>
              <w:rPr>
                <w:rFonts w:ascii="Arial" w:cs="Arial" w:eastAsia="Arial" w:hAnsi="Arial"/>
                <w:sz w:val="18"/>
                <w:szCs w:val="18"/>
                <w:color w:val="auto"/>
              </w:rPr>
              <w:t>Total Standard Products Group</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93,912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102,514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86"/>
              </w:rPr>
              <w:t>359,375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413,435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560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174,580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180,462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w w:val="86"/>
              </w:rPr>
              <w:t>679,672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687,969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Borders>
              <w:top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Net Sales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25,564</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23,592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23,748</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22,358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49,351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19"/>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Borders>
              <w:top w:val="single" w:sz="8" w:color="auto"/>
            </w:tcBorders>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Net Sales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95,458</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69,412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92,227</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87,194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187,893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Developed a multi-level thick IMD (Inter-Metal Dielectric) process for a capacitor with ultra-high breakdown voltage, which is useful for electric vehicles and for applications in the industrial, communications and healthcare markets.</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it now offers a 0.35-micron 700V Ultra-High Voltage process technology (UHV) that reduces mask counts, manufacturing time and cost for power-related AC-DC products. This UHV process technology offers 700V nLDMOS, 700V JFET, and 5.5V CMOS devices suitable for manufacturing AC-DC converter ICs and LED driver ICs.</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Hosted its annual Foundry Technology Symposium in Hsinchu, Taiwan in October 2017 to showcase the Company’s latest technology offerings and provide a wide-ranging overview of its manufacturing capabilities, specialty technologies, target applications and end-markets. The event drew record attendance.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2018 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2018, MagnaChip anticipates:</w:t>
      </w:r>
    </w:p>
    <w:p>
      <w:pPr>
        <w:spacing w:after="0" w:line="131" w:lineRule="exact"/>
        <w:rPr>
          <w:sz w:val="20"/>
          <w:szCs w:val="20"/>
          <w:color w:val="auto"/>
        </w:rPr>
      </w:pPr>
    </w:p>
    <w:p>
      <w:pPr>
        <w:ind w:left="900" w:right="1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$158 million to $164 million, down sequentially 7.8% at the mid-point of the projected range, due to typical seasonal factors and ongoing portfolio optimization activities. The guidance for the first quarter compares with revenue of $174.6 million in the fourth quarter of 2017 and $161.7 million in the first quarter of 2017.</w:t>
      </w:r>
    </w:p>
    <w:p>
      <w:pPr>
        <w:spacing w:after="0" w:line="86"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silicon wafer prices, a lower fab utilization rate due to seasonal factors and product portfolio optimization activity will result in gross profit margin to be in the range of 26% to 28%. This compares to 28.3% in the fourth quarter of 2017, and 25.7% in the first quarter of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2017 Conference Call</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 xml:space="preserve">MagnaChip will hold a conference call on February 6 at 5 p.m. EST to discuss the fourth quarter and 2017 financial results. The conference call will be webcast live and also is available by dialing toll-free at </w:t>
      </w:r>
      <w:r>
        <w:rPr>
          <w:rFonts w:ascii="Arial" w:cs="Arial" w:eastAsia="Arial" w:hAnsi="Arial"/>
          <w:sz w:val="16"/>
          <w:szCs w:val="16"/>
          <w:b w:val="1"/>
          <w:bCs w:val="1"/>
          <w:color w:val="auto"/>
        </w:rPr>
        <w:t>1-844 536-5472</w:t>
      </w:r>
      <w:r>
        <w:rPr>
          <w:rFonts w:ascii="Arial" w:cs="Arial" w:eastAsia="Arial" w:hAnsi="Arial"/>
          <w:sz w:val="16"/>
          <w:szCs w:val="16"/>
          <w:color w:val="auto"/>
        </w:rPr>
        <w:t xml:space="preserve">. International call-in participants can dial toll-free at </w:t>
      </w:r>
      <w:r>
        <w:rPr>
          <w:rFonts w:ascii="Arial" w:cs="Arial" w:eastAsia="Arial" w:hAnsi="Arial"/>
          <w:sz w:val="16"/>
          <w:szCs w:val="16"/>
          <w:b w:val="1"/>
          <w:bCs w:val="1"/>
          <w:color w:val="auto"/>
        </w:rPr>
        <w:t>1-614-999-9318</w:t>
      </w:r>
      <w:r>
        <w:rPr>
          <w:rFonts w:ascii="Arial" w:cs="Arial" w:eastAsia="Arial" w:hAnsi="Arial"/>
          <w:sz w:val="16"/>
          <w:szCs w:val="16"/>
          <w:color w:val="auto"/>
        </w:rPr>
        <w:t>.</w:t>
      </w:r>
    </w:p>
    <w:p>
      <w:pPr>
        <w:spacing w:after="0" w:line="120"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color w:val="auto"/>
        </w:rPr>
        <w:t xml:space="preserve">The conference ID number is </w:t>
      </w:r>
      <w:r>
        <w:rPr>
          <w:rFonts w:ascii="Arial" w:cs="Arial" w:eastAsia="Arial" w:hAnsi="Arial"/>
          <w:sz w:val="16"/>
          <w:szCs w:val="16"/>
          <w:b w:val="1"/>
          <w:bCs w:val="1"/>
          <w:color w:val="auto"/>
        </w:rPr>
        <w:t>5392748</w:t>
      </w:r>
      <w:r>
        <w:rPr>
          <w:rFonts w:ascii="Arial" w:cs="Arial" w:eastAsia="Arial" w:hAnsi="Arial"/>
          <w:sz w:val="16"/>
          <w:szCs w:val="16"/>
          <w:color w:val="auto"/>
        </w:rPr>
        <w:t xml:space="preserve">. Participants are encouraged to initiate their calls at least 10 minutes in advance of the 5 p.m. EST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6"/>
          <w:szCs w:val="16"/>
          <w:b w:val="1"/>
          <w:bCs w:val="1"/>
          <w:color w:val="auto"/>
        </w:rPr>
        <w:t>1-404-537-3406</w:t>
      </w:r>
      <w:r>
        <w:rPr>
          <w:rFonts w:ascii="Arial" w:cs="Arial" w:eastAsia="Arial" w:hAnsi="Arial"/>
          <w:sz w:val="16"/>
          <w:szCs w:val="16"/>
          <w:color w:val="auto"/>
        </w:rPr>
        <w:t xml:space="preserve"> or toll-free at </w:t>
      </w:r>
      <w:r>
        <w:rPr>
          <w:rFonts w:ascii="Arial" w:cs="Arial" w:eastAsia="Arial" w:hAnsi="Arial"/>
          <w:sz w:val="16"/>
          <w:szCs w:val="16"/>
          <w:b w:val="1"/>
          <w:bCs w:val="1"/>
          <w:color w:val="auto"/>
        </w:rPr>
        <w:t>1-855-859-2056</w:t>
      </w:r>
      <w:r>
        <w:rPr>
          <w:rFonts w:ascii="Arial" w:cs="Arial" w:eastAsia="Arial" w:hAnsi="Arial"/>
          <w:sz w:val="16"/>
          <w:szCs w:val="16"/>
          <w:color w:val="auto"/>
        </w:rPr>
        <w:t xml:space="preserve">. The access code is </w:t>
      </w:r>
      <w:r>
        <w:rPr>
          <w:rFonts w:ascii="Arial" w:cs="Arial" w:eastAsia="Arial" w:hAnsi="Arial"/>
          <w:sz w:val="16"/>
          <w:szCs w:val="16"/>
          <w:b w:val="1"/>
          <w:bCs w:val="1"/>
          <w:color w:val="auto"/>
        </w:rPr>
        <w:t>5392748</w:t>
      </w:r>
      <w:r>
        <w:rPr>
          <w:rFonts w:ascii="Arial" w:cs="Arial" w:eastAsia="Arial" w:hAnsi="Arial"/>
          <w:sz w:val="16"/>
          <w:szCs w:val="16"/>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3,200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first quarter 2018 revenue and gross profit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Bruce Entin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+1-408-625-1262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Investor.relations@magnachip.com</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In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-367665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Director, Public Relations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Tel. +82-2-6903-5223</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chankeun.park@magnachip.com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940" w:space="720"/>
            <w:col w:w="4559"/>
          </w:cols>
          <w:pgMar w:left="240" w:top="270" w:right="1440" w:bottom="1440" w:gutter="0" w:footer="0" w:header="0"/>
        </w:sectPr>
      </w:pPr>
    </w:p>
    <w:bookmarkStart w:id="8" w:name="page9"/>
    <w:bookmarkEnd w:id="8"/>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gridSpan w:val="2"/>
          </w:tcPr>
          <w:p>
            <w:pPr>
              <w:jc w:val="right"/>
              <w:ind w:right="191"/>
              <w:spacing w:after="0" w:line="119" w:lineRule="exact"/>
              <w:rPr>
                <w:sz w:val="20"/>
                <w:szCs w:val="20"/>
                <w:color w:val="auto"/>
              </w:rPr>
            </w:pPr>
            <w:r>
              <w:rPr>
                <w:rFonts w:ascii="Arial" w:cs="Arial" w:eastAsia="Arial" w:hAnsi="Arial"/>
                <w:sz w:val="13"/>
                <w:szCs w:val="13"/>
                <w:b w:val="1"/>
                <w:bCs w:val="1"/>
                <w:color w:val="auto"/>
              </w:rPr>
              <w:t>December 31,</w:t>
            </w:r>
          </w:p>
        </w:tc>
        <w:tc>
          <w:tcPr>
            <w:tcW w:w="1600" w:type="dxa"/>
            <w:vAlign w:val="bottom"/>
            <w:gridSpan w:val="2"/>
          </w:tcPr>
          <w:p>
            <w:pPr>
              <w:ind w:left="340"/>
              <w:spacing w:after="0" w:line="119" w:lineRule="exact"/>
              <w:rPr>
                <w:sz w:val="20"/>
                <w:szCs w:val="20"/>
                <w:color w:val="auto"/>
              </w:rPr>
            </w:pPr>
            <w:r>
              <w:rPr>
                <w:rFonts w:ascii="Arial" w:cs="Arial" w:eastAsia="Arial" w:hAnsi="Arial"/>
                <w:sz w:val="13"/>
                <w:szCs w:val="13"/>
                <w:b w:val="1"/>
                <w:bCs w:val="1"/>
                <w:color w:val="auto"/>
              </w:rPr>
              <w:t>September 30,</w:t>
            </w:r>
          </w:p>
        </w:tc>
        <w:tc>
          <w:tcPr>
            <w:tcW w:w="11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right"/>
              <w:ind w:right="292"/>
              <w:spacing w:after="0" w:line="119" w:lineRule="exact"/>
              <w:rPr>
                <w:sz w:val="20"/>
                <w:szCs w:val="20"/>
                <w:color w:val="auto"/>
              </w:rPr>
            </w:pPr>
            <w:r>
              <w:rPr>
                <w:rFonts w:ascii="Arial" w:cs="Arial" w:eastAsia="Arial" w:hAnsi="Arial"/>
                <w:sz w:val="13"/>
                <w:szCs w:val="13"/>
                <w:b w:val="1"/>
                <w:bCs w:val="1"/>
                <w:color w:val="auto"/>
              </w:rPr>
              <w:t>December 31,</w:t>
            </w:r>
          </w:p>
        </w:tc>
        <w:tc>
          <w:tcPr>
            <w:tcW w:w="11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Pr>
          <w:p>
            <w:pPr>
              <w:spacing w:after="0"/>
              <w:rPr>
                <w:sz w:val="10"/>
                <w:szCs w:val="10"/>
                <w:color w:val="auto"/>
              </w:rPr>
            </w:pPr>
          </w:p>
        </w:tc>
      </w:tr>
      <w:tr>
        <w:trPr>
          <w:trHeight w:val="185"/>
        </w:trPr>
        <w:tc>
          <w:tcPr>
            <w:tcW w:w="4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6"/>
                <w:szCs w:val="16"/>
                <w:color w:val="auto"/>
              </w:rPr>
            </w:pPr>
          </w:p>
        </w:tc>
        <w:tc>
          <w:tcPr>
            <w:tcW w:w="1200" w:type="dxa"/>
            <w:vAlign w:val="bottom"/>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174,580</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176,697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180,462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679,672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687,969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125,229</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126,387</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134,373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491,779</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531,743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49,351</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50,310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187,893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156,226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Gross profit %</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40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23,631</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17,266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23,112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81,775</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83,549</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18,083</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17,554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70,523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72,180</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Restructuring and other charges (gain),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(17,010)</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(6,480)</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Early termination charges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13,369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4,240</w:t>
            </w:r>
          </w:p>
        </w:tc>
      </w:tr>
      <w:tr>
        <w:trPr>
          <w:trHeight w:val="216"/>
        </w:trPr>
        <w:tc>
          <w:tcPr>
            <w:tcW w:w="40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41,714</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34,820</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40,860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148,657</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153,489</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7,637</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15,490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39,236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(5,460)</w:t>
            </w:r>
          </w:p>
        </w:tc>
        <w:tc>
          <w:tcPr>
            <w:tcW w:w="400" w:type="dxa"/>
            <w:vAlign w:val="bottom"/>
          </w:tcPr>
          <w:p>
            <w:pPr>
              <w:spacing w:after="0"/>
              <w:rPr>
                <w:sz w:val="18"/>
                <w:szCs w:val="18"/>
                <w:color w:val="auto"/>
              </w:rPr>
            </w:pPr>
          </w:p>
        </w:tc>
        <w:tc>
          <w:tcPr>
            <w:tcW w:w="1200" w:type="dxa"/>
            <w:vAlign w:val="bottom"/>
          </w:tcPr>
          <w:p>
            <w:pPr>
              <w:jc w:val="right"/>
              <w:ind w:right="231"/>
              <w:spacing w:after="0"/>
              <w:rPr>
                <w:sz w:val="20"/>
                <w:szCs w:val="20"/>
                <w:color w:val="auto"/>
              </w:rPr>
            </w:pPr>
            <w:r>
              <w:rPr>
                <w:rFonts w:ascii="Arial" w:cs="Arial" w:eastAsia="Arial" w:hAnsi="Arial"/>
                <w:sz w:val="18"/>
                <w:szCs w:val="18"/>
                <w:color w:val="auto"/>
              </w:rPr>
              <w:t>(5,485)</w:t>
            </w: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(21,559)</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(16,238)</w:t>
            </w: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39,297</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(3,662)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65,516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(15,360)</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1,006</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2,990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42,480</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6,541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86,091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(1,173)</w:t>
            </w:r>
          </w:p>
        </w:tc>
        <w:tc>
          <w:tcPr>
            <w:tcW w:w="400" w:type="dxa"/>
            <w:vAlign w:val="bottom"/>
          </w:tcPr>
          <w:p>
            <w:pPr>
              <w:spacing w:after="0"/>
              <w:rPr>
                <w:sz w:val="18"/>
                <w:szCs w:val="18"/>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1,155</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3,744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43,653</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5,604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84,936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(29,615)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(0.85)</w:t>
            </w: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 Diluted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0.99</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2.02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(0.85)</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6"/>
              </w:rPr>
              <w:t>34,176,812</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8"/>
              </w:rPr>
              <w:t>34,103,029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35,068,330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33,943,264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34,833,967</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w w:val="86"/>
              </w:rPr>
              <w:t>45,573,889</w:t>
            </w:r>
          </w:p>
        </w:tc>
        <w:tc>
          <w:tcPr>
            <w:tcW w:w="400" w:type="dxa"/>
            <w:vAlign w:val="bottom"/>
          </w:tcPr>
          <w:p>
            <w:pPr>
              <w:spacing w:after="0"/>
              <w:rPr>
                <w:sz w:val="20"/>
                <w:szCs w:val="20"/>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w w:val="88"/>
              </w:rPr>
              <w:t>45,542,418</w:t>
            </w:r>
          </w:p>
        </w:tc>
        <w:tc>
          <w:tcPr>
            <w:tcW w:w="2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35,068,330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72"/>
              <w:spacing w:after="0"/>
              <w:rPr>
                <w:sz w:val="20"/>
                <w:szCs w:val="20"/>
                <w:color w:val="auto"/>
              </w:rPr>
            </w:pPr>
            <w:r>
              <w:rPr>
                <w:rFonts w:ascii="Arial" w:cs="Arial" w:eastAsia="Arial" w:hAnsi="Arial"/>
                <w:sz w:val="18"/>
                <w:szCs w:val="18"/>
                <w:color w:val="auto"/>
                <w:w w:val="86"/>
              </w:rPr>
              <w:t>44,755,137</w:t>
            </w:r>
          </w:p>
        </w:tc>
        <w:tc>
          <w:tcPr>
            <w:tcW w:w="3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34,833,967</w:t>
            </w:r>
          </w:p>
        </w:tc>
      </w:tr>
      <w:tr>
        <w:trPr>
          <w:trHeight w:val="350"/>
        </w:trPr>
        <w:tc>
          <w:tcPr>
            <w:tcW w:w="4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 AND ADJUSTED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4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91"/>
              <w:spacing w:after="0" w:line="119" w:lineRule="exact"/>
              <w:rPr>
                <w:sz w:val="20"/>
                <w:szCs w:val="20"/>
                <w:color w:val="auto"/>
              </w:rPr>
            </w:pPr>
            <w:r>
              <w:rPr>
                <w:rFonts w:ascii="Arial" w:cs="Arial" w:eastAsia="Arial" w:hAnsi="Arial"/>
                <w:sz w:val="13"/>
                <w:szCs w:val="13"/>
                <w:b w:val="1"/>
                <w:bCs w:val="1"/>
                <w:color w:val="auto"/>
              </w:rPr>
              <w:t>December 31,</w:t>
            </w:r>
          </w:p>
        </w:tc>
        <w:tc>
          <w:tcPr>
            <w:tcW w:w="1500" w:type="dxa"/>
            <w:vAlign w:val="bottom"/>
            <w:tcBorders>
              <w:top w:val="single" w:sz="8" w:color="auto"/>
            </w:tcBorders>
            <w:gridSpan w:val="2"/>
          </w:tcPr>
          <w:p>
            <w:pPr>
              <w:ind w:left="32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21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r>
      <w:tr>
        <w:trPr>
          <w:trHeight w:val="185"/>
        </w:trPr>
        <w:tc>
          <w:tcPr>
            <w:tcW w:w="4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43,653</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5,604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84,936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5,149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5,193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3,987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20,505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15,983</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Income tax expenses (benefits)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(1,173)</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1,899</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1,155</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7,457</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7,158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6,625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28,146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25,416</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EBITDA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55,086</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18,892</w:t>
            </w:r>
          </w:p>
        </w:tc>
        <w:tc>
          <w:tcPr>
            <w:tcW w:w="2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(37,279)</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134,742</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15,528</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 (gain),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(17,010)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(5,526)</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13,369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722</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(39,297)</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3,662</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49,627</w:t>
            </w:r>
          </w:p>
        </w:tc>
        <w:tc>
          <w:tcPr>
            <w:tcW w:w="80" w:type="dxa"/>
            <w:vAlign w:val="bottom"/>
          </w:tcPr>
          <w:p>
            <w:pPr>
              <w:spacing w:after="0"/>
              <w:rPr>
                <w:sz w:val="18"/>
                <w:szCs w:val="18"/>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(65,516)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15,360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Restatement related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4,319</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10,306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6,970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Secondary offering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20,548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24,702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14,095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78,660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40,687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43,653</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5,604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84,936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(29,615)</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Adjustments: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charges (gain),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(17,010)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(5,526)</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Early termination charges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13,369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722</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(39,297)</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3,662</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49,627</w:t>
            </w:r>
          </w:p>
        </w:tc>
        <w:tc>
          <w:tcPr>
            <w:tcW w:w="80" w:type="dxa"/>
            <w:vAlign w:val="bottom"/>
          </w:tcPr>
          <w:p>
            <w:pPr>
              <w:spacing w:after="0"/>
              <w:rPr>
                <w:sz w:val="18"/>
                <w:szCs w:val="18"/>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color w:val="auto"/>
              </w:rPr>
              <w:t>(65,516)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15,360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Restatement related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4,319</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10,306</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6,970</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Secondary offering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Adjusted Net Income (Loss)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9,115</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11,414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1,584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28,854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 per common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 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0.27</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0.33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71"/>
              <w:spacing w:after="0"/>
              <w:rPr>
                <w:sz w:val="20"/>
                <w:szCs w:val="20"/>
                <w:color w:val="auto"/>
              </w:rPr>
            </w:pPr>
            <w:r>
              <w:rPr>
                <w:rFonts w:ascii="Arial" w:cs="Arial" w:eastAsia="Arial" w:hAnsi="Arial"/>
                <w:sz w:val="18"/>
                <w:szCs w:val="18"/>
                <w:color w:val="auto"/>
              </w:rPr>
              <w:t>0.85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0.23</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w w:val="88"/>
              </w:rPr>
              <w:t>34,176,812</w:t>
            </w:r>
          </w:p>
        </w:tc>
        <w:tc>
          <w:tcPr>
            <w:tcW w:w="38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w w:val="88"/>
              </w:rPr>
              <w:t>34,103,029</w:t>
            </w:r>
          </w:p>
        </w:tc>
        <w:tc>
          <w:tcPr>
            <w:tcW w:w="2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35,068,330</w:t>
            </w:r>
          </w:p>
        </w:tc>
        <w:tc>
          <w:tcPr>
            <w:tcW w:w="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8"/>
                <w:szCs w:val="18"/>
                <w:color w:val="auto"/>
                <w:w w:val="88"/>
              </w:rPr>
              <w:t>33,943,264</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34,833,967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8"/>
              </w:rPr>
              <w:t>45,573,889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8"/>
              </w:rPr>
              <w:t>45,542,418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35,503,993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8"/>
              </w:rPr>
              <w:t>44,755,137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34,833,967</w:t>
            </w:r>
          </w:p>
        </w:tc>
      </w:tr>
    </w:tbl>
    <w:p>
      <w:pPr>
        <w:spacing w:after="0" w:line="20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We present Adjusted EBITDA and Adjusted Net Income (Loss) as supplemental measures of our performance. We define Adjusted EBITDA for the periods indicated as EBITDA (as defined below), adjusted to exclude (i) restructuring and other charges (gain), net, (ii) early termination charges, (iii) equity-based compensation expense, (iv) foreign currency loss (gain), net, (v) derivative valuation loss (gain), net, (vi) restatement related expenses and (vii) secondary offering expenses. EBITDA for the periods indicated is defined as net income (loss) before interest expense, net, income tax expenses (benefits) and depreciation and amortization.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define Adjusted Net Income (Loss) for the periods as net income (loss), adjusted to exclude (i) restructuring and other charges (gain), net,</w:t>
      </w:r>
    </w:p>
    <w:p>
      <w:pPr>
        <w:spacing w:after="0" w:line="1"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early termination charges, (iii) equity-based compensation expense, (iv) foreign currency loss (gain), net, (v) derivative valuation loss (gain), net,</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restatement related expenses and (vii) secondary offering expenses.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92,026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73,073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15,444</w:t>
            </w: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205,903</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12,791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441,952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65,940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10,261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51,746</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Deposits received</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148,905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150,000,000 shares authorized, 42,563,808 shares issued and 34,189,599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outstanding at December 31, 2017 and 41,627,103 shares issued and 35,048,338 outstanding at December 31, 2016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136,259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(40,889)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w w:val="96"/>
              </w:rPr>
              <w:t>Treasury stock, 8,374,209 shares at December 31, 2017 and 6,578,765 shares at December 31, 2016, respectively</w:t>
            </w:r>
          </w:p>
        </w:tc>
        <w:tc>
          <w:tcPr>
            <w:tcW w:w="1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(102,319)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441,952</w:t>
            </w:r>
          </w:p>
        </w:tc>
        <w:tc>
          <w:tcPr>
            <w:tcW w:w="0" w:type="dxa"/>
            <w:vAlign w:val="bottom"/>
          </w:tcPr>
          <w:p>
            <w:pPr>
              <w:spacing w:after="0"/>
              <w:rPr>
                <w:sz w:val="1"/>
                <w:szCs w:val="1"/>
                <w:color w:val="auto"/>
              </w:rPr>
            </w:pPr>
          </w:p>
        </w:tc>
      </w:tr>
      <w:tr>
        <w:trPr>
          <w:trHeight w:val="365"/>
        </w:trPr>
        <w:tc>
          <w:tcPr>
            <w:tcW w:w="9200" w:type="dxa"/>
            <w:vAlign w:val="bottom"/>
            <w:gridSpan w:val="2"/>
          </w:tcPr>
          <w:p>
            <w:pPr>
              <w:jc w:val="right"/>
              <w:ind w:right="335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w w:val="98"/>
              </w:rPr>
              <w:t>Year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92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43,653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84,936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28,146</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25,416</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24,373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1,987</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Restructuring gain and other</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(17,010)</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(22,210)</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(8,077)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3,981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19,125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2,318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10,320</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(12,141)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(12,020)</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(16,305)</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(21,506)</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(18,444)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10,615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(14,839)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Proceeds from disposal of plant, property and equipment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18,834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plant, property and equipment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(18,727)</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guarantee deposits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Payment of guarantee deposits</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(11,376)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(17,743)</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Proceeds from issuance of senior notes</w:t>
            </w:r>
          </w:p>
        </w:tc>
        <w:tc>
          <w:tcPr>
            <w:tcW w:w="1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86,250</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treasury stock</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72,691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8,716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45,220</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128,425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83,355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90,882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128,575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128,575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83,355</w:t>
            </w:r>
          </w:p>
        </w:tc>
        <w:tc>
          <w:tcPr>
            <w:tcW w:w="0" w:type="dxa"/>
            <w:vAlign w:val="bottom"/>
          </w:tcPr>
          <w:p>
            <w:pPr>
              <w:spacing w:after="0"/>
              <w:rPr>
                <w:sz w:val="1"/>
                <w:szCs w:val="1"/>
                <w:color w:val="auto"/>
              </w:rPr>
            </w:pPr>
          </w:p>
        </w:tc>
      </w:tr>
      <w:tr>
        <w:trPr>
          <w:trHeight w:val="365"/>
        </w:trPr>
        <w:tc>
          <w:tcPr>
            <w:tcW w:w="7920" w:type="dxa"/>
            <w:vAlign w:val="bottom"/>
          </w:tcPr>
          <w:p>
            <w:pPr>
              <w:ind w:left="56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2019-12-29T02:09:01Z</dcterms:created>
  <dcterms:modified xsi:type="dcterms:W3CDTF">2019-12-29T02:09:01Z</dcterms:modified>
</cp:coreProperties>
</file>