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Brigade Leveraged Capital Structures Fund</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Ltd.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40"/>
        <w:spacing w:after="0" w:line="331" w:lineRule="auto"/>
        <w:rPr>
          <w:sz w:val="20"/>
          <w:szCs w:val="20"/>
          <w:color w:val="auto"/>
        </w:rPr>
      </w:pPr>
      <w:r>
        <w:rPr>
          <w:rFonts w:ascii="Arial" w:cs="Arial" w:eastAsia="Arial" w:hAnsi="Arial"/>
          <w:sz w:val="18"/>
          <w:szCs w:val="18"/>
          <w:color w:val="0000FF"/>
        </w:rPr>
        <w:t>INTERTRUST CORP SERVICES (CAYMAN) LTD 190 ELGIN AVENUE, GEORGE TOWN</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60" w:type="dxa"/>
            <w:vAlign w:val="bottom"/>
          </w:tcPr>
          <w:p>
            <w:pPr>
              <w:ind w:left="40"/>
              <w:spacing w:after="0"/>
              <w:rPr>
                <w:sz w:val="20"/>
                <w:szCs w:val="20"/>
                <w:color w:val="auto"/>
              </w:rPr>
            </w:pPr>
            <w:r>
              <w:rPr>
                <w:rFonts w:ascii="Arial" w:cs="Arial" w:eastAsia="Arial" w:hAnsi="Arial"/>
                <w:sz w:val="18"/>
                <w:szCs w:val="18"/>
                <w:color w:val="0000FF"/>
              </w:rPr>
              <w:t>GRAND</w:t>
            </w:r>
          </w:p>
        </w:tc>
        <w:tc>
          <w:tcPr>
            <w:tcW w:w="1000" w:type="dxa"/>
            <w:vAlign w:val="bottom"/>
            <w:vMerge w:val="restart"/>
          </w:tcPr>
          <w:p>
            <w:pPr>
              <w:ind w:left="260"/>
              <w:spacing w:after="0"/>
              <w:rPr>
                <w:sz w:val="20"/>
                <w:szCs w:val="20"/>
                <w:color w:val="auto"/>
              </w:rPr>
            </w:pPr>
            <w:r>
              <w:rPr>
                <w:rFonts w:ascii="Arial" w:cs="Arial" w:eastAsia="Arial" w:hAnsi="Arial"/>
                <w:sz w:val="18"/>
                <w:szCs w:val="18"/>
                <w:color w:val="0000FF"/>
              </w:rPr>
              <w:t>E9</w:t>
            </w:r>
          </w:p>
        </w:tc>
        <w:tc>
          <w:tcPr>
            <w:tcW w:w="1280" w:type="dxa"/>
            <w:vAlign w:val="bottom"/>
            <w:vMerge w:val="restart"/>
          </w:tcPr>
          <w:p>
            <w:pPr>
              <w:ind w:left="520"/>
              <w:spacing w:after="0"/>
              <w:rPr>
                <w:sz w:val="20"/>
                <w:szCs w:val="20"/>
                <w:color w:val="auto"/>
              </w:rPr>
            </w:pPr>
            <w:r>
              <w:rPr>
                <w:rFonts w:ascii="Arial" w:cs="Arial" w:eastAsia="Arial" w:hAnsi="Arial"/>
                <w:sz w:val="18"/>
                <w:szCs w:val="18"/>
                <w:color w:val="0000FF"/>
                <w:w w:val="92"/>
              </w:rPr>
              <w:t>KY1-9005</w:t>
            </w:r>
          </w:p>
        </w:tc>
        <w:tc>
          <w:tcPr>
            <w:tcW w:w="0" w:type="dxa"/>
            <w:vAlign w:val="bottom"/>
          </w:tcPr>
          <w:p>
            <w:pPr>
              <w:spacing w:after="0"/>
              <w:rPr>
                <w:sz w:val="1"/>
                <w:szCs w:val="1"/>
                <w:color w:val="auto"/>
              </w:rPr>
            </w:pPr>
          </w:p>
        </w:tc>
      </w:tr>
      <w:tr>
        <w:trPr>
          <w:trHeight w:val="114"/>
        </w:trPr>
        <w:tc>
          <w:tcPr>
            <w:tcW w:w="1060" w:type="dxa"/>
            <w:vAlign w:val="bottom"/>
            <w:vMerge w:val="restart"/>
          </w:tcPr>
          <w:p>
            <w:pPr>
              <w:ind w:left="40"/>
              <w:spacing w:after="0"/>
              <w:rPr>
                <w:sz w:val="20"/>
                <w:szCs w:val="20"/>
                <w:color w:val="auto"/>
              </w:rPr>
            </w:pPr>
            <w:r>
              <w:rPr>
                <w:rFonts w:ascii="Arial" w:cs="Arial" w:eastAsia="Arial" w:hAnsi="Arial"/>
                <w:sz w:val="18"/>
                <w:szCs w:val="18"/>
                <w:color w:val="0000FF"/>
              </w:rPr>
              <w:t>CAYMAN</w:t>
            </w:r>
          </w:p>
        </w:tc>
        <w:tc>
          <w:tcPr>
            <w:tcW w:w="10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
        </w:trPr>
        <w:tc>
          <w:tcPr>
            <w:tcW w:w="80" w:type="dxa"/>
            <w:vAlign w:val="bottom"/>
          </w:tcPr>
          <w:p>
            <w:pPr>
              <w:spacing w:after="0" w:line="20" w:lineRule="exact"/>
              <w:rPr>
                <w:sz w:val="1"/>
                <w:szCs w:val="1"/>
                <w:color w:val="auto"/>
              </w:rPr>
            </w:pPr>
          </w:p>
        </w:tc>
        <w:tc>
          <w:tcPr>
            <w:tcW w:w="370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MX </w:t>
              </w:r>
              <w:r>
                <w:rPr>
                  <w:rFonts w:ascii="Arial" w:cs="Arial" w:eastAsia="Arial" w:hAnsi="Arial"/>
                  <w:sz w:val="1"/>
                  <w:szCs w:val="1"/>
                  <w:color w:val="000000"/>
                </w:rPr>
                <w:t>]</w:t>
              </w:r>
            </w:hyperlink>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380" w:type="dxa"/>
            <w:vAlign w:val="bottom"/>
            <w:vMerge w:val="continue"/>
          </w:tcPr>
          <w:p>
            <w:pPr>
              <w:spacing w:after="0" w:line="20" w:lineRule="exact"/>
              <w:rPr>
                <w:sz w:val="1"/>
                <w:szCs w:val="1"/>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11/04/2019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880" w:space="120"/>
            <w:col w:w="7420"/>
          </w:cols>
          <w:pgMar w:left="240" w:top="226" w:right="239" w:bottom="0" w:gutter="0" w:footer="0" w:header="0"/>
          <w:type w:val="continuous"/>
        </w:sectPr>
      </w:pPr>
    </w:p>
    <w:p>
      <w:pPr>
        <w:spacing w:after="0" w:line="97"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60" w:type="dxa"/>
            <w:vAlign w:val="bottom"/>
          </w:tcPr>
          <w:p>
            <w:pPr>
              <w:spacing w:after="0"/>
              <w:rPr>
                <w:sz w:val="14"/>
                <w:szCs w:val="14"/>
                <w:color w:val="auto"/>
              </w:rPr>
            </w:pPr>
          </w:p>
        </w:tc>
        <w:tc>
          <w:tcPr>
            <w:tcW w:w="1460" w:type="dxa"/>
            <w:vAlign w:val="bottom"/>
            <w:gridSpan w:val="4"/>
          </w:tcPr>
          <w:p>
            <w:pPr>
              <w:ind w:left="3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4"/>
          </w:tcPr>
          <w:p>
            <w:pPr>
              <w:ind w:left="3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59"/>
              <w:spacing w:after="0"/>
              <w:rPr>
                <w:sz w:val="20"/>
                <w:szCs w:val="20"/>
                <w:color w:val="auto"/>
              </w:rPr>
            </w:pPr>
            <w:r>
              <w:rPr>
                <w:rFonts w:ascii="Arial" w:cs="Arial" w:eastAsia="Arial" w:hAnsi="Arial"/>
                <w:sz w:val="12"/>
                <w:szCs w:val="12"/>
                <w:b w:val="1"/>
                <w:bCs w:val="1"/>
                <w:color w:val="auto"/>
                <w:w w:val="95"/>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8"/>
                <w:szCs w:val="18"/>
                <w:color w:val="0000FF"/>
                <w:w w:val="90"/>
              </w:rPr>
              <w:t>11/04/2019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25,000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12.99</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2,412,651</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8"/>
                <w:szCs w:val="18"/>
                <w:color w:val="0000FF"/>
                <w:w w:val="90"/>
              </w:rPr>
              <w:t>11/04/2019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35,000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12.92</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2,377,651</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8"/>
                <w:szCs w:val="18"/>
                <w:color w:val="0000FF"/>
                <w:w w:val="90"/>
              </w:rPr>
              <w:t>11/05/2019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15,000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13.02</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2,362,651</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2,536,880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7"/>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0" w:type="dxa"/>
            <w:vAlign w:val="bottom"/>
            <w:gridSpan w:val="14"/>
          </w:tcPr>
          <w:p>
            <w:pPr>
              <w:ind w:left="3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8"/>
          </w:tcPr>
          <w:p>
            <w:pPr>
              <w:spacing w:after="0" w:line="224" w:lineRule="exact"/>
              <w:rPr>
                <w:rFonts w:ascii="Arial" w:cs="Arial" w:eastAsia="Arial" w:hAnsi="Arial"/>
                <w:sz w:val="22"/>
                <w:szCs w:val="22"/>
                <w:color w:val="0000EE"/>
                <w:w w:val="92"/>
              </w:rPr>
            </w:pPr>
            <w:hyperlink r:id="rId12">
              <w:r>
                <w:rPr>
                  <w:rFonts w:ascii="Arial" w:cs="Arial" w:eastAsia="Arial" w:hAnsi="Arial"/>
                  <w:sz w:val="22"/>
                  <w:szCs w:val="22"/>
                  <w:color w:val="0000EE"/>
                  <w:w w:val="92"/>
                </w:rPr>
                <w:t>Brigade Leveraged Capital Structures Fund Ltd.</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0000FF"/>
                <w:w w:val="92"/>
              </w:rPr>
              <w:t>INTERTRUST CORP SERVICES (CAYMAN) LTD</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0000FF"/>
              </w:rPr>
              <w:t>190 ELGIN AVENUE, GEORGE TOWN</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0000FF"/>
              </w:rPr>
              <w:t>GRAND</w:t>
            </w:r>
          </w:p>
        </w:tc>
        <w:tc>
          <w:tcPr>
            <w:tcW w:w="760" w:type="dxa"/>
            <w:vAlign w:val="bottom"/>
          </w:tcPr>
          <w:p>
            <w:pPr>
              <w:spacing w:after="0"/>
              <w:rPr>
                <w:sz w:val="20"/>
                <w:szCs w:val="20"/>
                <w:color w:val="auto"/>
              </w:rPr>
            </w:pPr>
          </w:p>
        </w:tc>
        <w:tc>
          <w:tcPr>
            <w:tcW w:w="1180" w:type="dxa"/>
            <w:vAlign w:val="bottom"/>
            <w:vMerge w:val="restart"/>
          </w:tcPr>
          <w:p>
            <w:pPr>
              <w:ind w:left="20"/>
              <w:spacing w:after="0"/>
              <w:rPr>
                <w:sz w:val="20"/>
                <w:szCs w:val="20"/>
                <w:color w:val="auto"/>
              </w:rPr>
            </w:pPr>
            <w:r>
              <w:rPr>
                <w:rFonts w:ascii="Arial" w:cs="Arial" w:eastAsia="Arial" w:hAnsi="Arial"/>
                <w:sz w:val="18"/>
                <w:szCs w:val="18"/>
                <w:color w:val="0000FF"/>
              </w:rPr>
              <w:t>E9</w:t>
            </w:r>
          </w:p>
        </w:tc>
        <w:tc>
          <w:tcPr>
            <w:tcW w:w="260" w:type="dxa"/>
            <w:vAlign w:val="bottom"/>
          </w:tcPr>
          <w:p>
            <w:pPr>
              <w:spacing w:after="0"/>
              <w:rPr>
                <w:sz w:val="20"/>
                <w:szCs w:val="20"/>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0000FF"/>
                <w:w w:val="99"/>
              </w:rPr>
              <w:t>KY1-9005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0000FF"/>
              </w:rPr>
              <w:t>CAYMAN</w:t>
            </w:r>
          </w:p>
        </w:tc>
        <w:tc>
          <w:tcPr>
            <w:tcW w:w="11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2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8"/>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BRIGADE CAPITAL MANAGEMENT, LP</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399 PARK AVENUE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16TH FLOOR</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NEW YORK</w:t>
      </w:r>
      <w:r>
        <w:rPr>
          <w:sz w:val="20"/>
          <w:szCs w:val="20"/>
          <w:color w:val="auto"/>
        </w:rPr>
        <w:tab/>
      </w:r>
      <w:r>
        <w:rPr>
          <w:rFonts w:ascii="Arial" w:cs="Arial" w:eastAsia="Arial" w:hAnsi="Arial"/>
          <w:sz w:val="18"/>
          <w:szCs w:val="18"/>
          <w:color w:val="0000FF"/>
        </w:rPr>
        <w:t>NY</w:t>
      </w:r>
      <w:r>
        <w:rPr>
          <w:sz w:val="20"/>
          <w:szCs w:val="20"/>
          <w:color w:val="auto"/>
        </w:rPr>
        <w:tab/>
      </w:r>
      <w:r>
        <w:rPr>
          <w:rFonts w:ascii="Arial" w:cs="Arial" w:eastAsia="Arial" w:hAnsi="Arial"/>
          <w:sz w:val="15"/>
          <w:szCs w:val="15"/>
          <w:color w:val="0000FF"/>
        </w:rPr>
        <w:t>10022</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tcPr>
          <w:p>
            <w:pPr>
              <w:ind w:left="5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MORGAN DONALD E III</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2"/>
          </w:tcPr>
          <w:p>
            <w:pPr>
              <w:ind w:left="5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914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9147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0000FF"/>
        </w:rPr>
        <w:t>C/O BRIGADE CAPITAL MANAGEMENT,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16TH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Brigade Capital Management GP, LLC</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are directly owned by Brigade Leveraged Capital Structures Fund Ltd. (the "Fund") and may be deemed owned by Brigade Capital Management, LP, the investment manager of the Fund,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pacing w:after="0" w:line="32" w:lineRule="exact"/>
        <w:rPr>
          <w:rFonts w:ascii="Arial" w:cs="Arial" w:eastAsia="Arial" w:hAnsi="Arial"/>
          <w:sz w:val="14"/>
          <w:szCs w:val="14"/>
          <w:color w:val="008000"/>
        </w:rPr>
      </w:pPr>
    </w:p>
    <w:p>
      <w:pPr>
        <w:ind w:left="20" w:righ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securities are directly owned by Brigade Leveraged Capital Structures Fund Ltd. and by certain private fund clients of Brigade Capital Management, LP. The reported securities may be deemed beneficially owned by Brigade Capital Management, LP, the investment manager of such private fund clients,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ectPr>
          <w:pgSz w:w="11900" w:h="16838" w:orient="portrait"/>
          <w:cols w:equalWidth="0" w:num="1">
            <w:col w:w="11320"/>
          </w:cols>
          <w:pgMar w:left="260" w:top="314" w:right="319" w:bottom="1440" w:gutter="0" w:footer="0" w:header="0"/>
        </w:sectPr>
      </w:pPr>
    </w:p>
    <w:p>
      <w:pPr>
        <w:spacing w:after="0" w:line="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Brigade Leveraged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007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Structures Fund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9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25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0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3223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112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02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023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0000FF"/>
        </w:rPr>
        <w:t>11/06/2019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11/06/2019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960" w:space="180"/>
            <w:col w:w="2180"/>
          </w:cols>
          <w:pgMar w:left="260" w:top="314" w:right="319" w:bottom="1440" w:gutter="0" w:footer="0" w:header="0"/>
          <w:type w:val="continuous"/>
        </w:sectPr>
      </w:pPr>
    </w:p>
    <w:p>
      <w:pPr>
        <w:ind w:left="6840"/>
        <w:spacing w:after="0"/>
        <w:rPr>
          <w:sz w:val="20"/>
          <w:szCs w:val="20"/>
          <w:color w:val="auto"/>
        </w:rPr>
      </w:pPr>
      <w:r>
        <w:rPr>
          <w:rFonts w:ascii="Arial" w:cs="Arial" w:eastAsia="Arial" w:hAnsi="Arial"/>
          <w:sz w:val="18"/>
          <w:szCs w:val="18"/>
          <w:color w:val="0000FF"/>
        </w:rPr>
        <w:t>/s/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309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30935"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125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GP, LLC, /s/ Donald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375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Morgan,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25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00FF"/>
        </w:rPr>
        <w:t>11/06/2019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11/06/2019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8920" w:space="220"/>
            <w:col w:w="2180"/>
          </w:cols>
          <w:pgMar w:left="260" w:top="314" w:right="31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0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314"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2" Type="http://schemas.openxmlformats.org/officeDocument/2006/relationships/hyperlink" Target="http://www.sec.gov/cgi-bin/browse-edgar?action=getcompany&amp;CIK=0001421307"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421306" TargetMode="External"/><Relationship Id="rId15" Type="http://schemas.openxmlformats.org/officeDocument/2006/relationships/hyperlink" Target="http://www.sec.gov/cgi-bin/browse-edgar?action=getcompany&amp;CIK=0001421308" TargetMode="External"/><Relationship Id="rId17" Type="http://schemas.openxmlformats.org/officeDocument/2006/relationships/hyperlink" Target="http://www.sec.gov/cgi-bin/browse-edgar?action=getcompany&amp;CIK=0001695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2019-12-23T16:16:41Z</dcterms:created>
  <dcterms:modified xsi:type="dcterms:W3CDTF">2019-12-23T16:16:41Z</dcterms:modified>
</cp:coreProperties>
</file>