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LASRY MARC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331" w:lineRule="auto"/>
        <w:rPr>
          <w:sz w:val="20"/>
          <w:szCs w:val="20"/>
          <w:color w:val="auto"/>
        </w:rPr>
      </w:pPr>
      <w:r>
        <w:rPr>
          <w:rFonts w:ascii="Arial" w:cs="Arial" w:eastAsia="Arial" w:hAnsi="Arial"/>
          <w:sz w:val="18"/>
          <w:szCs w:val="18"/>
          <w:color w:val="0000FF"/>
        </w:rPr>
        <w:t>C/O AVENUE CAPITAL MANAGEMENT II, L.P., 399 PARK AVENUE, 6TH FLOOR</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4"/>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MAGNACHIP SEMICONDUCTOR Corp </w:t>
              </w:r>
            </w:hyperlink>
            <w:r>
              <w:rPr>
                <w:rFonts w:ascii="Arial" w:cs="Arial" w:eastAsia="Arial" w:hAnsi="Arial"/>
                <w:sz w:val="22"/>
                <w:szCs w:val="22"/>
                <w:color w:val="000000"/>
                <w:w w:val="96"/>
              </w:rPr>
              <w:t>[</w:t>
            </w:r>
          </w:p>
        </w:tc>
        <w:tc>
          <w:tcPr>
            <w:tcW w:w="176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700" w:type="dxa"/>
            <w:vAlign w:val="bottom"/>
            <w:gridSpan w:val="2"/>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MX </w:t>
              </w:r>
              <w:r>
                <w:rPr>
                  <w:rFonts w:ascii="Arial" w:cs="Arial" w:eastAsia="Arial" w:hAnsi="Arial"/>
                  <w:sz w:val="3"/>
                  <w:szCs w:val="3"/>
                  <w:color w:val="000000"/>
                </w:rPr>
                <w:t>]</w:t>
              </w:r>
            </w:hyperlink>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line="27" w:lineRule="exact"/>
              <w:rPr>
                <w:sz w:val="20"/>
                <w:szCs w:val="20"/>
                <w:color w:val="auto"/>
              </w:rPr>
            </w:pPr>
            <w:r>
              <w:rPr>
                <w:rFonts w:ascii="Arial" w:cs="Arial" w:eastAsia="Arial" w:hAnsi="Arial"/>
                <w:sz w:val="3"/>
                <w:szCs w:val="3"/>
                <w:color w:val="0000FF"/>
              </w:rPr>
              <w:t>X</w:t>
            </w: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380" w:type="dxa"/>
            <w:vAlign w:val="bottom"/>
          </w:tcPr>
          <w:p>
            <w:pPr>
              <w:spacing w:after="0"/>
              <w:rPr>
                <w:sz w:val="19"/>
                <w:szCs w:val="19"/>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9"/>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380" w:type="dxa"/>
            <w:vAlign w:val="bottom"/>
          </w:tcPr>
          <w:p>
            <w:pPr>
              <w:spacing w:after="0"/>
              <w:rPr>
                <w:sz w:val="11"/>
                <w:szCs w:val="11"/>
                <w:color w:val="auto"/>
              </w:rPr>
            </w:pPr>
          </w:p>
        </w:tc>
        <w:tc>
          <w:tcPr>
            <w:tcW w:w="1280" w:type="dxa"/>
            <w:vAlign w:val="bottom"/>
          </w:tcPr>
          <w:p>
            <w:pPr>
              <w:ind w:left="12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80" w:type="dxa"/>
            <w:vAlign w:val="bottom"/>
            <w:gridSpan w:val="3"/>
          </w:tcPr>
          <w:p>
            <w:pPr>
              <w:ind w:left="80"/>
              <w:spacing w:after="0"/>
              <w:rPr>
                <w:sz w:val="20"/>
                <w:szCs w:val="20"/>
                <w:color w:val="auto"/>
              </w:rPr>
            </w:pPr>
            <w:r>
              <w:rPr>
                <w:rFonts w:ascii="Arial" w:cs="Arial" w:eastAsia="Arial" w:hAnsi="Arial"/>
                <w:sz w:val="18"/>
                <w:szCs w:val="18"/>
                <w:color w:val="0000FF"/>
              </w:rPr>
              <w:t>03/31/2015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58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3220" w:type="dxa"/>
            <w:vAlign w:val="bottom"/>
            <w:tcBorders>
              <w:bottom w:val="single" w:sz="8" w:color="2C2C2C"/>
            </w:tcBorders>
            <w:gridSpan w:val="4"/>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4"/>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0"/>
          <w:szCs w:val="20"/>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27" w:lineRule="exact"/>
        <w:rPr>
          <w:sz w:val="20"/>
          <w:szCs w:val="20"/>
          <w:color w:val="auto"/>
        </w:rPr>
      </w:pPr>
    </w:p>
    <w:p>
      <w:pPr>
        <w:sectPr>
          <w:pgSz w:w="11900" w:h="16838"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5"/>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58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 $0.01 par value</w:t>
            </w:r>
          </w:p>
        </w:tc>
        <w:tc>
          <w:tcPr>
            <w:tcW w:w="1580" w:type="dxa"/>
            <w:vAlign w:val="bottom"/>
            <w:gridSpan w:val="2"/>
            <w:vMerge w:val="restart"/>
          </w:tcPr>
          <w:p>
            <w:pPr>
              <w:ind w:left="640"/>
              <w:spacing w:after="0"/>
              <w:rPr>
                <w:sz w:val="20"/>
                <w:szCs w:val="20"/>
                <w:color w:val="auto"/>
              </w:rPr>
            </w:pPr>
            <w:r>
              <w:rPr>
                <w:rFonts w:ascii="Arial" w:cs="Arial" w:eastAsia="Arial" w:hAnsi="Arial"/>
                <w:sz w:val="18"/>
                <w:szCs w:val="18"/>
                <w:color w:val="0000FF"/>
              </w:rPr>
              <w:t>03/31/2015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760" w:type="dxa"/>
            <w:vAlign w:val="bottom"/>
            <w:vMerge w:val="restart"/>
          </w:tcPr>
          <w:p>
            <w:pPr>
              <w:ind w:left="140"/>
              <w:spacing w:after="0"/>
              <w:rPr>
                <w:sz w:val="20"/>
                <w:szCs w:val="20"/>
                <w:color w:val="auto"/>
              </w:rPr>
            </w:pPr>
            <w:r>
              <w:rPr>
                <w:rFonts w:ascii="Arial" w:cs="Arial" w:eastAsia="Arial" w:hAnsi="Arial"/>
                <w:sz w:val="18"/>
                <w:szCs w:val="18"/>
                <w:color w:val="0000FF"/>
                <w:w w:val="92"/>
              </w:rPr>
              <w:t>931,937</w:t>
            </w:r>
          </w:p>
        </w:tc>
        <w:tc>
          <w:tcPr>
            <w:tcW w:w="500" w:type="dxa"/>
            <w:vAlign w:val="bottom"/>
            <w:vMerge w:val="restart"/>
          </w:tcPr>
          <w:p>
            <w:pPr>
              <w:ind w:left="280"/>
              <w:spacing w:after="0"/>
              <w:rPr>
                <w:sz w:val="20"/>
                <w:szCs w:val="20"/>
                <w:color w:val="auto"/>
              </w:rPr>
            </w:pPr>
            <w:r>
              <w:rPr>
                <w:rFonts w:ascii="Arial" w:cs="Arial" w:eastAsia="Arial" w:hAnsi="Arial"/>
                <w:sz w:val="18"/>
                <w:szCs w:val="18"/>
                <w:color w:val="0000FF"/>
              </w:rPr>
              <w:t>D</w:t>
            </w:r>
          </w:p>
        </w:tc>
        <w:tc>
          <w:tcPr>
            <w:tcW w:w="6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2"/>
              </w:rPr>
              <w:t>1,234,715</w:t>
            </w:r>
            <w:r>
              <w:rPr>
                <w:rFonts w:ascii="Arial" w:cs="Arial" w:eastAsia="Arial" w:hAnsi="Arial"/>
                <w:sz w:val="22"/>
                <w:szCs w:val="22"/>
                <w:color w:val="008000"/>
                <w:w w:val="82"/>
                <w:vertAlign w:val="superscript"/>
              </w:rPr>
              <w:t>(2)(3)</w:t>
            </w:r>
          </w:p>
        </w:tc>
        <w:tc>
          <w:tcPr>
            <w:tcW w:w="320" w:type="dxa"/>
            <w:vAlign w:val="bottom"/>
          </w:tcPr>
          <w:p>
            <w:pPr>
              <w:spacing w:after="0"/>
              <w:rPr>
                <w:sz w:val="22"/>
                <w:szCs w:val="22"/>
                <w:color w:val="auto"/>
              </w:rPr>
            </w:pPr>
          </w:p>
        </w:tc>
        <w:tc>
          <w:tcPr>
            <w:tcW w:w="6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20" w:type="dxa"/>
            <w:vAlign w:val="bottom"/>
            <w:gridSpan w:val="4"/>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80" w:type="dxa"/>
            <w:vAlign w:val="bottom"/>
            <w:vMerge w:val="restart"/>
          </w:tcPr>
          <w:p>
            <w:pPr>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 $0.01 par value</w:t>
            </w: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8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3"/>
              </w:rPr>
              <w:t>812,190</w:t>
            </w:r>
            <w:r>
              <w:rPr>
                <w:rFonts w:ascii="Arial" w:cs="Arial" w:eastAsia="Arial" w:hAnsi="Arial"/>
                <w:sz w:val="22"/>
                <w:szCs w:val="22"/>
                <w:color w:val="008000"/>
                <w:w w:val="83"/>
                <w:vertAlign w:val="superscript"/>
              </w:rPr>
              <w:t>(2)(3)</w:t>
            </w:r>
          </w:p>
        </w:tc>
        <w:tc>
          <w:tcPr>
            <w:tcW w:w="320" w:type="dxa"/>
            <w:vAlign w:val="bottom"/>
          </w:tcPr>
          <w:p>
            <w:pPr>
              <w:spacing w:after="0"/>
              <w:rPr>
                <w:sz w:val="22"/>
                <w:szCs w:val="22"/>
                <w:color w:val="auto"/>
              </w:rPr>
            </w:pPr>
          </w:p>
        </w:tc>
        <w:tc>
          <w:tcPr>
            <w:tcW w:w="6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20" w:type="dxa"/>
            <w:vAlign w:val="bottom"/>
            <w:gridSpan w:val="4"/>
            <w:vMerge w:val="continue"/>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80" w:type="dxa"/>
            <w:vAlign w:val="bottom"/>
            <w:vMerge w:val="restart"/>
          </w:tcPr>
          <w:p>
            <w:pPr>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(5)</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 $0.01 par value</w:t>
            </w: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8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3"/>
              </w:rPr>
              <w:t>119,747</w:t>
            </w:r>
            <w:r>
              <w:rPr>
                <w:rFonts w:ascii="Arial" w:cs="Arial" w:eastAsia="Arial" w:hAnsi="Arial"/>
                <w:sz w:val="22"/>
                <w:szCs w:val="22"/>
                <w:color w:val="008000"/>
                <w:w w:val="83"/>
                <w:vertAlign w:val="superscript"/>
              </w:rPr>
              <w:t>(2)(3)</w:t>
            </w:r>
          </w:p>
        </w:tc>
        <w:tc>
          <w:tcPr>
            <w:tcW w:w="320" w:type="dxa"/>
            <w:vAlign w:val="bottom"/>
          </w:tcPr>
          <w:p>
            <w:pPr>
              <w:spacing w:after="0"/>
              <w:rPr>
                <w:sz w:val="22"/>
                <w:szCs w:val="22"/>
                <w:color w:val="auto"/>
              </w:rPr>
            </w:pPr>
          </w:p>
        </w:tc>
        <w:tc>
          <w:tcPr>
            <w:tcW w:w="6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20" w:type="dxa"/>
            <w:vAlign w:val="bottom"/>
            <w:gridSpan w:val="4"/>
            <w:vMerge w:val="continue"/>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80" w:type="dxa"/>
            <w:vAlign w:val="bottom"/>
            <w:vMerge w:val="restart"/>
          </w:tcPr>
          <w:p>
            <w:pPr>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(6)</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 $0.01 par value</w:t>
            </w: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8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3"/>
              </w:rPr>
              <w:t>722,264</w:t>
            </w:r>
            <w:r>
              <w:rPr>
                <w:rFonts w:ascii="Arial" w:cs="Arial" w:eastAsia="Arial" w:hAnsi="Arial"/>
                <w:sz w:val="22"/>
                <w:szCs w:val="22"/>
                <w:color w:val="008000"/>
                <w:w w:val="83"/>
                <w:vertAlign w:val="superscript"/>
              </w:rPr>
              <w:t>(2)(3)</w:t>
            </w:r>
          </w:p>
        </w:tc>
        <w:tc>
          <w:tcPr>
            <w:tcW w:w="320" w:type="dxa"/>
            <w:vAlign w:val="bottom"/>
          </w:tcPr>
          <w:p>
            <w:pPr>
              <w:spacing w:after="0"/>
              <w:rPr>
                <w:sz w:val="22"/>
                <w:szCs w:val="22"/>
                <w:color w:val="auto"/>
              </w:rPr>
            </w:pPr>
          </w:p>
        </w:tc>
        <w:tc>
          <w:tcPr>
            <w:tcW w:w="6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20" w:type="dxa"/>
            <w:vAlign w:val="bottom"/>
            <w:gridSpan w:val="4"/>
            <w:vMerge w:val="continue"/>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80" w:type="dxa"/>
            <w:vAlign w:val="bottom"/>
            <w:vMerge w:val="restart"/>
          </w:tcPr>
          <w:p>
            <w:pPr>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(7)</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 $0.01 par value</w:t>
            </w: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8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3"/>
              </w:rPr>
              <w:t>84,924</w:t>
            </w:r>
            <w:r>
              <w:rPr>
                <w:rFonts w:ascii="Arial" w:cs="Arial" w:eastAsia="Arial" w:hAnsi="Arial"/>
                <w:sz w:val="22"/>
                <w:szCs w:val="22"/>
                <w:color w:val="008000"/>
                <w:w w:val="83"/>
                <w:vertAlign w:val="superscript"/>
              </w:rPr>
              <w:t>(2)(3)</w:t>
            </w:r>
          </w:p>
        </w:tc>
        <w:tc>
          <w:tcPr>
            <w:tcW w:w="320" w:type="dxa"/>
            <w:vAlign w:val="bottom"/>
          </w:tcPr>
          <w:p>
            <w:pPr>
              <w:spacing w:after="0"/>
              <w:rPr>
                <w:sz w:val="22"/>
                <w:szCs w:val="22"/>
                <w:color w:val="auto"/>
              </w:rPr>
            </w:pPr>
          </w:p>
        </w:tc>
        <w:tc>
          <w:tcPr>
            <w:tcW w:w="6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20" w:type="dxa"/>
            <w:vAlign w:val="bottom"/>
            <w:gridSpan w:val="4"/>
            <w:vMerge w:val="continue"/>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80" w:type="dxa"/>
            <w:vAlign w:val="bottom"/>
            <w:vMerge w:val="restart"/>
          </w:tcPr>
          <w:p>
            <w:pPr>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(8)</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 $0.01 par value</w:t>
            </w: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8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3"/>
              </w:rPr>
              <w:t>496,023</w:t>
            </w:r>
            <w:r>
              <w:rPr>
                <w:rFonts w:ascii="Arial" w:cs="Arial" w:eastAsia="Arial" w:hAnsi="Arial"/>
                <w:sz w:val="22"/>
                <w:szCs w:val="22"/>
                <w:color w:val="008000"/>
                <w:w w:val="83"/>
                <w:vertAlign w:val="superscript"/>
              </w:rPr>
              <w:t>(2)(3)</w:t>
            </w:r>
          </w:p>
        </w:tc>
        <w:tc>
          <w:tcPr>
            <w:tcW w:w="320" w:type="dxa"/>
            <w:vAlign w:val="bottom"/>
          </w:tcPr>
          <w:p>
            <w:pPr>
              <w:spacing w:after="0"/>
              <w:rPr>
                <w:sz w:val="22"/>
                <w:szCs w:val="22"/>
                <w:color w:val="auto"/>
              </w:rPr>
            </w:pPr>
          </w:p>
        </w:tc>
        <w:tc>
          <w:tcPr>
            <w:tcW w:w="6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20" w:type="dxa"/>
            <w:vAlign w:val="bottom"/>
            <w:gridSpan w:val="4"/>
            <w:vMerge w:val="continue"/>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80" w:type="dxa"/>
            <w:vAlign w:val="bottom"/>
            <w:vMerge w:val="restart"/>
          </w:tcPr>
          <w:p>
            <w:pPr>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(9)</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 $0.01 par value</w:t>
            </w: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8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3"/>
              </w:rPr>
              <w:t>619,115</w:t>
            </w:r>
            <w:r>
              <w:rPr>
                <w:rFonts w:ascii="Arial" w:cs="Arial" w:eastAsia="Arial" w:hAnsi="Arial"/>
                <w:sz w:val="22"/>
                <w:szCs w:val="22"/>
                <w:color w:val="008000"/>
                <w:w w:val="83"/>
                <w:vertAlign w:val="superscript"/>
              </w:rPr>
              <w:t>(2)(3)</w:t>
            </w:r>
          </w:p>
        </w:tc>
        <w:tc>
          <w:tcPr>
            <w:tcW w:w="320" w:type="dxa"/>
            <w:vAlign w:val="bottom"/>
          </w:tcPr>
          <w:p>
            <w:pPr>
              <w:spacing w:after="0"/>
              <w:rPr>
                <w:sz w:val="22"/>
                <w:szCs w:val="22"/>
                <w:color w:val="auto"/>
              </w:rPr>
            </w:pPr>
          </w:p>
        </w:tc>
        <w:tc>
          <w:tcPr>
            <w:tcW w:w="6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20" w:type="dxa"/>
            <w:vAlign w:val="bottom"/>
            <w:gridSpan w:val="4"/>
            <w:vMerge w:val="continue"/>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w w:val="90"/>
              </w:rPr>
              <w:t>Footnote</w:t>
            </w:r>
            <w:r>
              <w:rPr>
                <w:rFonts w:ascii="Arial" w:cs="Arial" w:eastAsia="Arial" w:hAnsi="Arial"/>
                <w:sz w:val="22"/>
                <w:szCs w:val="22"/>
                <w:color w:val="008000"/>
                <w:w w:val="90"/>
                <w:vertAlign w:val="superscript"/>
              </w:rPr>
              <w:t>(10)</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20" w:type="dxa"/>
            <w:vAlign w:val="bottom"/>
            <w:gridSpan w:val="11"/>
          </w:tcPr>
          <w:p>
            <w:pPr>
              <w:ind w:left="56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20" w:type="dxa"/>
            <w:vAlign w:val="bottom"/>
          </w:tcPr>
          <w:p>
            <w:pPr>
              <w:ind w:left="1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Conversion</w:t>
            </w:r>
          </w:p>
        </w:tc>
        <w:tc>
          <w:tcPr>
            <w:tcW w:w="12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2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22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2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3"/>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2"/>
          </w:tcPr>
          <w:p>
            <w:pPr>
              <w:spacing w:after="0" w:line="224" w:lineRule="exact"/>
              <w:rPr>
                <w:rFonts w:ascii="Arial" w:cs="Arial" w:eastAsia="Arial" w:hAnsi="Arial"/>
                <w:sz w:val="22"/>
                <w:szCs w:val="22"/>
                <w:color w:val="0000EE"/>
                <w:w w:val="96"/>
              </w:rPr>
            </w:pPr>
            <w:hyperlink r:id="rId12">
              <w:r>
                <w:rPr>
                  <w:rFonts w:ascii="Arial" w:cs="Arial" w:eastAsia="Arial" w:hAnsi="Arial"/>
                  <w:sz w:val="22"/>
                  <w:szCs w:val="22"/>
                  <w:color w:val="0000EE"/>
                  <w:w w:val="96"/>
                </w:rPr>
                <w:t>LASRY MARC</w:t>
              </w:r>
            </w:hyperlink>
          </w:p>
        </w:tc>
        <w:tc>
          <w:tcPr>
            <w:tcW w:w="1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220" w:type="dxa"/>
            <w:vAlign w:val="bottom"/>
          </w:tcPr>
          <w:p>
            <w:pPr>
              <w:ind w:left="60"/>
              <w:spacing w:after="0"/>
              <w:rPr>
                <w:sz w:val="20"/>
                <w:szCs w:val="20"/>
                <w:color w:val="auto"/>
              </w:rPr>
            </w:pPr>
            <w:r>
              <w:rPr>
                <w:rFonts w:ascii="Arial" w:cs="Arial" w:eastAsia="Arial" w:hAnsi="Arial"/>
                <w:sz w:val="14"/>
                <w:szCs w:val="14"/>
                <w:color w:val="auto"/>
              </w:rPr>
              <w:t>(First)</w:t>
            </w:r>
          </w:p>
        </w:tc>
        <w:tc>
          <w:tcPr>
            <w:tcW w:w="1120" w:type="dxa"/>
            <w:vAlign w:val="bottom"/>
          </w:tcPr>
          <w:p>
            <w:pPr>
              <w:ind w:left="300"/>
              <w:spacing w:after="0"/>
              <w:rPr>
                <w:sz w:val="20"/>
                <w:szCs w:val="20"/>
                <w:color w:val="auto"/>
              </w:rPr>
            </w:pPr>
            <w:r>
              <w:rPr>
                <w:rFonts w:ascii="Arial" w:cs="Arial" w:eastAsia="Arial" w:hAnsi="Arial"/>
                <w:sz w:val="14"/>
                <w:szCs w:val="14"/>
                <w:color w:val="auto"/>
              </w:rPr>
              <w:t>(Middle)</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4"/>
          </w:tcPr>
          <w:p>
            <w:pPr>
              <w:spacing w:after="0"/>
              <w:rPr>
                <w:sz w:val="20"/>
                <w:szCs w:val="20"/>
                <w:color w:val="auto"/>
              </w:rPr>
            </w:pPr>
            <w:r>
              <w:rPr>
                <w:rFonts w:ascii="Arial" w:cs="Arial" w:eastAsia="Arial" w:hAnsi="Arial"/>
                <w:sz w:val="18"/>
                <w:szCs w:val="18"/>
                <w:color w:val="0000FF"/>
                <w:w w:val="96"/>
              </w:rPr>
              <w:t>C/O AVENUE CAPITAL MANAGEMENT II, L.P.,</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0000FF"/>
                <w:w w:val="94"/>
              </w:rPr>
              <w:t>399 PARK AVENUE, 6TH FLOOR</w:t>
            </w: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20" w:type="dxa"/>
            <w:vAlign w:val="bottom"/>
          </w:tcPr>
          <w:p>
            <w:pPr>
              <w:ind w:left="60"/>
              <w:spacing w:after="0"/>
              <w:rPr>
                <w:sz w:val="20"/>
                <w:szCs w:val="20"/>
                <w:color w:val="auto"/>
              </w:rPr>
            </w:pPr>
            <w:r>
              <w:rPr>
                <w:rFonts w:ascii="Arial" w:cs="Arial" w:eastAsia="Arial" w:hAnsi="Arial"/>
                <w:sz w:val="18"/>
                <w:szCs w:val="18"/>
                <w:color w:val="0000FF"/>
              </w:rPr>
              <w:t>NY</w:t>
            </w:r>
          </w:p>
        </w:tc>
        <w:tc>
          <w:tcPr>
            <w:tcW w:w="1120" w:type="dxa"/>
            <w:vAlign w:val="bottom"/>
          </w:tcPr>
          <w:p>
            <w:pPr>
              <w:ind w:left="300"/>
              <w:spacing w:after="0"/>
              <w:rPr>
                <w:sz w:val="20"/>
                <w:szCs w:val="20"/>
                <w:color w:val="auto"/>
              </w:rPr>
            </w:pPr>
            <w:r>
              <w:rPr>
                <w:rFonts w:ascii="Arial" w:cs="Arial" w:eastAsia="Arial" w:hAnsi="Arial"/>
                <w:sz w:val="18"/>
                <w:szCs w:val="18"/>
                <w:color w:val="0000FF"/>
              </w:rPr>
              <w:t>10022</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220" w:type="dxa"/>
            <w:vAlign w:val="bottom"/>
          </w:tcPr>
          <w:p>
            <w:pPr>
              <w:ind w:left="60"/>
              <w:spacing w:after="0"/>
              <w:rPr>
                <w:sz w:val="20"/>
                <w:szCs w:val="20"/>
                <w:color w:val="auto"/>
              </w:rPr>
            </w:pPr>
            <w:r>
              <w:rPr>
                <w:rFonts w:ascii="Arial" w:cs="Arial" w:eastAsia="Arial" w:hAnsi="Arial"/>
                <w:sz w:val="14"/>
                <w:szCs w:val="14"/>
                <w:color w:val="auto"/>
              </w:rPr>
              <w:t>(State)</w:t>
            </w:r>
          </w:p>
        </w:tc>
        <w:tc>
          <w:tcPr>
            <w:tcW w:w="1120" w:type="dxa"/>
            <w:vAlign w:val="bottom"/>
          </w:tcPr>
          <w:p>
            <w:pPr>
              <w:ind w:left="300"/>
              <w:spacing w:after="0"/>
              <w:rPr>
                <w:sz w:val="20"/>
                <w:szCs w:val="20"/>
                <w:color w:val="auto"/>
              </w:rPr>
            </w:pPr>
            <w:r>
              <w:rPr>
                <w:rFonts w:ascii="Arial" w:cs="Arial" w:eastAsia="Arial" w:hAnsi="Arial"/>
                <w:sz w:val="14"/>
                <w:szCs w:val="14"/>
                <w:color w:val="auto"/>
              </w:rPr>
              <w:t>(Zip)</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4">
        <w:r>
          <w:rPr>
            <w:rFonts w:ascii="Arial" w:cs="Arial" w:eastAsia="Arial" w:hAnsi="Arial"/>
            <w:sz w:val="19"/>
            <w:szCs w:val="19"/>
            <w:u w:val="single" w:color="auto"/>
            <w:color w:val="0000EE"/>
          </w:rPr>
          <w:t>Avenue International Master, L.P.</w:t>
        </w:r>
      </w:hyperlink>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0440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4175" cy="10440670"/>
                    </a:xfrm>
                    <a:prstGeom prst="rect">
                      <a:avLst/>
                    </a:prstGeom>
                    <a:noFill/>
                  </pic:spPr>
                </pic:pic>
              </a:graphicData>
            </a:graphic>
          </wp:anchor>
        </w:drawing>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AVENUE INTERNATIONAL, LTD.</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Avenue International Master GenPar, Ltd.</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Avenue Partners, LLC</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9">
        <w:r>
          <w:rPr>
            <w:rFonts w:ascii="Arial" w:cs="Arial" w:eastAsia="Arial" w:hAnsi="Arial"/>
            <w:sz w:val="22"/>
            <w:szCs w:val="22"/>
            <w:u w:val="single" w:color="auto"/>
            <w:color w:val="0000EE"/>
          </w:rPr>
          <w:t>Avenue Capital Management II, L.P.</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20">
        <w:r>
          <w:rPr>
            <w:rFonts w:ascii="Arial" w:cs="Arial" w:eastAsia="Arial" w:hAnsi="Arial"/>
            <w:sz w:val="22"/>
            <w:szCs w:val="22"/>
            <w:u w:val="single" w:color="auto"/>
            <w:color w:val="0000EE"/>
          </w:rPr>
          <w:t>Avenue Capital Management II GenPar, LLC</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AVENUE CAPITAL MANAGEMENT II,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6TH FLOOR</w:t>
      </w:r>
    </w:p>
    <w:p>
      <w:pPr>
        <w:spacing w:after="0" w:line="300" w:lineRule="exact"/>
        <w:rPr>
          <w:sz w:val="20"/>
          <w:szCs w:val="20"/>
          <w:color w:val="auto"/>
        </w:rPr>
      </w:pPr>
    </w:p>
    <w:p>
      <w:pPr>
        <w:ind w:left="60"/>
        <w:spacing w:after="0"/>
        <w:rPr>
          <w:sz w:val="20"/>
          <w:szCs w:val="20"/>
          <w:color w:val="auto"/>
        </w:rPr>
      </w:pPr>
      <w:r>
        <w:rPr>
          <w:rFonts w:ascii="Arial" w:cs="Arial" w:eastAsia="Arial" w:hAnsi="Arial"/>
          <w:sz w:val="14"/>
          <w:szCs w:val="14"/>
          <w:color w:val="auto"/>
        </w:rPr>
        <w:t>(Street)</w:t>
      </w:r>
    </w:p>
    <w:p>
      <w:pPr>
        <w:spacing w:after="0" w:line="20"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8"/>
          <w:szCs w:val="18"/>
          <w:color w:val="0000FF"/>
        </w:rPr>
        <w:t>NEW YORK</w:t>
      </w:r>
      <w:r>
        <w:rPr>
          <w:sz w:val="20"/>
          <w:szCs w:val="20"/>
          <w:color w:val="auto"/>
        </w:rPr>
        <w:tab/>
      </w:r>
      <w:r>
        <w:rPr>
          <w:rFonts w:ascii="Arial" w:cs="Arial" w:eastAsia="Arial" w:hAnsi="Arial"/>
          <w:sz w:val="18"/>
          <w:szCs w:val="18"/>
          <w:color w:val="0000FF"/>
        </w:rPr>
        <w:t>NY</w:t>
      </w:r>
      <w:r>
        <w:rPr>
          <w:sz w:val="20"/>
          <w:szCs w:val="20"/>
          <w:color w:val="auto"/>
        </w:rPr>
        <w:tab/>
      </w:r>
      <w:r>
        <w:rPr>
          <w:rFonts w:ascii="Arial" w:cs="Arial" w:eastAsia="Arial" w:hAnsi="Arial"/>
          <w:sz w:val="15"/>
          <w:szCs w:val="15"/>
          <w:color w:val="0000FF"/>
        </w:rPr>
        <w:t>10022</w:t>
      </w:r>
    </w:p>
    <w:p>
      <w:pPr>
        <w:sectPr>
          <w:pgSz w:w="11900" w:h="16838" w:orient="portrait"/>
          <w:cols w:equalWidth="0" w:num="1">
            <w:col w:w="10199"/>
          </w:cols>
          <w:pgMar w:left="260" w:top="314" w:right="1440" w:bottom="0" w:gutter="0" w:footer="0" w:header="0"/>
        </w:sectPr>
      </w:pPr>
    </w:p>
    <w:p>
      <w:pPr>
        <w:spacing w:after="0" w:line="341"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0199"/>
          </w:cols>
          <w:pgMar w:left="260" w:top="314" w:right="1440" w:bottom="0" w:gutter="0" w:footer="0" w:header="0"/>
          <w:type w:val="continuous"/>
        </w:sectPr>
      </w:pPr>
    </w:p>
    <w:bookmarkStart w:id="2" w:name="page3"/>
    <w:bookmarkEnd w:id="2"/>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right="40" w:firstLine="9"/>
        <w:spacing w:after="0" w:line="273"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March 31, 2015, Avenue International Master, L.P. ("Avenue International ") made pro rata distributions of 812,190 shares of common stock, par value $0.01 per share (the "Common Stock") of MagnaChip Semiconductor Corp. (the "Issuer") to Avenue PPF Opportunities Fund, L.P. ("Avenue PPF Opportunities") and 119,747 shares of Common Stock to Avenue US/Europe Distressed Segregated Portfolio, a segregated portfolio of Avenue EnTrust Customized Portfolio SPC ("Avenue EnTrust SPC"), each of which is a fund formed for an indirect investor in Avenue International. Based on the relationships described in footnotes 4 and 5 below, respectively, Marc Lasry ("Lasry") continues to be deemed the indirect beneficial owner of such shares of Common Stock . Such distribution may be deemed to result in a reduction of a portion of Lasry's pecuniary interest in such shares (within the meaning of Rule 16a-1(a)(2) under the Securities Exchange Act of 1934, as amended, without consideration.</w:t>
      </w:r>
    </w:p>
    <w:p>
      <w:pPr>
        <w:spacing w:after="0" w:line="11" w:lineRule="exact"/>
        <w:rPr>
          <w:rFonts w:ascii="Arial" w:cs="Arial" w:eastAsia="Arial" w:hAnsi="Arial"/>
          <w:sz w:val="12"/>
          <w:szCs w:val="12"/>
          <w:color w:val="008000"/>
        </w:rPr>
      </w:pPr>
    </w:p>
    <w:p>
      <w:pPr>
        <w:ind w:right="200" w:firstLine="9"/>
        <w:spacing w:after="0" w:line="273"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filing of this Form 4 shall not be construed as an admission that Avenue Global Opportunities GenPar, LLC ("Global GenPar"), Avenue International, Ltd. ("International Ltd."), Avenue International Master GenPar, Ltd. ("Avenue International GenPar"), Avenue Partners, LLC ("Avenue Partners"), Avenue Capital Partners IV, LLC ("Avenue Capital IV"), GL Partners IV, LLC ("GL IV"), Avenue Capital Partners V, LLC ("Avenue Capital V"), GL Partners V, LLC ("GL V"), Avenue PPF Opportunities Fund GenPar, LLC ("Avenue PPF Opportunities GenPar"), Avenue Capital Management II, L.P. ("Avenue Capital Management II"), Avenue Capital Management II GenPar, LLC ("GenPar") or Lasry (the "Controlling Persons") is or was for the purposes of Section 16 of the Securities Exchange Act of 1934, as amended, or otherwise the beneficial owner of any of the Common Stock directly held by Avenue International, Avenue Investments, L.P. ("Avenue Investments"),</w:t>
      </w:r>
    </w:p>
    <w:p>
      <w:pPr>
        <w:spacing w:after="0" w:line="11" w:lineRule="exact"/>
        <w:rPr>
          <w:rFonts w:ascii="Arial" w:cs="Arial" w:eastAsia="Arial" w:hAnsi="Arial"/>
          <w:sz w:val="12"/>
          <w:szCs w:val="12"/>
          <w:color w:val="008000"/>
        </w:rPr>
      </w:pPr>
    </w:p>
    <w:p>
      <w:pPr>
        <w:ind w:right="40" w:firstLine="9"/>
        <w:spacing w:after="0" w:line="305"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(Continued From Footnote 2) Avenue-CDP Global Opportunities Fund, L.P. ("Avenue-CDP"), Avenue Special Situations Fund IV, L.P. ("Avenue Spec IV"), Avenue Special Situations Fund V, L.P. ("Avenue Spec V"), Avenue PPF Opportunities and Avenue EnTrust SPC. Pursuant to Rule 16a-1, the Controlling Persons disclaim beneficial ownership except to the extent of their pecuniary interest therein.</w:t>
      </w:r>
    </w:p>
    <w:p>
      <w:pPr>
        <w:ind w:firstLine="9"/>
        <w:spacing w:after="0" w:line="228"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of Common Stock are held directly by Avenue International. International Ltd. is the sole limited partner of Avenue International, Avenue International GenPar serves as the general partner of Avenue International and Avenue Partners is the sole shareholder of Avenue International GenPar. Avenue Capital Management II is an investment adviser to Avenue International. GenPar is the general partner of Avenue Capital Management II. Lasry is the managing member of Avenue Partners and GenPar. In such capacity, Lasry is deemed to be the indirect beneficial owner of the securities reported by reason of his ability to direct the vote and/or disposition of such securities, and his pecuniary interest in such shares (within the meaning of Rule 16a-1(a)(2) under the Securities Exchange Act of 1934, as amended ) is a fractional indirect interest in such amount.</w:t>
      </w:r>
    </w:p>
    <w:p>
      <w:pPr>
        <w:spacing w:after="0" w:line="32" w:lineRule="exact"/>
        <w:rPr>
          <w:rFonts w:ascii="Arial" w:cs="Arial" w:eastAsia="Arial" w:hAnsi="Arial"/>
          <w:sz w:val="14"/>
          <w:szCs w:val="14"/>
          <w:color w:val="008000"/>
        </w:rPr>
      </w:pPr>
    </w:p>
    <w:p>
      <w:pPr>
        <w:ind w:firstLine="9"/>
        <w:spacing w:after="0" w:line="228"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of Common Stock are held directly by Avenue PPF Opportunities. Avenue PPF Opportunities Fund GenPar, LLC, a Delaware limited liability company ("Avenue PPF Opportunities GenPar") is the general partner of Avenue PPF Opportunities. Avenue Capital Management II is an investment adviser to Avenue PPF Opportunities. Genpar is the general partner of Avenue Capital Management II. Lasry is the managing member of Avenue PPF Opportunities GenPar and GenPar. In such capacity, Lasry is deemed to be the indirect beneficial owner of the securities reported by reason of his ability to direct the vote and/or disposition of such securities, and his pecuniary interest in such shares (within the meaning of Rule 16a-1(a)(2) under the Securities Exchange Act of 1934, as amended ) is a fractional interest in such amount.</w:t>
      </w:r>
    </w:p>
    <w:p>
      <w:pPr>
        <w:spacing w:after="0" w:line="32" w:lineRule="exact"/>
        <w:rPr>
          <w:rFonts w:ascii="Arial" w:cs="Arial" w:eastAsia="Arial" w:hAnsi="Arial"/>
          <w:sz w:val="14"/>
          <w:szCs w:val="14"/>
          <w:color w:val="008000"/>
        </w:rPr>
      </w:pPr>
    </w:p>
    <w:p>
      <w:pPr>
        <w:jc w:val="both"/>
        <w:ind w:right="60" w:firstLine="9"/>
        <w:spacing w:after="0" w:line="230"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of Common Stock are held directly by Avenue EnTrust SPC. Avenue Capital Management II is an investment adviser to Avenue EnTrust SPC. Genpar is the general partner of Avenue Capital Management II. Lasry is the director of Avenue EnTrust SPC and the managing member of GenPar. In such capacity, Lasry is deemed to be the indirect beneficial owner of the securities reported by reason of his ability to direct the vote and/or disposition of such securities, and his pecuniary interest in such shares (within the meaning of Rule 16a-1(a)(2) under the Securities Exchange Act of 1934, as amended ) is a fractional indirect interest in such amount.</w:t>
      </w:r>
    </w:p>
    <w:p>
      <w:pPr>
        <w:spacing w:after="0" w:line="31" w:lineRule="exact"/>
        <w:rPr>
          <w:rFonts w:ascii="Arial" w:cs="Arial" w:eastAsia="Arial" w:hAnsi="Arial"/>
          <w:sz w:val="14"/>
          <w:szCs w:val="14"/>
          <w:color w:val="008000"/>
        </w:rPr>
      </w:pPr>
    </w:p>
    <w:p>
      <w:pPr>
        <w:ind w:right="160" w:firstLine="9"/>
        <w:spacing w:after="0" w:line="230"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of Common Stock are held directly by Avenue Investments. Avenue Partners is the general partner of Avenue Investments. Avenue Capital Management II is an investment adviser to Avenue Investments. GenPar is the general partner of Avenue Capital Management II. Lasry is the managing member of Avenue Partners and GenPar. In such capacity, Lasry is deemed to be the indirect beneficial owner of the securities reported by reason of his ability to direct the vote and/or disposition of such securities, and his pecuniary interest in such shares (within the meaning of Rule 16a-1(a)(2) under the Securities Exchange Act of 1934, as amended ) is a fractional indirect interest in such amount.</w:t>
      </w:r>
    </w:p>
    <w:p>
      <w:pPr>
        <w:spacing w:after="0" w:line="31" w:lineRule="exact"/>
        <w:rPr>
          <w:rFonts w:ascii="Arial" w:cs="Arial" w:eastAsia="Arial" w:hAnsi="Arial"/>
          <w:sz w:val="14"/>
          <w:szCs w:val="14"/>
          <w:color w:val="008000"/>
        </w:rPr>
      </w:pPr>
    </w:p>
    <w:p>
      <w:pPr>
        <w:ind w:right="80" w:firstLine="9"/>
        <w:spacing w:after="0" w:line="233"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of Common Stock are held directly by Avenue-CDP. Global GenPar serves as the general partner of Avenue-CDP. Lasry is the managing member of Global GenPar. In such capacity, Lasry is deemed to be the indirect beneficial owner of the securities reported by reason of his ability to direct the vote and/or disposition of such securities, and his pecuniary interest in such shares (within the meaning of Rule 16a-1(a)(2) under the Securities Exchange Act of 1934, as amended ) is a fractional indirect interest in such amount.</w:t>
      </w:r>
    </w:p>
    <w:p>
      <w:pPr>
        <w:spacing w:after="0" w:line="30" w:lineRule="exact"/>
        <w:rPr>
          <w:rFonts w:ascii="Arial" w:cs="Arial" w:eastAsia="Arial" w:hAnsi="Arial"/>
          <w:sz w:val="14"/>
          <w:szCs w:val="14"/>
          <w:color w:val="008000"/>
        </w:rPr>
      </w:pPr>
    </w:p>
    <w:p>
      <w:pPr>
        <w:ind w:right="120" w:firstLine="9"/>
        <w:spacing w:after="0" w:line="278"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of Common Stock are held directly by Avenue Spec IV. Avenue Capital IV serves as the general partner of Avenue Spec IV, and GL IV is the managing member of Avenue Capital IV. Avenue Capital Management II is an investment adviser to Avenue Spec IV. Genpar is the general partner of Avenue Capital Management II. Lasry is the managing member of GL IV and GenPar. In such capacity, Lasry is deemed to be the indirect beneficial owner of the securities reported by reason of his ability to direct the vote and/or disposition of such securities, and his pecuniary interest in such shares (within the meaning of Rule 16a-1(a)(2) under the Securities Exchange Act of 1934, as amended ) is a fractional indirect interest in such amount.</w:t>
      </w:r>
    </w:p>
    <w:p>
      <w:pPr>
        <w:spacing w:after="0" w:line="8" w:lineRule="exact"/>
        <w:rPr>
          <w:rFonts w:ascii="Arial" w:cs="Arial" w:eastAsia="Arial" w:hAnsi="Arial"/>
          <w:sz w:val="12"/>
          <w:szCs w:val="12"/>
          <w:color w:val="008000"/>
        </w:rPr>
      </w:pPr>
    </w:p>
    <w:p>
      <w:pPr>
        <w:ind w:right="20" w:firstLine="9"/>
        <w:spacing w:after="0" w:line="278" w:lineRule="auto"/>
        <w:tabs>
          <w:tab w:leader="none" w:pos="20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of Common Stock are held directly by Avenue Spec V. Avenue Capital V serves as the general partner of Avenue Spec V, and GL V is the managing member of Avenue Capital V. Avenue Capital Management II is an investment adviser to Avenue Spec V. Genpar is the general partner of Avenue Capital Management II. Lasry is the managing member of GL V and GenPar. In such capacity, Lasry is deemed to be the indirect beneficial owner of the securities reported by reason of his ability to direct the vote and/or disposition of such securities, and his pecuniary interest in such shares (within the meaning of Rule 16a-1(a)(2) under the Securities Exchange Act of 1934, as amended ) is a fractional indirect interest in such amount.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right="260"/>
        <w:spacing w:after="0" w:line="239" w:lineRule="auto"/>
        <w:rPr>
          <w:sz w:val="20"/>
          <w:szCs w:val="20"/>
          <w:color w:val="auto"/>
        </w:rPr>
      </w:pPr>
      <w:r>
        <w:rPr>
          <w:rFonts w:ascii="Arial" w:cs="Arial" w:eastAsia="Arial" w:hAnsi="Arial"/>
          <w:sz w:val="14"/>
          <w:szCs w:val="14"/>
          <w:color w:val="008000"/>
        </w:rPr>
        <w:t>For purposes of Section 16 of the Securities Exchange Act of 1934, as amended, the reporting persons are deemed directors by deputization by virtue of their representation on the Board of Directors of the Issuer.</w:t>
      </w:r>
    </w:p>
    <w:p>
      <w:pPr>
        <w:sectPr>
          <w:pgSz w:w="11900" w:h="16838" w:orient="portrait"/>
          <w:cols w:equalWidth="0" w:num="1">
            <w:col w:w="11320"/>
          </w:cols>
          <w:pgMar w:left="280" w:top="124" w:right="299" w:bottom="887" w:gutter="0" w:footer="0" w:header="0"/>
        </w:sectPr>
      </w:pPr>
    </w:p>
    <w:p>
      <w:pPr>
        <w:spacing w:after="0" w:line="60"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Avenue International 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966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129667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L.P. By: Avenue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258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Master GenPar,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668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General Partner, By: /s/ Eric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17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2617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Ross, attorney-in-fact for Marc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868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Lasry,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6737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67373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Avenue International, Ltd.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633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Eric Ross,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125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for Marc Lasry,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947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09474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Avenue International 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731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GenPar, Ltd. By: /s/ Eric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66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3766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attorney-in-fact for Marc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144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Lasry,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6737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67373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Avenue Partners,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201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Eric Ross,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73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Marc Lasry,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172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0172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Avenue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979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29794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II, L.P. By: Avenue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084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Management II GenPar,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60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33604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its General Partner, By: /s/ Eric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950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39509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Ross, attorney-in-fact for Marc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868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Lasry,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601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16014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Avenue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979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29794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II, GenPar, LLC By: /s/ Eric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617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26174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Ross, attorney-in-fact for Marc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868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Lasry,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601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16014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Eric Ross,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125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for Marc Lasry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6743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6743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0000FF"/>
        </w:rPr>
        <w:t>05/13/2015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0000FF"/>
        </w:rPr>
        <w:t>05/13/2015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05/13/2015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05/13/2015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05/13/2015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05/13/2015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05/13/2015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9020" w:space="100"/>
            <w:col w:w="2200"/>
          </w:cols>
          <w:pgMar w:left="280" w:top="124" w:right="299" w:bottom="887"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124" w:right="299" w:bottom="88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12" Type="http://schemas.openxmlformats.org/officeDocument/2006/relationships/hyperlink" Target="http://www.sec.gov/cgi-bin/browse-edgar?action=getcompany&amp;CIK=0001259927" TargetMode="External"/><Relationship Id="rId13" Type="http://schemas.openxmlformats.org/officeDocument/2006/relationships/hyperlink" Target="http://www.sec.gov/cgi-bin/browse-edgar?action=getcompany&amp;CIK=0001325702" TargetMode="External"/><Relationship Id="rId14" Type="http://schemas.openxmlformats.org/officeDocument/2006/relationships/hyperlink" Target="http://www.sec.gov/cgi-bin/browse-edgar?action=getcompany&amp;CIK=0001450166" TargetMode="External"/><Relationship Id="rId16" Type="http://schemas.openxmlformats.org/officeDocument/2006/relationships/hyperlink" Target="http://www.sec.gov/cgi-bin/browse-edgar?action=getcompany&amp;CIK=0001180908" TargetMode="External"/><Relationship Id="rId17" Type="http://schemas.openxmlformats.org/officeDocument/2006/relationships/hyperlink" Target="http://www.sec.gov/cgi-bin/browse-edgar?action=getcompany&amp;CIK=0001495478" TargetMode="External"/><Relationship Id="rId18" Type="http://schemas.openxmlformats.org/officeDocument/2006/relationships/hyperlink" Target="http://www.sec.gov/cgi-bin/browse-edgar?action=getcompany&amp;CIK=0001495476" TargetMode="External"/><Relationship Id="rId19" Type="http://schemas.openxmlformats.org/officeDocument/2006/relationships/hyperlink" Target="http://www.sec.gov/cgi-bin/browse-edgar?action=getcompany&amp;CIK=0001317338" TargetMode="External"/><Relationship Id="rId20" Type="http://schemas.openxmlformats.org/officeDocument/2006/relationships/hyperlink" Target="http://www.sec.gov/cgi-bin/browse-edgar?action=getcompany&amp;CIK=00013898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2019-12-24T02:52:34Z</dcterms:created>
  <dcterms:modified xsi:type="dcterms:W3CDTF">2019-12-24T02:52:34Z</dcterms:modified>
</cp:coreProperties>
</file>