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138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138160"/>
                    </a:xfrm>
                    <a:prstGeom prst="rect">
                      <a:avLst/>
                    </a:prstGeom>
                    <a:noFill/>
                  </pic:spPr>
                </pic:pic>
              </a:graphicData>
            </a:graphic>
          </wp:anchor>
        </w:drawing>
      </w:r>
    </w:p>
    <w:p>
      <w:pPr>
        <w:sectPr>
          <w:pgSz w:w="11900" w:h="16843"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gridSpan w:val="2"/>
            <w:vMerge w:val="restart"/>
          </w:tcPr>
          <w:p>
            <w:pPr>
              <w:spacing w:after="0"/>
              <w:rPr>
                <w:rFonts w:ascii="Arial" w:cs="Arial" w:eastAsia="Arial" w:hAnsi="Arial"/>
                <w:sz w:val="22"/>
                <w:szCs w:val="22"/>
                <w:color w:val="0000EE"/>
                <w:w w:val="91"/>
              </w:rPr>
            </w:pPr>
            <w:hyperlink r:id="rId11">
              <w:r>
                <w:rPr>
                  <w:rFonts w:ascii="Arial" w:cs="Arial" w:eastAsia="Arial" w:hAnsi="Arial"/>
                  <w:sz w:val="22"/>
                  <w:szCs w:val="22"/>
                  <w:color w:val="0000EE"/>
                  <w:w w:val="91"/>
                </w:rPr>
                <w:t>AVENUE PPF OPPORTUNITIES</w:t>
              </w:r>
            </w:hyperlink>
          </w:p>
        </w:tc>
        <w:tc>
          <w:tcPr>
            <w:tcW w:w="2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bottom w:val="single" w:sz="8" w:color="0000EE"/>
            </w:tcBorders>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FUND, L.P.</w:t>
              </w:r>
            </w:hyperlink>
          </w:p>
        </w:tc>
        <w:tc>
          <w:tcPr>
            <w:tcW w:w="1600" w:type="dxa"/>
            <w:vAlign w:val="bottom"/>
            <w:gridSpan w:val="2"/>
          </w:tcPr>
          <w:p>
            <w:pPr>
              <w:ind w:left="380"/>
              <w:spacing w:after="0"/>
              <w:rPr>
                <w:sz w:val="20"/>
                <w:szCs w:val="20"/>
                <w:color w:val="auto"/>
              </w:rPr>
            </w:pPr>
            <w:r>
              <w:rPr>
                <w:rFonts w:ascii="Arial" w:cs="Arial" w:eastAsia="Arial" w:hAnsi="Arial"/>
                <w:sz w:val="18"/>
                <w:szCs w:val="18"/>
                <w:color w:val="0000FF"/>
              </w:rPr>
              <w:t>03/31/2015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1480"/>
        <w:spacing w:after="0" w:line="268" w:lineRule="auto"/>
        <w:rPr>
          <w:sz w:val="20"/>
          <w:szCs w:val="20"/>
          <w:color w:val="auto"/>
        </w:rPr>
      </w:pPr>
      <w:r>
        <w:rPr>
          <w:rFonts w:ascii="Arial" w:cs="Arial" w:eastAsia="Arial" w:hAnsi="Arial"/>
          <w:sz w:val="18"/>
          <w:szCs w:val="18"/>
          <w:color w:val="0000FF"/>
        </w:rPr>
        <w:t>C/O AVENUE CAPITAL MANAGEMENT II, L.P.</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10022</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MAGNACHIP SEMICONDUCTOR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22"/>
        </w:trPr>
        <w:tc>
          <w:tcPr>
            <w:tcW w:w="184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22" w:lineRule="exact"/>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401" w:lineRule="exact"/>
        <w:rPr>
          <w:sz w:val="20"/>
          <w:szCs w:val="20"/>
          <w:color w:val="auto"/>
        </w:rPr>
      </w:pPr>
    </w:p>
    <w:p>
      <w:pPr>
        <w:sectPr>
          <w:pgSz w:w="11900" w:h="16843"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812,190</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2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6"/>
          </w:tcPr>
          <w:p>
            <w:pPr>
              <w:spacing w:after="0" w:line="224" w:lineRule="exact"/>
              <w:rPr>
                <w:rFonts w:ascii="Arial" w:cs="Arial" w:eastAsia="Arial" w:hAnsi="Arial"/>
                <w:sz w:val="22"/>
                <w:szCs w:val="22"/>
                <w:color w:val="0000EE"/>
                <w:w w:val="99"/>
              </w:rPr>
            </w:pPr>
            <w:hyperlink r:id="rId11">
              <w:r>
                <w:rPr>
                  <w:rFonts w:ascii="Arial" w:cs="Arial" w:eastAsia="Arial" w:hAnsi="Arial"/>
                  <w:sz w:val="22"/>
                  <w:szCs w:val="22"/>
                  <w:color w:val="0000EE"/>
                  <w:w w:val="99"/>
                </w:rPr>
                <w:t>AVENUE PPF OPPORTUNITIES FUND,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C/O AVENUE CAPITAL MANAGEMENT II,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9"/>
              </w:rPr>
              <w:t>399 PARK AVENUE, 6TH FLOOR</w:t>
            </w: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tcPr>
          <w:p>
            <w:pPr>
              <w:ind w:left="200"/>
              <w:spacing w:after="0"/>
              <w:rPr>
                <w:sz w:val="20"/>
                <w:szCs w:val="20"/>
                <w:color w:val="auto"/>
              </w:rPr>
            </w:pPr>
            <w:r>
              <w:rPr>
                <w:rFonts w:ascii="Arial" w:cs="Arial" w:eastAsia="Arial" w:hAnsi="Arial"/>
                <w:sz w:val="18"/>
                <w:szCs w:val="18"/>
                <w:color w:val="0000FF"/>
              </w:rPr>
              <w:t>NY</w:t>
            </w:r>
          </w:p>
        </w:tc>
        <w:tc>
          <w:tcPr>
            <w:tcW w:w="740" w:type="dxa"/>
            <w:vAlign w:val="bottom"/>
          </w:tcPr>
          <w:p>
            <w:pPr>
              <w:ind w:left="18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gridSpan w:val="2"/>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AVENUE PPF OPPORTUNITIES FUND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GENPAR, LLC</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2015, Avenue International Master, L.P. ("Avenue International") made a pro rata distribution of 812,190 shares of common stock, par value $0.01 per share, of MagnaChip Semiconductor Corporation (the "Issuer") to Avenue PPF Opportunities Fund, L.P. ("Avenue PPF Opportunities"), a fund formed for an indirect investor in Avenue International. Avenue PPF Opportunities Fund GenPar, LLC ("Avenue PPF Opportunities GenPar") is the general partner of Avenue PPF Opportunities and Avenue Capital Management II, L.P. ("Avenue Capital Management II") is the investment adviser of Avenue PPF Opportunities. Avenue Capital Management II GenPar, LLC ("GenPar") is the general partner of Avenue Capital Management II. Marc Lasry is the managing member of Avenue PPF Opportunities GenPar and GenPar. Avenue International, Avenue Capital Management II, GenPar and Mr. Lasry will be reporting this pro rata distribution separately on a Form 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43"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right="320"/>
        <w:spacing w:after="0" w:line="239" w:lineRule="auto"/>
        <w:rPr>
          <w:sz w:val="20"/>
          <w:szCs w:val="20"/>
          <w:color w:val="auto"/>
        </w:rPr>
      </w:pPr>
      <w:r>
        <w:rPr>
          <w:rFonts w:ascii="Arial" w:cs="Arial" w:eastAsia="Arial" w:hAnsi="Arial"/>
          <w:sz w:val="14"/>
          <w:szCs w:val="14"/>
          <w:color w:val="008000"/>
        </w:rPr>
        <w:t>For purposes of Section 16 of the Securities Exchange Act of 1934, as amended, the reporting persons are deemed directors by deputization by virtue of their representation on the Board of Directors of the Issuer.</w:t>
      </w:r>
    </w:p>
    <w:p>
      <w:pPr>
        <w:sectPr>
          <w:pgSz w:w="11900" w:h="16843"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AVENUE PPF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57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57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OPPORTUNITIES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3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134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L.P., By: Avenue PPF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0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70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Opportunities Fund GenPar,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6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Eric Ross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8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Name: Marc Lasry,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0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AVENUE PPF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57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578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OPPORTUNITIES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5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855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GENPAR, LLC,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5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Ross as attorney-in-fact,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1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9060" w:space="6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6"/>
          <w:szCs w:val="16"/>
          <w:color w:val="auto"/>
        </w:rPr>
        <w:t>Exhibit 99</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3 Joint Filer Information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Avenue PPF Opportunities Fund GenPar, LLC</w:t>
      </w:r>
    </w:p>
    <w:p>
      <w:pPr>
        <w:spacing w:after="0" w:line="216" w:lineRule="exact"/>
        <w:rPr>
          <w:sz w:val="20"/>
          <w:szCs w:val="20"/>
          <w:color w:val="auto"/>
        </w:rPr>
      </w:pPr>
    </w:p>
    <w:p>
      <w:pPr>
        <w:sectPr>
          <w:pgSz w:w="11900" w:h="16838" w:orient="portrait"/>
          <w:cols w:equalWidth="0" w:num="2">
            <w:col w:w="3400" w:space="720"/>
            <w:col w:w="609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Avenue Capital Management II, 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399 Park Avenue, 6th Floor</w:t>
      </w:r>
    </w:p>
    <w:p>
      <w:pPr>
        <w:spacing w:after="0" w:line="200" w:lineRule="exact"/>
        <w:rPr>
          <w:sz w:val="20"/>
          <w:szCs w:val="20"/>
          <w:color w:val="auto"/>
        </w:rPr>
      </w:pPr>
    </w:p>
    <w:p>
      <w:pPr>
        <w:sectPr>
          <w:pgSz w:w="11900" w:h="16838" w:orient="portrait"/>
          <w:cols w:equalWidth="0" w:num="2">
            <w:col w:w="3400" w:space="720"/>
            <w:col w:w="609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3/31/15</w:t>
      </w:r>
    </w:p>
    <w:sectPr>
      <w:pgSz w:w="11900" w:h="16838" w:orient="portrait"/>
      <w:cols w:equalWidth="0" w:num="2">
        <w:col w:w="3580" w:space="540"/>
        <w:col w:w="60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1" Type="http://schemas.openxmlformats.org/officeDocument/2006/relationships/hyperlink" Target="http://www.sec.govhttp//www.sec.gov/cgi-bin/browse-edgar?action=getcompany&amp;CIK=0001641985" TargetMode="External"/><Relationship Id="rId12" Type="http://schemas.openxmlformats.org/officeDocument/2006/relationships/hyperlink" Target="http://www.sec.gov/cgi-bin/browse-edgar?action=getcompany&amp;CIK=0001325702" TargetMode="External"/><Relationship Id="rId13" Type="http://schemas.openxmlformats.org/officeDocument/2006/relationships/hyperlink" Target="http://www.sec.gov/cgi-bin/browse-edgar?action=getcompany&amp;CIK=0001642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2019-12-08T12:58:46Z</dcterms:created>
  <dcterms:modified xsi:type="dcterms:W3CDTF">2019-12-08T12:58:46Z</dcterms:modified>
</cp:coreProperties>
</file>