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47241ddefa14a.htm"/>
      <w:bookmarkStart w:id="1" w:name="ksd147241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8-K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240" w:after="0"/>
        <w:jc w:val="center"/>
        <w:rPr>
          <w:rFonts w:ascii="Times New Roman" w:hAnsi="Times New Roman"/>
          <w:b/>
          <w:sz w:val="24"/>
        </w:rPr>
      </w:pPr>
      <w:r>
        <w:rPr>
          <w:rFonts w:ascii="Times New Roman" w:hAnsi="Times New Roman"/>
          <w:b/>
          <w:sz w:val="24"/>
        </w:rPr>
        <w:t xml:space="preserve">Date of report (Date of earliest event reported): March 26, 2021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Magnachip Semiconductor Corporation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001-34791</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83-0406195</w:t>
            </w:r>
          </w:p>
        </w:tc>
      </w:tr>
      <w:tr>
        <w:trPr/>
        <w:tc>
          <w:tcPr>
            <w:tcW w:w="346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c/o MagnaChip Semiconductor S.A.</w:t>
            </w:r>
          </w:p>
          <w:p>
            <w:pPr>
              <w:pStyle w:val="TableContents"/>
              <w:spacing w:before="0" w:after="0"/>
              <w:jc w:val="center"/>
              <w:rPr>
                <w:rFonts w:ascii="Times New Roman" w:hAnsi="Times New Roman"/>
                <w:b/>
                <w:sz w:val="20"/>
              </w:rPr>
            </w:pPr>
            <w:r>
              <w:rPr>
                <w:rFonts w:ascii="Times New Roman" w:hAnsi="Times New Roman"/>
                <w:b/>
                <w:sz w:val="20"/>
              </w:rPr>
              <w:t>1, Allée Scheffer, L-2520</w:t>
            </w:r>
          </w:p>
          <w:p>
            <w:pPr>
              <w:pStyle w:val="TableContents"/>
              <w:spacing w:before="0" w:after="20"/>
              <w:jc w:val="center"/>
              <w:rPr>
                <w:rFonts w:ascii="Times New Roman" w:hAnsi="Times New Roman"/>
                <w:b/>
                <w:sz w:val="20"/>
              </w:rPr>
            </w:pPr>
            <w:r>
              <w:rPr>
                <w:rFonts w:ascii="Times New Roman" w:hAnsi="Times New Roman"/>
                <w:b/>
                <w:sz w:val="20"/>
              </w:rPr>
              <w:t>Luxembourg, Grand Duchy of Luxembourg</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jc w:val="center"/>
              <w:rPr>
                <w:b/>
              </w:rPr>
            </w:pPr>
            <w:r>
              <w:rPr>
                <w:b/>
              </w:rPr>
              <w:t>Not Applicable</w:t>
            </w:r>
          </w:p>
        </w:tc>
      </w:tr>
      <w:tr>
        <w:trPr/>
        <w:tc>
          <w:tcPr>
            <w:tcW w:w="6837" w:type="dxa"/>
            <w:gridSpan w:val="3"/>
            <w:tcBorders/>
            <w:shd w:fill="auto" w:val="clear"/>
          </w:tcPr>
          <w:p>
            <w:pPr>
              <w:pStyle w:val="TableContents"/>
              <w:spacing w:before="0" w:after="283"/>
              <w:jc w:val="center"/>
              <w:rPr>
                <w:b/>
              </w:rPr>
            </w:pPr>
            <w:r>
              <w:rPr>
                <w:b/>
              </w:rPr>
              <w:t>(Address of Principal Executive Offices)</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(Zip Code)</w:t>
            </w:r>
          </w:p>
        </w:tc>
      </w:tr>
    </w:tbl>
    <w:p>
      <w:pPr>
        <w:pStyle w:val="TextBody"/>
        <w:spacing w:before="240" w:after="0"/>
        <w:jc w:val="center"/>
        <w:rPr>
          <w:rFonts w:ascii="Times New Roman" w:hAnsi="Times New Roman"/>
          <w:b/>
          <w:sz w:val="20"/>
        </w:rPr>
      </w:pPr>
      <w:r>
        <w:rPr>
          <w:rFonts w:ascii="Times New Roman" w:hAnsi="Times New Roman"/>
          <w:b/>
          <w:sz w:val="20"/>
        </w:rPr>
        <w:t xml:space="preserve">Registrants telephone number, including area code: (352) 45-62-62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100" w:type="dxa"/>
            <w:tcBorders/>
            <w:shd w:fill="auto" w:val="clear"/>
            <w:vAlign w:val="bottom"/>
          </w:tcPr>
          <w:p>
            <w:pPr>
              <w:pStyle w:val="TableContents"/>
              <w:spacing w:before="0" w:after="283"/>
              <w:rPr/>
            </w:pPr>
            <w:r>
              <w:rPr/>
              <w:t> </w:t>
            </w:r>
          </w:p>
        </w:tc>
        <w:tc>
          <w:tcPr>
            <w:tcW w:w="3267"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100" w:type="dxa"/>
            <w:tcBorders/>
            <w:shd w:fill="auto" w:val="clear"/>
            <w:vAlign w:val="bottom"/>
          </w:tcPr>
          <w:p>
            <w:pPr>
              <w:pStyle w:val="TableContents"/>
              <w:spacing w:before="0" w:after="283"/>
              <w:rPr/>
            </w:pPr>
            <w:r>
              <w:rPr/>
              <w:t> </w:t>
            </w:r>
          </w:p>
        </w:tc>
        <w:tc>
          <w:tcPr>
            <w:tcW w:w="326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Name of each exchange on which registered</w:t>
            </w:r>
          </w:p>
        </w:tc>
      </w:tr>
      <w:tr>
        <w:trPr/>
        <w:tc>
          <w:tcPr>
            <w:tcW w:w="3471" w:type="dxa"/>
            <w:tcBorders/>
            <w:shd w:fill="auto" w:val="clear"/>
          </w:tcPr>
          <w:p>
            <w:pPr>
              <w:pStyle w:val="TableContents"/>
              <w:spacing w:before="0" w:after="283"/>
              <w:jc w:val="center"/>
              <w:rPr>
                <w:b/>
              </w:rPr>
            </w:pPr>
            <w:r>
              <w:rPr>
                <w:b/>
              </w:rPr>
              <w:t>Common Stock, par value $0.01 per share</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MX</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New York Stock Exchange</w:t>
            </w:r>
          </w:p>
        </w:tc>
      </w:tr>
    </w:tbl>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spacing w:before="240" w:after="0"/>
        <w:jc w:val="left"/>
        <w:rPr>
          <w:rFonts w:ascii="Times New Roman" w:hAnsi="Times New Roman"/>
          <w:sz w:val="20"/>
        </w:rPr>
      </w:pPr>
      <w:r>
        <w:rPr>
          <w:rFonts w:ascii="Times New Roman" w:hAnsi="Times New Roman"/>
          <w:sz w:val="20"/>
        </w:rPr>
        <w:t xml:space="preserve">Emerging growth company  ☐ </w:t>
      </w:r>
    </w:p>
    <w:p>
      <w:pPr>
        <w:pStyle w:val="TextBody"/>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8.01.</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spacing w:before="120" w:after="0"/>
        <w:jc w:val="left"/>
        <w:rPr>
          <w:rFonts w:ascii="Times New Roman" w:hAnsi="Times New Roman"/>
          <w:sz w:val="20"/>
        </w:rPr>
      </w:pPr>
      <w:r>
        <w:rPr>
          <w:rFonts w:ascii="Times New Roman" w:hAnsi="Times New Roman"/>
          <w:sz w:val="20"/>
        </w:rPr>
        <w:t xml:space="preserve">On March 26, 2021, Magnachip Semiconductor Corporation (Magnachip or the Company) issued a press release announcing the execution of an Agreement and Plan of Merger (Agreement), dated as of March 25, 2021, by and among the Company, South Dearborn Limited (Parent) and Michigan Merger Sub, Inc. (Merger Sub). A copy of the press release is attached as Exhibit 99.1 to this Current Report on Form 8-K and is incorporated herein by reference.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Parent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Agreement;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Times New Roman" w:hAnsi="Times New Roman"/>
          <w:sz w:val="20"/>
          <w:u w:val="single"/>
        </w:rPr>
        <w:t>www.magnachip.com</w:t>
      </w:r>
      <w:r>
        <w:rPr>
          <w:rFonts w:ascii="Times New Roman" w:hAnsi="Times New Roman"/>
          <w:sz w:val="20"/>
        </w:rPr>
        <w:t xml:space="preserve"> or </w:t>
      </w:r>
      <w:r>
        <w:rPr>
          <w:rFonts w:ascii="Times New Roman" w:hAnsi="Times New Roman"/>
          <w:sz w:val="20"/>
          <w:u w:val="single"/>
        </w:rPr>
        <w:t>www.sec.gov</w:t>
      </w:r>
      <w:r>
        <w:rPr>
          <w:rFonts w:ascii="Times New Roman" w:hAnsi="Times New Roman"/>
          <w:sz w:val="20"/>
        </w:rPr>
        <w:t xml:space="preserve">. Forward-looking statements speak only as of the date they are made, and the Company undertakes no obligation to update them in light of new information or future events. </w:t>
      </w:r>
    </w:p>
    <w:p>
      <w:pPr>
        <w:pStyle w:val="TextBody"/>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spacing w:before="120" w:after="0"/>
        <w:jc w:val="left"/>
        <w:rPr>
          <w:rFonts w:ascii="Times New Roman" w:hAnsi="Times New Roman"/>
          <w:sz w:val="20"/>
        </w:rPr>
      </w:pPr>
      <w:r>
        <w:rPr>
          <w:rFonts w:ascii="Times New Roman" w:hAnsi="Times New Roman"/>
          <w:sz w:val="20"/>
        </w:rPr>
        <w:t xml:space="preserve">This communication is being made in respect of the proposed transaction involving Magnachip and Parent. In connection with the proposed transaction, Magnachip intends to file relevant materials with the Securities and Exchange Commission (the SEC), including a proxy statement on Schedule 14A. Promptly after filing its definitive proxy statement with the SEC, Magnachip will mail or otherwise provide the definitive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Magnachip with the SEC, may be obtained free of charge at the SECs website at </w:t>
      </w:r>
      <w:r>
        <w:rPr>
          <w:rFonts w:ascii="Times New Roman" w:hAnsi="Times New Roman"/>
          <w:sz w:val="20"/>
          <w:u w:val="single"/>
        </w:rPr>
        <w:t>www.sec.gov</w:t>
      </w:r>
      <w:r>
        <w:rPr>
          <w:rFonts w:ascii="Times New Roman" w:hAnsi="Times New Roman"/>
          <w:sz w:val="20"/>
        </w:rPr>
        <w:t xml:space="preserve"> or at Magnachips website at </w:t>
      </w:r>
      <w:r>
        <w:rPr>
          <w:rFonts w:ascii="Times New Roman" w:hAnsi="Times New Roman"/>
          <w:sz w:val="20"/>
          <w:u w:val="single"/>
        </w:rPr>
        <w:t>www.magnachip.com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spacing w:before="120" w:after="0"/>
        <w:jc w:val="left"/>
        <w:rPr>
          <w:rFonts w:ascii="Times New Roman" w:hAnsi="Times New Roman"/>
          <w:sz w:val="20"/>
        </w:rPr>
      </w:pPr>
      <w:r>
        <w:rPr>
          <w:rFonts w:ascii="Times New Roman" w:hAnsi="Times New Roman"/>
          <w:sz w:val="20"/>
        </w:rPr>
        <w:t xml:space="preserve">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Magnachips Annual Report on Form 10-K for the fiscal year ended December 31, 2020, filed with the SEC on March 9, 2021 and the definitive proxy statement on Schedule 14A for Magnachips most recent Annual Meeting of Shareholders held in June 2020, which was filed with the SEC on April 29, 2020.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Times New Roman" w:hAnsi="Times New Roman"/>
          <w:sz w:val="20"/>
          <w:u w:val="single"/>
        </w:rPr>
        <w:t>www.sec.gov</w:t>
      </w:r>
      <w:r>
        <w:rPr>
          <w:rFonts w:ascii="Times New Roman" w:hAnsi="Times New Roman"/>
          <w:sz w:val="20"/>
        </w:rPr>
        <w:t xml:space="preserve"> or at Magnachips website at </w:t>
      </w:r>
      <w:r>
        <w:rPr>
          <w:rFonts w:ascii="Times New Roman" w:hAnsi="Times New Roman"/>
          <w:sz w:val="20"/>
          <w:u w:val="single"/>
        </w:rPr>
        <w:t>www.magnachip.com</w:t>
      </w:r>
      <w:r>
        <w:rPr>
          <w:rFonts w:ascii="Times New Roman" w:hAnsi="Times New Roman"/>
          <w:sz w:val="20"/>
        </w:rPr>
        <w:t xml:space="preserve">.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99"/>
        <w:gridCol w:w="9206"/>
      </w:tblGrid>
      <w:tr>
        <w:trPr/>
        <w:tc>
          <w:tcPr>
            <w:tcW w:w="999" w:type="dxa"/>
            <w:tcBorders/>
            <w:shd w:fill="auto" w:val="clear"/>
          </w:tcPr>
          <w:p>
            <w:pPr>
              <w:pStyle w:val="TableContents"/>
              <w:spacing w:before="0" w:after="283"/>
              <w:jc w:val="left"/>
              <w:rPr>
                <w:b/>
              </w:rPr>
            </w:pPr>
            <w:r>
              <w:rPr>
                <w:b/>
              </w:rPr>
              <w:t>Item 9.01.</w:t>
            </w:r>
          </w:p>
        </w:tc>
        <w:tc>
          <w:tcPr>
            <w:tcW w:w="920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(d)</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exhibit is furnished as part of this report: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4"/>
        <w:gridCol w:w="514"/>
        <w:gridCol w:w="8977"/>
      </w:tblGrid>
      <w:tr>
        <w:trPr/>
        <w:tc>
          <w:tcPr>
            <w:tcW w:w="7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bottom"/>
          </w:tcPr>
          <w:p>
            <w:pPr>
              <w:pStyle w:val="TableContents"/>
              <w:spacing w:before="0" w:after="283"/>
              <w:rPr>
                <w:sz w:val="4"/>
                <w:szCs w:val="4"/>
              </w:rPr>
            </w:pPr>
            <w:r>
              <w:rPr>
                <w:sz w:val="4"/>
                <w:szCs w:val="4"/>
              </w:rPr>
            </w:r>
          </w:p>
        </w:tc>
        <w:tc>
          <w:tcPr>
            <w:tcW w:w="8977" w:type="dxa"/>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514" w:type="dxa"/>
            <w:tcBorders/>
            <w:shd w:fill="auto" w:val="clear"/>
            <w:vAlign w:val="bottom"/>
          </w:tcPr>
          <w:p>
            <w:pPr>
              <w:pStyle w:val="TableContents"/>
              <w:spacing w:before="0" w:after="283"/>
              <w:rPr/>
            </w:pPr>
            <w:r>
              <w:rPr/>
              <w:t>  </w:t>
            </w:r>
          </w:p>
        </w:tc>
        <w:tc>
          <w:tcPr>
            <w:tcW w:w="8977"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rPr/>
            </w:pPr>
            <w:r>
              <w:rPr/>
              <w:t>99.1</w:t>
            </w:r>
          </w:p>
        </w:tc>
        <w:tc>
          <w:tcPr>
            <w:tcW w:w="514" w:type="dxa"/>
            <w:tcBorders/>
            <w:shd w:fill="auto" w:val="clear"/>
            <w:vAlign w:val="bottom"/>
          </w:tcPr>
          <w:p>
            <w:pPr>
              <w:pStyle w:val="TableContents"/>
              <w:spacing w:before="0" w:after="283"/>
              <w:rPr/>
            </w:pPr>
            <w:r>
              <w:rPr/>
              <w:t>  </w:t>
            </w:r>
          </w:p>
        </w:tc>
        <w:tc>
          <w:tcPr>
            <w:tcW w:w="8977" w:type="dxa"/>
            <w:tcBorders/>
            <w:shd w:fill="auto" w:val="clear"/>
          </w:tcPr>
          <w:p>
            <w:pPr>
              <w:pStyle w:val="TableContents"/>
              <w:spacing w:before="0" w:after="283"/>
              <w:rPr/>
            </w:pPr>
            <w:r>
              <w:rPr/>
              <w:t>Press Release of Magnachip Semiconductor Corporation, dated March 26, 2021</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rPr/>
            </w:pPr>
            <w:r>
              <w:rPr/>
              <w:t>104</w:t>
            </w:r>
          </w:p>
        </w:tc>
        <w:tc>
          <w:tcPr>
            <w:tcW w:w="514" w:type="dxa"/>
            <w:tcBorders/>
            <w:shd w:fill="auto" w:val="clear"/>
            <w:vAlign w:val="bottom"/>
          </w:tcPr>
          <w:p>
            <w:pPr>
              <w:pStyle w:val="TableContents"/>
              <w:spacing w:before="0" w:after="283"/>
              <w:rPr/>
            </w:pPr>
            <w:r>
              <w:rPr/>
              <w:t>  </w:t>
            </w:r>
          </w:p>
        </w:tc>
        <w:tc>
          <w:tcPr>
            <w:tcW w:w="8977" w:type="dxa"/>
            <w:tcBorders/>
            <w:shd w:fill="auto" w:val="clear"/>
          </w:tcPr>
          <w:p>
            <w:pPr>
              <w:pStyle w:val="TableContents"/>
              <w:spacing w:before="0" w:after="283"/>
              <w:rPr/>
            </w:pPr>
            <w:r>
              <w:rPr/>
              <w:t>Cover Page Interactive Data File (embedded within the Inline XBRL document)</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983"/>
        <w:gridCol w:w="99"/>
        <w:gridCol w:w="439"/>
        <w:gridCol w:w="99"/>
        <w:gridCol w:w="5585"/>
      </w:tblGrid>
      <w:tr>
        <w:trPr/>
        <w:tc>
          <w:tcPr>
            <w:tcW w:w="398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5585" w:type="dxa"/>
            <w:tcBorders/>
            <w:shd w:fill="auto" w:val="clear"/>
            <w:vAlign w:val="center"/>
          </w:tcPr>
          <w:p>
            <w:pPr>
              <w:pStyle w:val="TableContents"/>
              <w:spacing w:before="0" w:after="283"/>
              <w:rPr>
                <w:sz w:val="4"/>
                <w:szCs w:val="4"/>
              </w:rPr>
            </w:pPr>
            <w:r>
              <w:rPr>
                <w:sz w:val="4"/>
                <w:szCs w:val="4"/>
              </w:rPr>
            </w:r>
          </w:p>
        </w:tc>
      </w:tr>
      <w:tr>
        <w:trPr/>
        <w:tc>
          <w:tcPr>
            <w:tcW w:w="3983" w:type="dxa"/>
            <w:tcBorders/>
            <w:shd w:fill="auto" w:val="clea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pPr>
            <w:r>
              <w:rPr/>
              <w:t> </w:t>
            </w:r>
          </w:p>
        </w:tc>
        <w:tc>
          <w:tcPr>
            <w:tcW w:w="6123" w:type="dxa"/>
            <w:gridSpan w:val="3"/>
            <w:tcBorders/>
            <w:shd w:fill="auto" w:val="clear"/>
            <w:vAlign w:val="bottom"/>
          </w:tcPr>
          <w:p>
            <w:pPr>
              <w:pStyle w:val="TableContents"/>
              <w:spacing w:before="0" w:after="283"/>
              <w:rPr/>
            </w:pPr>
            <w:r>
              <w:rPr/>
              <w:t>MAGNACHIP SEMICONDUCTOR CORPORATION</w:t>
            </w:r>
          </w:p>
        </w:tc>
      </w:tr>
      <w:tr>
        <w:trPr>
          <w:trHeight w:val="240" w:hRule="atLeast"/>
        </w:trPr>
        <w:tc>
          <w:tcPr>
            <w:tcW w:w="3983" w:type="dxa"/>
            <w:tcBorders/>
            <w:shd w:fill="auto" w:val="clear"/>
            <w:vAlign w:val="center"/>
          </w:tcPr>
          <w:p>
            <w:pPr>
              <w:pStyle w:val="TableContents"/>
              <w:spacing w:before="0" w:after="283"/>
              <w:rPr>
                <w:sz w:val="4"/>
                <w:szCs w:val="4"/>
              </w:rPr>
            </w:pPr>
            <w:r>
              <w:rPr>
                <w:sz w:val="4"/>
                <w:szCs w:val="4"/>
              </w:rPr>
            </w:r>
          </w:p>
        </w:tc>
        <w:tc>
          <w:tcPr>
            <w:tcW w:w="538" w:type="dxa"/>
            <w:gridSpan w:val="2"/>
            <w:tcBorders/>
            <w:shd w:fill="auto" w:val="clear"/>
            <w:vAlign w:val="center"/>
          </w:tcPr>
          <w:p>
            <w:pPr>
              <w:pStyle w:val="TableContents"/>
              <w:spacing w:before="0" w:after="283"/>
              <w:rPr>
                <w:sz w:val="4"/>
                <w:szCs w:val="4"/>
              </w:rPr>
            </w:pPr>
            <w:r>
              <w:rPr>
                <w:sz w:val="4"/>
                <w:szCs w:val="4"/>
              </w:rPr>
            </w:r>
          </w:p>
        </w:tc>
        <w:tc>
          <w:tcPr>
            <w:tcW w:w="5684" w:type="dxa"/>
            <w:gridSpan w:val="2"/>
            <w:tcBorders/>
            <w:shd w:fill="auto" w:val="clear"/>
            <w:vAlign w:val="center"/>
          </w:tcPr>
          <w:p>
            <w:pPr>
              <w:pStyle w:val="TableContents"/>
              <w:spacing w:before="0" w:after="283"/>
              <w:rPr>
                <w:sz w:val="4"/>
                <w:szCs w:val="4"/>
              </w:rPr>
            </w:pPr>
            <w:r>
              <w:rPr>
                <w:sz w:val="4"/>
                <w:szCs w:val="4"/>
              </w:rPr>
            </w:r>
          </w:p>
        </w:tc>
      </w:tr>
      <w:tr>
        <w:trPr/>
        <w:tc>
          <w:tcPr>
            <w:tcW w:w="3983" w:type="dxa"/>
            <w:tcBorders/>
            <w:shd w:fill="auto" w:val="clear"/>
          </w:tcPr>
          <w:p>
            <w:pPr>
              <w:pStyle w:val="TableContents"/>
              <w:spacing w:before="0" w:after="283"/>
              <w:rPr/>
            </w:pPr>
            <w:r>
              <w:rPr/>
              <w:t>Dated: March 26, 2021</w:t>
            </w:r>
          </w:p>
        </w:tc>
        <w:tc>
          <w:tcPr>
            <w:tcW w:w="99"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By:</w:t>
            </w:r>
          </w:p>
        </w:tc>
        <w:tc>
          <w:tcPr>
            <w:tcW w:w="99" w:type="dxa"/>
            <w:tcBorders/>
            <w:shd w:fill="auto" w:val="clear"/>
            <w:vAlign w:val="bottom"/>
          </w:tcPr>
          <w:p>
            <w:pPr>
              <w:pStyle w:val="TableContents"/>
              <w:spacing w:before="0" w:after="283"/>
              <w:rPr/>
            </w:pPr>
            <w:r>
              <w:rPr/>
              <w:t> </w:t>
            </w:r>
          </w:p>
        </w:tc>
        <w:tc>
          <w:tcPr>
            <w:tcW w:w="5585"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Theodore Kim</w:t>
            </w:r>
          </w:p>
        </w:tc>
      </w:tr>
      <w:tr>
        <w:trPr/>
        <w:tc>
          <w:tcPr>
            <w:tcW w:w="3983" w:type="dxa"/>
            <w:tcBorders/>
            <w:shd w:fill="auto" w:val="clea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pPr>
            <w:r>
              <w:rPr/>
              <w:t> </w:t>
            </w:r>
          </w:p>
        </w:tc>
        <w:tc>
          <w:tcPr>
            <w:tcW w:w="5585" w:type="dxa"/>
            <w:tcBorders/>
            <w:shd w:fill="auto" w:val="clear"/>
            <w:vAlign w:val="bottom"/>
          </w:tcPr>
          <w:p>
            <w:pPr>
              <w:pStyle w:val="TableContents"/>
              <w:spacing w:before="0" w:after="283"/>
              <w:rPr/>
            </w:pPr>
            <w:r>
              <w:rPr/>
              <w:t>Theodore Kim</w:t>
            </w:r>
          </w:p>
        </w:tc>
      </w:tr>
      <w:tr>
        <w:trPr/>
        <w:tc>
          <w:tcPr>
            <w:tcW w:w="3983" w:type="dxa"/>
            <w:tcBorders/>
            <w:shd w:fill="auto" w:val="clea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pPr>
            <w:r>
              <w:rPr/>
              <w:t> </w:t>
            </w:r>
          </w:p>
        </w:tc>
        <w:tc>
          <w:tcPr>
            <w:tcW w:w="5585" w:type="dxa"/>
            <w:tcBorders/>
            <w:shd w:fill="auto" w:val="clear"/>
            <w:vAlign w:val="bottom"/>
          </w:tcPr>
          <w:p>
            <w:pPr>
              <w:pStyle w:val="TableContents"/>
              <w:spacing w:before="0" w:after="283"/>
              <w:rPr/>
            </w:pPr>
            <w:r>
              <w:rPr/>
              <w:t>Chief Compliance Officer, General Counsel and Secretary</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sz w:val="20"/>
        </w:rPr>
      </w:pPr>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242887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8875" cy="476250"/>
                    </a:xfrm>
                    <a:prstGeom prst="rect">
                      <a:avLst/>
                    </a:prstGeom>
                  </pic:spPr>
                </pic:pic>
              </a:graphicData>
            </a:graphic>
          </wp:inline>
        </w:drawing>
      </w:r>
      <w:r>
        <w:rPr/>
        <w:t xml:space="preserve"> </w:t>
      </w:r>
    </w:p>
    <w:p>
      <w:pPr>
        <w:pStyle w:val="TextBody"/>
        <w:spacing w:before="240" w:after="0"/>
        <w:jc w:val="right"/>
        <w:rPr>
          <w:rFonts w:ascii="Times New Roman" w:hAnsi="Times New Roman"/>
          <w:b/>
          <w:sz w:val="20"/>
        </w:rPr>
      </w:pPr>
      <w:r>
        <w:rPr>
          <w:rFonts w:ascii="Times New Roman" w:hAnsi="Times New Roman"/>
          <w:b/>
          <w:sz w:val="20"/>
        </w:rPr>
        <w:t xml:space="preserve">Press Release </w:t>
      </w:r>
    </w:p>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Magnachip Enters into Definitive Agreement with Wise Road Capital in a Take Private Transaction Valued at $1.4 Billion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Magnachip shareholders to receive $29.00 in cash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Represents a 54% premium to Magnachips unaffected closing price of $18.83 on March 2, 2021 and a 75% premium to the 3-month volume-weighted average share price </w:t>
            </w:r>
          </w:p>
        </w:tc>
      </w:tr>
    </w:tbl>
    <w:p>
      <w:pPr>
        <w:pStyle w:val="TextBody"/>
        <w:spacing w:before="240" w:after="0"/>
        <w:jc w:val="left"/>
        <w:rPr>
          <w:rFonts w:ascii="Times New Roman" w:hAnsi="Times New Roman"/>
          <w:sz w:val="20"/>
        </w:rPr>
      </w:pPr>
      <w:r>
        <w:rPr>
          <w:rFonts w:ascii="Times New Roman" w:hAnsi="Times New Roman"/>
          <w:b/>
          <w:sz w:val="20"/>
        </w:rPr>
        <w:t>SEOUL, South Korea, March</w:t>
      </w:r>
      <w:r>
        <w:rPr>
          <w:rFonts w:ascii="Times New Roman" w:hAnsi="Times New Roman"/>
          <w:sz w:val="20"/>
        </w:rPr>
        <w:t> </w:t>
      </w:r>
      <w:r>
        <w:rPr>
          <w:rFonts w:ascii="Times New Roman" w:hAnsi="Times New Roman"/>
          <w:b/>
          <w:sz w:val="20"/>
        </w:rPr>
        <w:t>26, 2021</w:t>
      </w:r>
      <w:r>
        <w:rPr>
          <w:rFonts w:ascii="Times New Roman" w:hAnsi="Times New Roman"/>
          <w:sz w:val="20"/>
        </w:rPr>
        <w:t xml:space="preserve">  Magnachip Semiconductor Corporation (Magnachip or the Company) (NYSE: MX), the South Korean leader in display and power solutions, today announced that it has entered into a definitive agreement (the Agreement) with South Dearborn Limited, a company incorporated in the Cayman Islands, and Michigan Merger Sub, Inc., a Delaware corporation, which are investment vehicles established by Wise Road Capital LTD and certain of its limited partners (Wise Road). </w:t>
      </w:r>
    </w:p>
    <w:p>
      <w:pPr>
        <w:pStyle w:val="TextBody"/>
        <w:spacing w:before="240" w:after="0"/>
        <w:jc w:val="left"/>
        <w:rPr>
          <w:rFonts w:ascii="Times New Roman" w:hAnsi="Times New Roman"/>
          <w:sz w:val="20"/>
        </w:rPr>
      </w:pPr>
      <w:r>
        <w:rPr>
          <w:rFonts w:ascii="Times New Roman" w:hAnsi="Times New Roman"/>
          <w:sz w:val="20"/>
        </w:rPr>
        <w:t xml:space="preserve">Under the terms of the Agreement, Magnachip shareholders will receive $29.00 in cash for each share of Magnachips common stock they currently hold, representing a premium of approximately 75% to Magnachips 3-month volume-weighted average share price and approximately a 54% premium to the unaffected closing stock price on March 2, 2021, the last trading day before media reports of third-party interest in acquiring Magnachip. The all-cash transaction has an equity value of approximately $1.4 billion. The transaction is fully backed by equity commitments and not contingent on any financing conditions. </w:t>
      </w:r>
    </w:p>
    <w:p>
      <w:pPr>
        <w:pStyle w:val="TextBody"/>
        <w:spacing w:before="240" w:after="0"/>
        <w:jc w:val="left"/>
        <w:rPr>
          <w:rFonts w:ascii="Times New Roman" w:hAnsi="Times New Roman"/>
          <w:sz w:val="20"/>
        </w:rPr>
      </w:pPr>
      <w:r>
        <w:rPr>
          <w:rFonts w:ascii="Times New Roman" w:hAnsi="Times New Roman"/>
          <w:sz w:val="20"/>
        </w:rPr>
        <w:t xml:space="preserve">Following the closing of the transaction, Magnachips management team and employees are expected to continue in their roles, and the Company will remain based in Cheongju, Seoul and Gumi, South Korea. The transaction is expected to be seamless for customers and employees across Magnachips businesses. </w:t>
      </w:r>
    </w:p>
    <w:p>
      <w:pPr>
        <w:pStyle w:val="TextBody"/>
        <w:spacing w:before="240" w:after="0"/>
        <w:jc w:val="left"/>
        <w:rPr>
          <w:rFonts w:ascii="Times New Roman" w:hAnsi="Times New Roman"/>
          <w:sz w:val="20"/>
        </w:rPr>
      </w:pPr>
      <w:r>
        <w:rPr>
          <w:rFonts w:ascii="Times New Roman" w:hAnsi="Times New Roman"/>
          <w:sz w:val="20"/>
        </w:rPr>
        <w:t xml:space="preserve">Magnachips Chief Executive Officer, YJ Kim, said: This transaction is in the best interests of all of our stakeholders, including shareholders, customers and employees. It will provide an excellent opportunity to accelerate our MX 3.0 growth strategy. Given their deep industry expertise, Wise Road Capital is an ideal partner for Magnachip, and we look forward to working with them as we chart the next phase for our company. We remain grateful to our customers for their trust and to our fellow employees for their unwavering commitment to delivering industry-leading products to customers worldwide.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144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4475" cy="33337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Wise Road intends to work together with Magnachips management team to pursue the next step in the Companys growth strategy and transform the Company into a true industry leader in the global display and power markets. Through its additional investment and global network, Wise Road will help Magnachips growth internationally. Wise Road remains absolutely committed to providing world-class products and services to the Companys customers, while creating a stable environment for the companys employees to grow and thrive. </w:t>
      </w:r>
    </w:p>
    <w:p>
      <w:pPr>
        <w:pStyle w:val="TextBody"/>
        <w:spacing w:before="240" w:after="0"/>
        <w:jc w:val="left"/>
        <w:rPr>
          <w:rFonts w:ascii="Times New Roman" w:hAnsi="Times New Roman"/>
          <w:sz w:val="20"/>
        </w:rPr>
      </w:pPr>
      <w:r>
        <w:rPr>
          <w:rFonts w:ascii="Times New Roman" w:hAnsi="Times New Roman"/>
          <w:sz w:val="20"/>
        </w:rPr>
        <w:t xml:space="preserve">The Board of Directors of Magnachip has unanimously approved the Agreement and recommends that Magnachip shareholders vote in favor of the transaction. Details of the transaction and the Agreement are included with the Companys current report on Form 8-K, which will be filed with the United States Securities and Exchange Commission in due course. </w:t>
      </w:r>
    </w:p>
    <w:p>
      <w:pPr>
        <w:pStyle w:val="TextBody"/>
        <w:spacing w:before="240" w:after="0"/>
        <w:jc w:val="left"/>
        <w:rPr>
          <w:rFonts w:ascii="Times New Roman" w:hAnsi="Times New Roman"/>
          <w:sz w:val="20"/>
        </w:rPr>
      </w:pPr>
      <w:r>
        <w:rPr>
          <w:rFonts w:ascii="Times New Roman" w:hAnsi="Times New Roman"/>
          <w:sz w:val="20"/>
        </w:rPr>
        <w:t xml:space="preserve">The transaction is expected to close during the second half of 2021, subject to customary closing conditions, including the receipt of shareholder and regulatory approvals. </w:t>
      </w:r>
    </w:p>
    <w:p>
      <w:pPr>
        <w:pStyle w:val="TextBody"/>
        <w:spacing w:before="360" w:after="0"/>
        <w:jc w:val="left"/>
        <w:rPr>
          <w:rFonts w:ascii="Times New Roman" w:hAnsi="Times New Roman"/>
          <w:b/>
          <w:sz w:val="20"/>
        </w:rPr>
      </w:pPr>
      <w:r>
        <w:rPr>
          <w:rFonts w:ascii="Times New Roman" w:hAnsi="Times New Roman"/>
          <w:b/>
          <w:sz w:val="20"/>
        </w:rPr>
        <w:t xml:space="preserve">Advisors </w:t>
      </w:r>
    </w:p>
    <w:p>
      <w:pPr>
        <w:pStyle w:val="TextBody"/>
        <w:spacing w:before="120" w:after="0"/>
        <w:jc w:val="left"/>
        <w:rPr>
          <w:rFonts w:ascii="Times New Roman" w:hAnsi="Times New Roman"/>
          <w:sz w:val="20"/>
        </w:rPr>
      </w:pPr>
      <w:r>
        <w:rPr>
          <w:rFonts w:ascii="Times New Roman" w:hAnsi="Times New Roman"/>
          <w:sz w:val="20"/>
        </w:rPr>
        <w:t xml:space="preserve">J.P. Morgan Securities LLC served as exclusive financial advisor and Paul, Weiss, Rifkind, Wharton &amp; Garrison LLP, Richards, Layton &amp; Finger, PA and Kim &amp; Chang served as legal counsel to Magnachip. BMO Capital Markets Corp. served as exclusive financial advisor and Hogan Lovells US LLP and Lee &amp; Ko served as legal counsel to Wise Road Capital LTD. </w:t>
      </w:r>
    </w:p>
    <w:p>
      <w:pPr>
        <w:pStyle w:val="TextBody"/>
        <w:spacing w:before="360" w:after="0"/>
        <w:jc w:val="left"/>
        <w:rPr>
          <w:rFonts w:ascii="Times New Roman" w:hAnsi="Times New Roman"/>
          <w:b/>
          <w:sz w:val="20"/>
        </w:rPr>
      </w:pPr>
      <w:r>
        <w:rPr>
          <w:rFonts w:ascii="Times New Roman" w:hAnsi="Times New Roman"/>
          <w:b/>
          <w:sz w:val="20"/>
        </w:rPr>
        <w:t xml:space="preserve">About Magnachip Semiconductor Corporation </w:t>
      </w:r>
    </w:p>
    <w:p>
      <w:pPr>
        <w:pStyle w:val="TextBody"/>
        <w:spacing w:before="120" w:after="0"/>
        <w:jc w:val="left"/>
        <w:rPr>
          <w:rFonts w:ascii="Times New Roman" w:hAnsi="Times New Roman"/>
          <w:sz w:val="20"/>
        </w:rPr>
      </w:pPr>
      <w:r>
        <w:rPr>
          <w:rFonts w:ascii="Times New Roman" w:hAnsi="Times New Roman"/>
          <w:sz w:val="20"/>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Times New Roman" w:hAnsi="Times New Roman"/>
          <w:sz w:val="20"/>
          <w:u w:val="single"/>
        </w:rPr>
        <w:t>www.magnachip.com</w:t>
      </w:r>
      <w:r>
        <w:rPr>
          <w:rFonts w:ascii="Times New Roman" w:hAnsi="Times New Roman"/>
          <w:sz w:val="20"/>
        </w:rPr>
        <w:t xml:space="preserve">. Information on or accessible through Magnachips website is not a part of, and is not incorporated into, this release. </w:t>
      </w:r>
    </w:p>
    <w:p>
      <w:pPr>
        <w:pStyle w:val="TextBody"/>
        <w:spacing w:before="360" w:after="0"/>
        <w:jc w:val="left"/>
        <w:rPr>
          <w:rFonts w:ascii="Times New Roman" w:hAnsi="Times New Roman"/>
          <w:b/>
          <w:sz w:val="20"/>
        </w:rPr>
      </w:pPr>
      <w:r>
        <w:rPr>
          <w:rFonts w:ascii="Times New Roman" w:hAnsi="Times New Roman"/>
          <w:b/>
          <w:sz w:val="20"/>
        </w:rPr>
        <w:t xml:space="preserve">About Wise Road Capital </w:t>
      </w:r>
    </w:p>
    <w:p>
      <w:pPr>
        <w:pStyle w:val="TextBody"/>
        <w:spacing w:before="120" w:after="0"/>
        <w:jc w:val="left"/>
        <w:rPr>
          <w:rFonts w:ascii="Times New Roman" w:hAnsi="Times New Roman"/>
          <w:sz w:val="20"/>
        </w:rPr>
      </w:pPr>
      <w:r>
        <w:rPr>
          <w:rFonts w:ascii="Times New Roman" w:hAnsi="Times New Roman"/>
          <w:sz w:val="20"/>
        </w:rPr>
        <w:t xml:space="preserve">Wise Road Capital is a global private equity firm that invests in leading technology companies. The firm focuses on identifying opportunities in enabling technologies for global urbanization and smart &amp; green life through close cooperation with companies across several main themes, including smart city, intelligent manufacturing and renewable energies. Wise Road Capital strives to build a healthy international ecosystem around these key themes through its investments and its international management team that has a combination of industry and investment expertise. </w:t>
      </w:r>
    </w:p>
    <w:p>
      <w:pPr>
        <w:pStyle w:val="TextBody"/>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spacing w:before="120" w:after="0"/>
        <w:jc w:val="left"/>
        <w:rPr>
          <w:rFonts w:ascii="Times New Roman" w:hAnsi="Times New Roman"/>
          <w:sz w:val="20"/>
        </w:rPr>
      </w:pPr>
      <w:r>
        <w:rPr>
          <w:rFonts w:ascii="Times New Roman" w:hAnsi="Times New Roman"/>
          <w:sz w:val="20"/>
        </w:rPr>
        <w:t xml:space="preserve">This communication is being made in respect of the proposed transaction involving Magnachip and Wise Road Capital LTD. In connection with the proposed transaction, Magnachip intends to file relevant materials with the Securities and Exchange Commission (the SEC), including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1447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4475" cy="33337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proxy statement on Schedule 14A. Promptly after filing its definitive proxy statement with the SEC, Magnachip will mail or otherwise provide the definitive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Magnachip with the SEC, may be obtained free of charge at the SECs website at www.sec.gov or at Magnachips website at </w:t>
      </w:r>
      <w:r>
        <w:rPr>
          <w:rFonts w:ascii="Times New Roman" w:hAnsi="Times New Roman"/>
          <w:sz w:val="20"/>
          <w:u w:val="single"/>
        </w:rPr>
        <w:t>www.magnachip.com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spacing w:before="120" w:after="0"/>
        <w:jc w:val="left"/>
        <w:rPr>
          <w:rFonts w:ascii="Times New Roman" w:hAnsi="Times New Roman"/>
          <w:sz w:val="20"/>
        </w:rPr>
      </w:pPr>
      <w:r>
        <w:rPr>
          <w:rFonts w:ascii="Times New Roman" w:hAnsi="Times New Roman"/>
          <w:sz w:val="20"/>
        </w:rPr>
        <w:t xml:space="preserve">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Magnachips Annual Report on Form 10-K for the fiscal year ended December 31, 2020, filed with the SEC on March 9, 2021 and the definitive proxy statement on Schedule 14A for Magnachips most recent Annual Meeting of Shareholders held in June 2020, which was filed with the SEC on April 29, 2020.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www.sec.gov or at Magnachips website at </w:t>
      </w:r>
      <w:r>
        <w:rPr>
          <w:rFonts w:ascii="Times New Roman" w:hAnsi="Times New Roman"/>
          <w:sz w:val="20"/>
          <w:u w:val="single"/>
        </w:rPr>
        <w:t>www.magnachip.com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Capital LTD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514475"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14475" cy="33337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Agreement;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Times New Roman" w:hAnsi="Times New Roman"/>
          <w:sz w:val="20"/>
          <w:u w:val="single"/>
        </w:rPr>
        <w:t>www.magnachip.com</w:t>
      </w:r>
      <w:r>
        <w:rPr>
          <w:rFonts w:ascii="Times New Roman" w:hAnsi="Times New Roman"/>
          <w:sz w:val="20"/>
        </w:rPr>
        <w:t xml:space="preserve"> or </w:t>
      </w:r>
      <w:r>
        <w:rPr>
          <w:rFonts w:ascii="Times New Roman" w:hAnsi="Times New Roman"/>
          <w:sz w:val="20"/>
          <w:u w:val="single"/>
        </w:rPr>
        <w:t>www.sec.gov</w:t>
      </w:r>
      <w:r>
        <w:rPr>
          <w:rFonts w:ascii="Times New Roman" w:hAnsi="Times New Roman"/>
          <w:sz w:val="20"/>
        </w:rPr>
        <w:t xml:space="preserve">. Forward-looking statements speak only as of the date they are made, and the Company undertakes no obligation to update them in light of new information or future events.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68"/>
        <w:gridCol w:w="120"/>
        <w:gridCol w:w="4817"/>
      </w:tblGrid>
      <w:tr>
        <w:trPr/>
        <w:tc>
          <w:tcPr>
            <w:tcW w:w="52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17" w:type="dxa"/>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b/>
              </w:rPr>
            </w:pPr>
            <w:r>
              <w:rPr>
                <w:b/>
              </w:rPr>
              <w:t>CONTACTS:</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rPr>
                <w:sz w:val="4"/>
                <w:szCs w:val="4"/>
              </w:rPr>
            </w:pPr>
            <w:r>
              <w:rPr>
                <w:sz w:val="4"/>
                <w:szCs w:val="4"/>
              </w:rPr>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4937" w:type="dxa"/>
            <w:gridSpan w:val="2"/>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0"/>
              <w:rPr>
                <w:rFonts w:ascii="Times New Roman" w:hAnsi="Times New Roman"/>
                <w:b/>
                <w:sz w:val="20"/>
              </w:rPr>
            </w:pPr>
            <w:r>
              <w:rPr>
                <w:rFonts w:ascii="Times New Roman" w:hAnsi="Times New Roman"/>
                <w:b/>
                <w:sz w:val="20"/>
              </w:rPr>
              <w:t>In the United States:</w:t>
            </w:r>
          </w:p>
          <w:p>
            <w:pPr>
              <w:pStyle w:val="TableContents"/>
              <w:spacing w:before="0" w:after="0"/>
              <w:rPr>
                <w:rFonts w:ascii="Times New Roman" w:hAnsi="Times New Roman"/>
                <w:sz w:val="20"/>
              </w:rPr>
            </w:pPr>
            <w:r>
              <w:rPr>
                <w:rFonts w:ascii="Times New Roman" w:hAnsi="Times New Roman"/>
                <w:sz w:val="20"/>
              </w:rPr>
              <w:t>So-Yeon Jeong</w:t>
            </w:r>
          </w:p>
          <w:p>
            <w:pPr>
              <w:pStyle w:val="TableContents"/>
              <w:spacing w:before="0" w:after="0"/>
              <w:rPr>
                <w:rFonts w:ascii="Times New Roman" w:hAnsi="Times New Roman"/>
                <w:sz w:val="20"/>
              </w:rPr>
            </w:pPr>
            <w:r>
              <w:rPr>
                <w:rFonts w:ascii="Times New Roman" w:hAnsi="Times New Roman"/>
                <w:sz w:val="20"/>
              </w:rPr>
              <w:t>Head of Investor Relations</w:t>
            </w:r>
          </w:p>
          <w:p>
            <w:pPr>
              <w:pStyle w:val="TableContents"/>
              <w:spacing w:before="0" w:after="0"/>
              <w:rPr>
                <w:rFonts w:ascii="Times New Roman" w:hAnsi="Times New Roman"/>
                <w:sz w:val="20"/>
              </w:rPr>
            </w:pPr>
            <w:r>
              <w:rPr>
                <w:rFonts w:ascii="Times New Roman" w:hAnsi="Times New Roman"/>
                <w:sz w:val="20"/>
              </w:rPr>
              <w:t>Tel. +1-408-712-6151</w:t>
            </w:r>
          </w:p>
          <w:p>
            <w:pPr>
              <w:pStyle w:val="TableContents"/>
              <w:spacing w:before="0" w:after="20"/>
              <w:rPr>
                <w:rFonts w:ascii="Times New Roman" w:hAnsi="Times New Roman"/>
                <w:sz w:val="20"/>
                <w:u w:val="single"/>
              </w:rPr>
            </w:pPr>
            <w:r>
              <w:rPr>
                <w:rFonts w:ascii="Times New Roman" w:hAnsi="Times New Roman"/>
                <w:sz w:val="20"/>
                <w:u w:val="single"/>
              </w:rPr>
              <w:t>investor.relations@magnachip.com</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0"/>
              <w:rPr>
                <w:rFonts w:ascii="Times New Roman" w:hAnsi="Times New Roman"/>
                <w:b/>
                <w:sz w:val="20"/>
              </w:rPr>
            </w:pPr>
            <w:r>
              <w:rPr>
                <w:rFonts w:ascii="Times New Roman" w:hAnsi="Times New Roman"/>
                <w:b/>
                <w:sz w:val="20"/>
              </w:rPr>
              <w:t>In Korea:</w:t>
            </w:r>
          </w:p>
          <w:p>
            <w:pPr>
              <w:pStyle w:val="TableContents"/>
              <w:spacing w:before="0" w:after="0"/>
              <w:rPr>
                <w:rFonts w:ascii="Times New Roman" w:hAnsi="Times New Roman"/>
                <w:sz w:val="20"/>
              </w:rPr>
            </w:pPr>
            <w:r>
              <w:rPr>
                <w:rFonts w:ascii="Times New Roman" w:hAnsi="Times New Roman"/>
                <w:sz w:val="20"/>
              </w:rPr>
              <w:t>Mina Jeong</w:t>
            </w:r>
          </w:p>
          <w:p>
            <w:pPr>
              <w:pStyle w:val="TableContents"/>
              <w:spacing w:before="0" w:after="0"/>
              <w:rPr>
                <w:rFonts w:ascii="Times New Roman" w:hAnsi="Times New Roman"/>
                <w:sz w:val="20"/>
              </w:rPr>
            </w:pPr>
            <w:r>
              <w:rPr>
                <w:rFonts w:ascii="Times New Roman" w:hAnsi="Times New Roman"/>
                <w:sz w:val="20"/>
              </w:rPr>
              <w:t>Managing Partner, Allison Partners</w:t>
            </w:r>
          </w:p>
          <w:p>
            <w:pPr>
              <w:pStyle w:val="TableContents"/>
              <w:spacing w:before="0" w:after="0"/>
              <w:rPr>
                <w:rFonts w:ascii="Times New Roman" w:hAnsi="Times New Roman"/>
                <w:sz w:val="20"/>
              </w:rPr>
            </w:pPr>
            <w:r>
              <w:rPr>
                <w:rFonts w:ascii="Times New Roman" w:hAnsi="Times New Roman"/>
                <w:sz w:val="20"/>
              </w:rPr>
              <w:t>Tel. +82 10 6282 0677</w:t>
            </w:r>
          </w:p>
          <w:p>
            <w:pPr>
              <w:pStyle w:val="TableContents"/>
              <w:spacing w:before="0" w:after="20"/>
              <w:rPr>
                <w:rFonts w:ascii="Times New Roman" w:hAnsi="Times New Roman"/>
                <w:sz w:val="20"/>
                <w:u w:val="single"/>
              </w:rPr>
            </w:pPr>
            <w:r>
              <w:rPr>
                <w:rFonts w:ascii="Times New Roman" w:hAnsi="Times New Roman"/>
                <w:sz w:val="20"/>
                <w:u w:val="single"/>
              </w:rPr>
              <w:t>mina.jeong@allisonpr.com</w:t>
            </w:r>
          </w:p>
        </w:tc>
      </w:tr>
      <w:tr>
        <w:trPr>
          <w:trHeight w:val="240" w:hRule="atLeast"/>
        </w:trPr>
        <w:tc>
          <w:tcPr>
            <w:tcW w:w="5268" w:type="dxa"/>
            <w:tcBorders/>
            <w:shd w:fill="auto" w:val="clear"/>
            <w:vAlign w:val="center"/>
          </w:tcPr>
          <w:p>
            <w:pPr>
              <w:pStyle w:val="TableContents"/>
              <w:spacing w:before="0" w:after="283"/>
              <w:rPr>
                <w:sz w:val="4"/>
                <w:szCs w:val="4"/>
              </w:rPr>
            </w:pPr>
            <w:r>
              <w:rPr>
                <w:sz w:val="4"/>
                <w:szCs w:val="4"/>
              </w:rPr>
            </w:r>
          </w:p>
        </w:tc>
        <w:tc>
          <w:tcPr>
            <w:tcW w:w="4937" w:type="dxa"/>
            <w:gridSpan w:val="2"/>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0"/>
              <w:rPr>
                <w:rFonts w:ascii="Times New Roman" w:hAnsi="Times New Roman"/>
                <w:sz w:val="20"/>
              </w:rPr>
            </w:pPr>
            <w:r>
              <w:rPr>
                <w:rFonts w:ascii="Times New Roman" w:hAnsi="Times New Roman"/>
                <w:sz w:val="20"/>
              </w:rPr>
              <w:t>Or</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Dan Zacchei / Alex Kovtun</w:t>
            </w:r>
          </w:p>
          <w:p>
            <w:pPr>
              <w:pStyle w:val="TableContents"/>
              <w:spacing w:before="0" w:after="0"/>
              <w:rPr>
                <w:rFonts w:ascii="Times New Roman" w:hAnsi="Times New Roman"/>
                <w:sz w:val="20"/>
              </w:rPr>
            </w:pPr>
            <w:r>
              <w:rPr>
                <w:rFonts w:ascii="Times New Roman" w:hAnsi="Times New Roman"/>
                <w:sz w:val="20"/>
              </w:rPr>
              <w:t>Sloane &amp; Company</w:t>
            </w:r>
          </w:p>
          <w:p>
            <w:pPr>
              <w:pStyle w:val="TableContents"/>
              <w:spacing w:before="0" w:after="0"/>
              <w:rPr>
                <w:rFonts w:ascii="Times New Roman" w:hAnsi="Times New Roman"/>
                <w:sz w:val="20"/>
              </w:rPr>
            </w:pPr>
            <w:r>
              <w:rPr>
                <w:rFonts w:ascii="Times New Roman" w:hAnsi="Times New Roman"/>
                <w:sz w:val="20"/>
                <w:u w:val="single"/>
              </w:rPr>
              <w:t>dzacchei@sloanepr.com</w:t>
            </w:r>
            <w:r>
              <w:rPr>
                <w:rFonts w:ascii="Times New Roman" w:hAnsi="Times New Roman"/>
                <w:sz w:val="20"/>
              </w:rPr>
              <w:t xml:space="preserve"> /</w:t>
            </w:r>
          </w:p>
          <w:p>
            <w:pPr>
              <w:pStyle w:val="TableContents"/>
              <w:spacing w:before="0" w:after="20"/>
              <w:rPr>
                <w:rFonts w:ascii="Times New Roman" w:hAnsi="Times New Roman"/>
                <w:sz w:val="20"/>
                <w:u w:val="single"/>
              </w:rPr>
            </w:pPr>
            <w:r>
              <w:rPr>
                <w:rFonts w:ascii="Times New Roman" w:hAnsi="Times New Roman"/>
                <w:sz w:val="20"/>
                <w:u w:val="single"/>
              </w:rPr>
              <w:t>akovtun@sloanepr.com</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3128</Words>
  <CharactersWithSpaces>19786</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