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For the quarterly period ended September 30, 2007</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1"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6"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pacing w:after="0" w:line="99" w:lineRule="exact"/>
        <w:rPr>
          <w:sz w:val="24"/>
          <w:szCs w:val="24"/>
          <w:color w:val="auto"/>
        </w:rPr>
      </w:pPr>
    </w:p>
    <w:p>
      <w:pPr>
        <w:ind w:left="2520"/>
        <w:spacing w:after="0" w:line="207" w:lineRule="exact"/>
        <w:tabs>
          <w:tab w:leader="none" w:pos="5020" w:val="left"/>
          <w:tab w:leader="none" w:pos="7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38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2007, the registrant had 52,831,721.5470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5"/>
            <w:vMerge w:val="restart"/>
          </w:tcPr>
          <w:p>
            <w:pPr>
              <w:spacing w:after="0"/>
              <w:rPr>
                <w:sz w:val="20"/>
                <w:szCs w:val="20"/>
                <w:color w:val="auto"/>
              </w:rPr>
            </w:pPr>
            <w:r>
              <w:rPr>
                <w:rFonts w:ascii="Arial" w:cs="Arial" w:eastAsia="Arial" w:hAnsi="Arial"/>
                <w:sz w:val="18"/>
                <w:szCs w:val="18"/>
                <w:color w:val="auto"/>
              </w:rPr>
              <w:t>PART I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201"/>
        </w:trPr>
        <w:tc>
          <w:tcPr>
            <w:tcW w:w="10900" w:type="dxa"/>
            <w:vAlign w:val="bottom"/>
            <w:gridSpan w:val="15"/>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w:t>
            </w:r>
          </w:p>
        </w:tc>
        <w:tc>
          <w:tcPr>
            <w:tcW w:w="9520" w:type="dxa"/>
            <w:vAlign w:val="bottom"/>
            <w:gridSpan w:val="13"/>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2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594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Unitholders’ Equity</w:t>
              </w:r>
            </w:hyperlink>
          </w:p>
        </w:tc>
        <w:tc>
          <w:tcPr>
            <w:tcW w:w="448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2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2.</w:t>
            </w:r>
          </w:p>
        </w:tc>
        <w:tc>
          <w:tcPr>
            <w:tcW w:w="952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2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38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4T.</w:t>
            </w: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37">
              <w:r>
                <w:rPr>
                  <w:rFonts w:ascii="Arial" w:cs="Arial" w:eastAsia="Arial" w:hAnsi="Arial"/>
                  <w:sz w:val="18"/>
                  <w:szCs w:val="18"/>
                  <w:color w:val="0000EE"/>
                  <w:w w:val="86"/>
                </w:rPr>
                <w:t>Controls and Procedures</w:t>
              </w:r>
            </w:hyperlink>
          </w:p>
        </w:tc>
        <w:tc>
          <w:tcPr>
            <w:tcW w:w="778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44"/>
        </w:trPr>
        <w:tc>
          <w:tcPr>
            <w:tcW w:w="1090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8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1A.</w:t>
            </w:r>
          </w:p>
        </w:tc>
        <w:tc>
          <w:tcPr>
            <w:tcW w:w="9520" w:type="dxa"/>
            <w:vAlign w:val="bottom"/>
            <w:gridSpan w:val="13"/>
          </w:tcPr>
          <w:p>
            <w:pPr>
              <w:spacing w:after="0" w:line="184"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20" w:type="dxa"/>
            <w:vAlign w:val="bottom"/>
          </w:tcPr>
          <w:p>
            <w:pPr>
              <w:jc w:val="right"/>
              <w:spacing w:after="0" w:line="18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2.</w:t>
            </w:r>
          </w:p>
        </w:tc>
        <w:tc>
          <w:tcPr>
            <w:tcW w:w="952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8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2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38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gridSpan w:val="11"/>
          </w:tcPr>
          <w:p>
            <w:pPr>
              <w:ind w:left="430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1"/>
              </w:rPr>
              <w:t>(Unaudited; in thousands of US dollars, except unit data)</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80" w:type="dxa"/>
            <w:vAlign w:val="bottom"/>
            <w:tcBorders>
              <w:top w:val="single" w:sz="8" w:color="auto"/>
            </w:tcBorders>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1,</w:t>
            </w:r>
          </w:p>
        </w:tc>
        <w:tc>
          <w:tcPr>
            <w:tcW w:w="46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200,045</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545,881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168,702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150,422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471,861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23,644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22,812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71,904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32,016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(34,231)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(174,724)</w:t>
            </w:r>
          </w:p>
        </w:tc>
        <w:tc>
          <w:tcPr>
            <w:tcW w:w="0" w:type="dxa"/>
            <w:vAlign w:val="bottom"/>
          </w:tcPr>
          <w:p>
            <w:pPr>
              <w:spacing w:after="0"/>
              <w:rPr>
                <w:sz w:val="1"/>
                <w:szCs w:val="1"/>
                <w:color w:val="auto"/>
              </w:rPr>
            </w:pPr>
          </w:p>
        </w:tc>
      </w:tr>
      <w:tr>
        <w:trPr>
          <w:trHeight w:val="222"/>
        </w:trPr>
        <w:tc>
          <w:tcPr>
            <w:tcW w:w="33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13,946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(46,020)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(144,429)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(176,841)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6,643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(47,718)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(183,672)</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8,863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(41,776)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(191,742)</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60" w:type="dxa"/>
            <w:vAlign w:val="bottom"/>
            <w:gridSpan w:val="3"/>
            <w:vMerge w:val="continue"/>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 Basic and diluted</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(0.79)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 average number of units</w:t>
            </w:r>
          </w:p>
        </w:tc>
        <w:tc>
          <w:tcPr>
            <w:tcW w:w="3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52,814,383</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52,720,976</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52,769,273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52,975,152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61,934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124,342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7,050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281,022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742,260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31,713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50,601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72,307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1,068,224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Series A redeemable convertible preferred units; 60,000 units authorized, 50,091 units issued and 0 unit outstanding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September 30, 2007 and December 31, 2006</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Series B redeemable convertible preferred units; 550,000 units authorized, 450,692 units issued and 93,997 units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September 30, 2007 and December 31, 2006</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126,237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1"/>
              </w:rPr>
              <w:t>Common units; 65,000,000 units authorized, 52,831,722 and 52,720,784 units issued and outstanding at September 30,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2007 and December 31, 2006</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52,832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52,721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(531,803)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(370,314)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(452,201)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(284,541)</w:t>
            </w:r>
          </w:p>
        </w:tc>
      </w:tr>
      <w:tr>
        <w:trPr>
          <w:trHeight w:val="28"/>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line="116"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10"/>
                <w:szCs w:val="10"/>
                <w:color w:val="auto"/>
              </w:rPr>
            </w:pPr>
          </w:p>
        </w:tc>
        <w:tc>
          <w:tcPr>
            <w:tcW w:w="1060" w:type="dxa"/>
            <w:vAlign w:val="bottom"/>
            <w:gridSpan w:val="2"/>
          </w:tcPr>
          <w:p>
            <w:pPr>
              <w:jc w:val="right"/>
              <w:ind w:right="300"/>
              <w:spacing w:after="0" w:line="116" w:lineRule="exact"/>
              <w:rPr>
                <w:sz w:val="20"/>
                <w:szCs w:val="20"/>
                <w:color w:val="auto"/>
              </w:rPr>
            </w:pPr>
            <w:r>
              <w:rPr>
                <w:rFonts w:ascii="Arial" w:cs="Arial" w:eastAsia="Arial" w:hAnsi="Arial"/>
                <w:sz w:val="12"/>
                <w:szCs w:val="12"/>
                <w:b w:val="1"/>
                <w:bCs w:val="1"/>
                <w:color w:val="auto"/>
                <w:w w:val="98"/>
              </w:rPr>
              <w:t>Accumulated</w:t>
            </w:r>
          </w:p>
        </w:tc>
        <w:tc>
          <w:tcPr>
            <w:tcW w:w="12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2007</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Balance at July 2, 2007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52,800,784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$52,801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2,521</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177</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(38,766)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52,831,722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2,698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(531,803)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(452,201)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2,451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(370,314)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(284,541)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110,938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(8,863)</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beginning accumulated deficit upon adoption of FIN 48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(151,072)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(157,601)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52,831,722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2,698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(531,803)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1, 2006</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Balance at July 2, 2006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2,311</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(271,385)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(179,807)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Repurchase of units issued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(4,375)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(47,718)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(52,589)</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1, 2006</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(321,834)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31,675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(235,060)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October 1, 2006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Balance at January 1, 2006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53,091,570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$53,092</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(130,092)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28,347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Repurchase of units issued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(416,848)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(183,672)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(183,672)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(180,344)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1, 2006</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(321,834)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31,675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(235,060)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2"/>
              </w:rPr>
              <w:t>Nine months ended</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2007</w:t>
            </w:r>
          </w:p>
        </w:tc>
        <w:tc>
          <w:tcPr>
            <w:tcW w:w="32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(151,072)</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(183,672)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138,787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13,985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10,106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(34,528)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56,699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(5,012)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8,242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(5,913)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(13,225)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(63,967)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intellectual property registration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intangible assets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(64,436)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units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70,397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borrowings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50,508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4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(27,239)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89,173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61,934</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240" w:lineRule="exact"/>
        <w:rPr>
          <w:sz w:val="20"/>
          <w:szCs w:val="20"/>
          <w:color w:val="auto"/>
        </w:rPr>
      </w:pPr>
    </w:p>
    <w:p>
      <w:pPr>
        <w:ind w:right="890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2006, which was filed with the SEC on March 30, 2007. The results of operations for the three and nine-month periods ended September 30, 2007 are not necessarily indicative of the results to be expected for a full year or for any other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Option for Financial Assets and Financial Liabilities,</w:t>
      </w:r>
      <w:r>
        <w:rPr>
          <w:rFonts w:ascii="Arial" w:cs="Arial" w:eastAsia="Arial" w:hAnsi="Arial"/>
          <w:sz w:val="16"/>
          <w:szCs w:val="16"/>
          <w:color w:val="auto"/>
        </w:rPr>
        <w:t>” 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30, 2007 and December 31, 2006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September 30, 2007</w:t>
            </w:r>
          </w:p>
        </w:tc>
        <w:tc>
          <w:tcPr>
            <w:tcW w:w="860" w:type="dxa"/>
            <w:vAlign w:val="bottom"/>
            <w:gridSpan w:val="2"/>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23,010</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72,517</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Materials in-transit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(12,267)</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color w:val="auto"/>
              </w:rPr>
              <w:t>Inventories, net</w:t>
            </w: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94,100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60" w:type="dxa"/>
            <w:vAlign w:val="bottom"/>
          </w:tcPr>
          <w:p>
            <w:pPr>
              <w:ind w:left="460"/>
              <w:spacing w:after="0"/>
              <w:rPr>
                <w:sz w:val="20"/>
                <w:szCs w:val="20"/>
                <w:color w:val="auto"/>
              </w:rPr>
            </w:pPr>
            <w:r>
              <w:rPr>
                <w:rFonts w:ascii="Arial" w:cs="Arial" w:eastAsia="Arial" w:hAnsi="Arial"/>
                <w:sz w:val="18"/>
                <w:szCs w:val="18"/>
                <w:color w:val="auto"/>
                <w:w w:val="92"/>
              </w:rPr>
              <w:t>Property, plant and equipment as of September 30, 2007 and December 31, 2006 comprise the following:</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September 30, 2007</w:t>
            </w:r>
          </w:p>
        </w:tc>
        <w:tc>
          <w:tcPr>
            <w:tcW w:w="7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154,619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425,973</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633,913</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(365,596)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(252,814)</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12,705</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281,022</w:t>
            </w:r>
          </w:p>
        </w:tc>
        <w:tc>
          <w:tcPr>
            <w:tcW w:w="7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60" w:type="dxa"/>
            <w:vAlign w:val="bottom"/>
          </w:tcPr>
          <w:p>
            <w:pPr>
              <w:ind w:left="460"/>
              <w:spacing w:after="0"/>
              <w:rPr>
                <w:sz w:val="20"/>
                <w:szCs w:val="20"/>
                <w:color w:val="auto"/>
              </w:rPr>
            </w:pPr>
            <w:r>
              <w:rPr>
                <w:rFonts w:ascii="Arial" w:cs="Arial" w:eastAsia="Arial" w:hAnsi="Arial"/>
                <w:sz w:val="18"/>
                <w:szCs w:val="18"/>
                <w:color w:val="auto"/>
              </w:rPr>
              <w:t>Intangible assets as of September 30, 2007 and December 31, 2006 are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September 30, 2007</w:t>
            </w:r>
          </w:p>
        </w:tc>
        <w:tc>
          <w:tcPr>
            <w:tcW w:w="78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172,817</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9,991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(103,229)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0" w:type="dxa"/>
            <w:vAlign w:val="bottom"/>
          </w:tcPr>
          <w:p>
            <w:pPr>
              <w:spacing w:after="0"/>
              <w:rPr>
                <w:sz w:val="1"/>
                <w:szCs w:val="1"/>
                <w:color w:val="auto"/>
              </w:rPr>
            </w:pPr>
          </w:p>
        </w:tc>
      </w:tr>
      <w:tr>
        <w:trPr>
          <w:trHeight w:val="221"/>
        </w:trPr>
        <w:tc>
          <w:tcPr>
            <w:tcW w:w="826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115,496</w:t>
            </w:r>
          </w:p>
        </w:tc>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ind w:left="56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2007</w:t>
            </w:r>
          </w:p>
        </w:tc>
        <w:tc>
          <w:tcPr>
            <w:tcW w:w="7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Addition to (reversal of) warranty reserve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At September 30, 2007, the Company had borrowed $50.6 million under this credit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September 28, 2007, the Company entered into the Eighth Amendment to Credit Agreement, dated as of September 28, 2007 (the “Eighth Amendment”), with MagnaChip Semiconductor S.A. and MagnaChip Semiconductor Finance Company, as borrowers, the Subsidiary Guarantors party thereto, the Lenders party thereto, and UBS AG, Stamford Branch, as administrative agent and collateral agent. Under the Eighth Amendment, among other things, the financial covenants regarding total leverage, interest coverage, capital expenditure limitations and minimum levels of EBITDA and liquidity were modified. In addition, the monthly requirement of the obligors to provide certain financial and other reports to the lenders were modified.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short-term borrowings as of September 30, 2007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Annual interest rate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principal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2007-12-21</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month LIBOR + 4.75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ABR Revolving Loan</w:t>
            </w:r>
          </w:p>
        </w:tc>
        <w:tc>
          <w:tcPr>
            <w:tcW w:w="4860" w:type="dxa"/>
            <w:vAlign w:val="bottom"/>
            <w:gridSpan w:val="3"/>
          </w:tcPr>
          <w:p>
            <w:pPr>
              <w:jc w:val="right"/>
              <w:ind w:right="220"/>
              <w:spacing w:after="0"/>
              <w:rPr>
                <w:sz w:val="20"/>
                <w:szCs w:val="20"/>
                <w:color w:val="auto"/>
              </w:rPr>
            </w:pPr>
            <w:r>
              <w:rPr>
                <w:rFonts w:ascii="Arial" w:cs="Arial" w:eastAsia="Arial" w:hAnsi="Arial"/>
                <w:sz w:val="18"/>
                <w:szCs w:val="18"/>
                <w:color w:val="auto"/>
              </w:rPr>
              <w:t>2007-12-28</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ABR + 3.75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Banker’s Usance</w:t>
            </w:r>
          </w:p>
        </w:tc>
        <w:tc>
          <w:tcPr>
            <w:tcW w:w="3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50,601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720" w:type="dxa"/>
            <w:vAlign w:val="bottom"/>
            <w:vMerge w:val="restart"/>
          </w:tcPr>
          <w:p>
            <w:pPr>
              <w:jc w:val="right"/>
              <w:ind w:right="1632"/>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September 30, 2007 and December 31, 2006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are due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September 30, 2007, the Company and all of its subsidiaries except for MagnaChip Semiconductor (Shanghai) Company Limited have jointly and severally guaranteed each series of the Second Priority Senior Secured Notes on a second priority senior secured basis. As of September 30, 2007,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LIBOR plus 3.25% to a fixed interest rate of 7.34% on the Company’s Floating Rate Second Priority Senior Secured Notes (the “Notes”). This Swap will be in effect until June 15, 2008.</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The Swap qualifies as an effective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For the nine-month period ended September 30, 2007, the Company recorded changes in the fair value of the Swap amounting to $2,260 thousand, under other comprehensive income in the accompanying condensed consolidated financial statements. In addition, during the same period, the Company recognized interest income of $2,888 thousand, which represents the differences between fixed and variable rates.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Severance Benefits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September 30, 2007, 96%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4"/>
              </w:rPr>
              <w:t>Three months ended</w:t>
            </w:r>
          </w:p>
        </w:tc>
        <w:tc>
          <w:tcPr>
            <w:tcW w:w="18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1,</w:t>
            </w:r>
          </w:p>
        </w:tc>
        <w:tc>
          <w:tcPr>
            <w:tcW w:w="38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70,182</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$ 60,793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4,605</w:t>
            </w:r>
          </w:p>
        </w:tc>
        <w:tc>
          <w:tcPr>
            <w:tcW w:w="22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13,985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(2,557)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63,580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72,307</w:t>
            </w:r>
          </w:p>
        </w:tc>
        <w:tc>
          <w:tcPr>
            <w:tcW w:w="22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$ 61,778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72,307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$ 61,778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severance benefits are funded approximately 2.34% and 2.83% as of September 30, 2007 and October 1, 2006,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2013 – 2017</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5,289</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Units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nine months ended September 30, 2007 and October 1,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September 30, 2007</w:t>
            </w:r>
          </w:p>
        </w:tc>
        <w:tc>
          <w:tcPr>
            <w:tcW w:w="14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8"/>
              </w:rPr>
              <w:t>October 1,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$ 123,227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93,997</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$ 126,237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93,997</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114,532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September 30, 2007</w:t>
            </w:r>
          </w:p>
        </w:tc>
        <w:tc>
          <w:tcPr>
            <w:tcW w:w="14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8"/>
              </w:rPr>
              <w:t>October 1,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$ 117,374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106,462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$ 126,237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114,532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three-month and nine-month periods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and October 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89"/>
              </w:rPr>
              <w:t>October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(159,935)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(191,742)</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52,814,383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52,720,976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52,769,273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52,975,152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60" w:type="dxa"/>
            <w:vAlign w:val="bottom"/>
            <w:vMerge w:val="restart"/>
          </w:tcPr>
          <w:p>
            <w:pPr>
              <w:jc w:val="right"/>
              <w:ind w:right="572"/>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620" w:type="dxa"/>
            <w:vAlign w:val="bottom"/>
            <w:gridSpan w:val="4"/>
          </w:tcPr>
          <w:p>
            <w:pPr>
              <w:ind w:left="7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88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2007</w:t>
            </w: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4,956,434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4,909,152</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the Company issued a warrant to Hynix which enabled Hynix to purchase 5,079,254 common units of the Company at an exercise price of $1.00 per unit. This warrant expired unexercised in accordance with its terms on October 6,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ind w:right="8140" w:firstLine="8"/>
        <w:spacing w:after="0" w:line="391" w:lineRule="auto"/>
        <w:tabs>
          <w:tab w:leader="none" w:pos="25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Assets impairment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the Second Quarter of 2007, the Company recognized impairment charges of $10,106 thousand under SFAS No. 144, </w:t>
      </w:r>
      <w:r>
        <w:rPr>
          <w:rFonts w:ascii="Arial" w:cs="Arial" w:eastAsia="Arial" w:hAnsi="Arial"/>
          <w:sz w:val="16"/>
          <w:szCs w:val="16"/>
          <w:i w:val="1"/>
          <w:iCs w:val="1"/>
          <w:color w:val="auto"/>
        </w:rPr>
        <w:t>Accounting for the Impairment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 of Long Lived Assets </w:t>
      </w:r>
      <w:r>
        <w:rPr>
          <w:rFonts w:ascii="Arial" w:cs="Arial" w:eastAsia="Arial" w:hAnsi="Arial"/>
          <w:sz w:val="16"/>
          <w:szCs w:val="16"/>
          <w:color w:val="auto"/>
        </w:rPr>
        <w:t>(“SFAS No. 144”). The Impairment charges were recorded related to the closure of the Company’s 5-inch wafer fabrication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that has generated losses and no longer supported the Company’s strategic technology roadmap. In the Second Quarter of 2006, the Company recorded impairment charges of $92,540 thousand under SFAS No. 144. The impairment charges were recorded against one of the Company’s asset groups comprising of a fabrication facility and certain related technology and customer-based intangible assets, in the Company’s Image Solutions businesses.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and July 2, 2006 were approximately $10,228 and $185,985 thousand, respectively.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the second quarter of 2007, the Company recognized $1,978 thousand of restructuring under SFAS No. 146, </w:t>
      </w:r>
      <w:r>
        <w:rPr>
          <w:rFonts w:ascii="Arial" w:cs="Arial" w:eastAsia="Arial" w:hAnsi="Arial"/>
          <w:sz w:val="16"/>
          <w:szCs w:val="16"/>
          <w:i w:val="1"/>
          <w:iCs w:val="1"/>
          <w:color w:val="auto"/>
        </w:rPr>
        <w:t>Accounting for Costs Associated with Exit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or Disposal Activities </w:t>
      </w:r>
      <w:r>
        <w:rPr>
          <w:rFonts w:ascii="Arial" w:cs="Arial" w:eastAsia="Arial" w:hAnsi="Arial"/>
          <w:sz w:val="16"/>
          <w:szCs w:val="16"/>
          <w:color w:val="auto"/>
        </w:rPr>
        <w:t>(“SFAS No. 146”)</w:t>
      </w:r>
      <w:r>
        <w:rPr>
          <w:rFonts w:ascii="Arial" w:cs="Arial" w:eastAsia="Arial" w:hAnsi="Arial"/>
          <w:sz w:val="16"/>
          <w:szCs w:val="16"/>
          <w:i w:val="1"/>
          <w:iCs w:val="1"/>
          <w:color w:val="auto"/>
        </w:rPr>
        <w:t xml:space="preserve">. </w:t>
      </w:r>
      <w:r>
        <w:rPr>
          <w:rFonts w:ascii="Arial" w:cs="Arial" w:eastAsia="Arial" w:hAnsi="Arial"/>
          <w:sz w:val="16"/>
          <w:szCs w:val="16"/>
          <w:color w:val="auto"/>
        </w:rPr>
        <w:t>The restructuring charges were related to the closure of the Company’s 5-inch wafer fabrication facilities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within the next several months. These charges consist of one-time termination benefits, transfer of machinery and other associated costs. In the second quarter of 2006, the Company recorded restructuring charges of $1,144 thousand in accordance with SFAS No. 146. These charges were incurred in association with changes in the Company’s management and the early retirement of certain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Uncertainty in Income Taxes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including its subsidiaries files income tax returns in Korea, Japan, Taiwan, U.S. and various other jurisdictions. The Company is subject to income tax examinations by tax authorities of these jurisdictions for all years since the beginning of its operation in October 2004.</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Company adopted the provisions of FIN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—an interpretation of SFAS No. 109, on January 1, 2007. As a result of the implementation of FIN No. 48, the Company recognized a $1,554 thousand increase in the liability for unrecognized tax benefits, which was accounted for as a reduction to the January 1, 2007 balance of accumulated deficits. The total amount of unrecognized tax benefits as of the date of adoption was $6,773 thousand and it is related to the temporary difference arising from timing of expensing certain inventories. There was no change in total amount of unrecognized tax benefits during the three months ended September 30, 2007.</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recognizes interest and penalties accrued related to unrecognized tax benefits as income tax expenses. The Company recognized $41 thousand and $121 thousand of interest and penalties, respectively, for the three and nine months ended September 30, 2007. Total interest and penalties accrued as of September 30, 2007 and as of the FIN No. 48 adoption date were $670 thousand and $530 thousand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88"/>
              </w:rPr>
              <w:t>Three months ended</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4"/>
              </w:rPr>
              <w:t>September 30, 2007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October 1,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620" w:type="dxa"/>
            <w:vAlign w:val="bottom"/>
            <w:gridSpan w:val="3"/>
          </w:tcPr>
          <w:p>
            <w:pPr>
              <w:ind w:left="4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79,344</w:t>
            </w:r>
          </w:p>
        </w:tc>
        <w:tc>
          <w:tcPr>
            <w:tcW w:w="8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84,770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net sales</w:t>
            </w:r>
          </w:p>
        </w:tc>
        <w:tc>
          <w:tcPr>
            <w:tcW w:w="4620" w:type="dxa"/>
            <w:vAlign w:val="bottom"/>
            <w:gridSpan w:val="3"/>
          </w:tcPr>
          <w:p>
            <w:pPr>
              <w:ind w:left="4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200,045</w:t>
            </w:r>
          </w:p>
        </w:tc>
        <w:tc>
          <w:tcPr>
            <w:tcW w:w="8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171,283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620" w:type="dxa"/>
            <w:vAlign w:val="bottom"/>
            <w:gridSpan w:val="3"/>
          </w:tcPr>
          <w:p>
            <w:pPr>
              <w:ind w:left="4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4,660</w:t>
            </w:r>
          </w:p>
        </w:tc>
        <w:tc>
          <w:tcPr>
            <w:tcW w:w="8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17,184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4620" w:type="dxa"/>
            <w:vAlign w:val="bottom"/>
            <w:gridSpan w:val="3"/>
          </w:tcPr>
          <w:p>
            <w:pPr>
              <w:ind w:left="4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31,343</w:t>
            </w:r>
          </w:p>
        </w:tc>
        <w:tc>
          <w:tcPr>
            <w:tcW w:w="8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5"/>
              </w:rPr>
              <w:t>Nine months ended</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September 30, 2007</w:t>
            </w:r>
          </w:p>
        </w:tc>
        <w:tc>
          <w:tcPr>
            <w:tcW w:w="58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October 1,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620" w:type="dxa"/>
            <w:vAlign w:val="bottom"/>
            <w:gridSpan w:val="3"/>
          </w:tcPr>
          <w:p>
            <w:pPr>
              <w:ind w:left="4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223,327</w:t>
            </w:r>
          </w:p>
        </w:tc>
        <w:tc>
          <w:tcPr>
            <w:tcW w:w="4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215,116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217,611</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280,838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net sales</w:t>
            </w:r>
          </w:p>
        </w:tc>
        <w:tc>
          <w:tcPr>
            <w:tcW w:w="4620" w:type="dxa"/>
            <w:vAlign w:val="bottom"/>
            <w:gridSpan w:val="3"/>
          </w:tcPr>
          <w:p>
            <w:pPr>
              <w:ind w:left="4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545,881</w:t>
            </w:r>
          </w:p>
        </w:tc>
        <w:tc>
          <w:tcPr>
            <w:tcW w:w="40" w:type="dxa"/>
            <w:vAlign w:val="bottom"/>
          </w:tcPr>
          <w:p>
            <w:pPr>
              <w:spacing w:after="0"/>
              <w:rPr>
                <w:sz w:val="19"/>
                <w:szCs w:val="19"/>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582,039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620" w:type="dxa"/>
            <w:vAlign w:val="bottom"/>
            <w:gridSpan w:val="3"/>
          </w:tcPr>
          <w:p>
            <w:pPr>
              <w:ind w:left="4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19,885</w:t>
            </w:r>
          </w:p>
        </w:tc>
        <w:tc>
          <w:tcPr>
            <w:tcW w:w="40" w:type="dxa"/>
            <w:vAlign w:val="bottom"/>
          </w:tcPr>
          <w:p>
            <w:pPr>
              <w:spacing w:after="0"/>
              <w:rPr>
                <w:sz w:val="18"/>
                <w:szCs w:val="18"/>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31,747</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4620" w:type="dxa"/>
            <w:vAlign w:val="bottom"/>
            <w:gridSpan w:val="3"/>
          </w:tcPr>
          <w:p>
            <w:pPr>
              <w:ind w:left="4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74,020</w:t>
            </w:r>
          </w:p>
        </w:tc>
        <w:tc>
          <w:tcPr>
            <w:tcW w:w="40" w:type="dxa"/>
            <w:vAlign w:val="bottom"/>
          </w:tcPr>
          <w:p>
            <w:pPr>
              <w:spacing w:after="0"/>
              <w:rPr>
                <w:sz w:val="19"/>
                <w:szCs w:val="19"/>
                <w:color w:val="auto"/>
              </w:rPr>
            </w:pPr>
          </w:p>
        </w:tc>
        <w:tc>
          <w:tcPr>
            <w:tcW w:w="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260" w:type="dxa"/>
            <w:vAlign w:val="bottom"/>
            <w:vMerge w:val="restart"/>
          </w:tcPr>
          <w:p>
            <w:pPr>
              <w:ind w:left="1200"/>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Advisory agreements were entered into as of October 6, 2004 by and between the Company and each of the advisors including Court Square Advisor, LLC (successor in interest to CVC Management LLC) (“Court Square”), CVC Capital Partners Asia Limited (“CVC Capital”) and Francisco Partners Management LLC (“Francisco Partners”). The Company was to pay each of Court Square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financial performances, the advisors agreed to waive the advisory fee and, therefore, the Company did not accrue any expenses. Effective June 30, 2007, the parties to the advisory agreements entered into that certain the First Amendment to Advisory Agreement under which all rights and obligations of the parties terminate except for indemnity and liability provisions. The Amendment provides that upon a sale of the Company to an unaffiliated third party or a firmly underwritten public offering of common equity of the Company with net proceeds of $50 million or more, the Company must pay a termination fee to the advisors in the amount of all advisory fees not paid under the advisory agreements plus the net present value of all advisory fees that would have been payable through October 6, 2014 had the advisory agreements not been amended.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committed to its employees that it will pay an incentive to all non-executive employees upon the occurrence of certain specified events.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Below are condensed consolidating balance sheets as of September 30, 2007 and December 31, 2006, condensed consolidating statements of operations for the three months and nine months ended September 30, 2007 and October 1, 2006 and condensed consolidating statement of cash flows for the nine months ended September 30, 2007 and October 1, 2006 of those entities that guarantee the Senior Subordinated Notes, those that do not, MagnaChip Semiconductor LLC, and the co-issuers.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$197,287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(95,329)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170,083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33,737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(26,274)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income taxes, equity in earnings (loss) of related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(34,304)</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(36,219)</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(34,385)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(38,691)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(45,603)</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(34,782)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119,076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(38,766)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(38,869)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(34,385)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(45,408)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118,662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(41,776)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(38,869)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(34,385)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(45,408)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118,662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$ 532,544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$ 235,186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(221,849)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471,123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(203,745)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60,448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101,813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(112,924)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(111,057)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(28,045)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income taxes, equity in earnings (loss) of related</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(140,969)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(144,429)</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(150,752)</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(154,605)</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(141,451)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446,808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(151,147)</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(141,084)   </w:t>
            </w:r>
            <w:r>
              <w:rPr>
                <w:rFonts w:ascii="Arial" w:cs="Arial" w:eastAsia="Arial" w:hAnsi="Arial"/>
                <w:sz w:val="18"/>
                <w:szCs w:val="18"/>
                <w:u w:val="single" w:color="auto"/>
                <w:color w:val="auto"/>
              </w:rPr>
              <w:t>$</w:t>
            </w:r>
            <w:r>
              <w:rPr>
                <w:rFonts w:ascii="Arial" w:cs="Arial" w:eastAsia="Arial" w:hAnsi="Arial"/>
                <w:sz w:val="18"/>
                <w:szCs w:val="18"/>
                <w:color w:val="auto"/>
              </w:rPr>
              <w:t>(153,941)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(151,147)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(153,941)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(159,935)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$163,459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(83,148)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147,484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(74,368)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37,053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(48,981)</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148,156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(53,539)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(43,380)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(50,449)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(53,539)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(43,380)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$ 561,282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$ 291,357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(270,600)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494,361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(256,941)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56,969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99,798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93,723</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(183,569)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(174,724)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(181,088)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(176,841)</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(181,138)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(183,588)</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(193,848)</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(181,611)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559,047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(188,584)</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(181,138)   </w:t>
            </w:r>
            <w:r>
              <w:rPr>
                <w:rFonts w:ascii="Arial" w:cs="Arial" w:eastAsia="Arial" w:hAnsi="Arial"/>
                <w:sz w:val="18"/>
                <w:szCs w:val="18"/>
                <w:u w:val="single" w:color="auto"/>
                <w:color w:val="auto"/>
              </w:rPr>
              <w:t>$</w:t>
            </w:r>
            <w:r>
              <w:rPr>
                <w:rFonts w:ascii="Arial" w:cs="Arial" w:eastAsia="Arial" w:hAnsi="Arial"/>
                <w:sz w:val="18"/>
                <w:szCs w:val="18"/>
                <w:color w:val="auto"/>
              </w:rPr>
              <w:t>(190,463)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(188,584)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(181,138)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20" w:type="dxa"/>
            <w:vAlign w:val="bottom"/>
          </w:tcPr>
          <w:p>
            <w:pPr>
              <w:spacing w:after="0"/>
              <w:rPr>
                <w:sz w:val="15"/>
                <w:szCs w:val="15"/>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278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127,648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89,563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6,349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(19,749)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269,496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116,437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278,077</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96,477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(406,325)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(225,189)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804,809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(1,439,254)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474,008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685,467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557,654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(649,015)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128,517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52,296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(59,592)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49,234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24,264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235,529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818,254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(1,439,254)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71,878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802,141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933,694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938,253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(1,605,974)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1,068,224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redeemable convertible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Unitholders’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155,618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107,659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(264,906)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(490,813)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(465,996)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(567,983)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1,524,792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(531,803)</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(71,915)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(328,133)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(248,227)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(380,599)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(452,201)</w:t>
            </w:r>
          </w:p>
        </w:tc>
        <w:tc>
          <w:tcPr>
            <w:tcW w:w="0" w:type="dxa"/>
            <w:vAlign w:val="bottom"/>
          </w:tcPr>
          <w:p>
            <w:pPr>
              <w:spacing w:after="0"/>
              <w:rPr>
                <w:sz w:val="1"/>
                <w:szCs w:val="1"/>
                <w:color w:val="auto"/>
              </w:rPr>
            </w:pPr>
          </w:p>
        </w:tc>
      </w:tr>
      <w:tr>
        <w:trPr>
          <w:trHeight w:val="215"/>
        </w:trPr>
        <w:tc>
          <w:tcPr>
            <w:tcW w:w="5000" w:type="dxa"/>
            <w:vAlign w:val="bottom"/>
          </w:tcPr>
          <w:p>
            <w:pPr>
              <w:ind w:left="1300"/>
              <w:spacing w:after="0"/>
              <w:rPr>
                <w:sz w:val="20"/>
                <w:szCs w:val="20"/>
                <w:color w:val="auto"/>
              </w:rPr>
            </w:pPr>
            <w:r>
              <w:rPr>
                <w:rFonts w:ascii="Arial" w:cs="Arial" w:eastAsia="Arial" w:hAnsi="Arial"/>
                <w:sz w:val="18"/>
                <w:szCs w:val="18"/>
                <w:color w:val="auto"/>
                <w:w w:val="94"/>
              </w:rPr>
              <w:t>Total liabilities, redeemable convertible preferred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1520"/>
              <w:spacing w:after="0"/>
              <w:rPr>
                <w:sz w:val="20"/>
                <w:szCs w:val="20"/>
                <w:color w:val="auto"/>
              </w:rPr>
            </w:pPr>
            <w:r>
              <w:rPr>
                <w:rFonts w:ascii="Arial" w:cs="Arial" w:eastAsia="Arial" w:hAnsi="Arial"/>
                <w:sz w:val="18"/>
                <w:szCs w:val="18"/>
                <w:color w:val="auto"/>
              </w:rPr>
              <w:t>units and unitholders’ equity</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(325,854)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474,008</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685,467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557,654</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(649,015)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742,260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Co-Issuers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Guarantors</w:t>
            </w:r>
          </w:p>
        </w:tc>
        <w:tc>
          <w:tcPr>
            <w:tcW w:w="10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232,859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87,356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(167,545)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(246,126)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791,648</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633,987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8"/>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584,343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726,741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677,654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804,635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753,474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827,430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898,956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(1,542,641)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136,229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(370,314)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(338,112)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(323,358)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(412,488)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1,073,958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(284,541)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(169,131)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(100,689)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(284,541)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w w:val="91"/>
              </w:rPr>
              <w:t>Total liabilities, redeemable convertible preferred units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500"/>
              <w:spacing w:after="0"/>
              <w:rPr>
                <w:sz w:val="20"/>
                <w:szCs w:val="20"/>
                <w:color w:val="auto"/>
              </w:rPr>
            </w:pPr>
            <w:r>
              <w:rPr>
                <w:rFonts w:ascii="Arial" w:cs="Arial" w:eastAsia="Arial" w:hAnsi="Arial"/>
                <w:sz w:val="18"/>
                <w:szCs w:val="18"/>
                <w:color w:val="auto"/>
              </w:rPr>
              <w:t>and unitholders’ equity</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8"/>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584,343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726,741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677,654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(151,072)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(151,147)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(141,084)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(153,941)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135,507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150,752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(446,808)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(40,196)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59,565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Increase in short-term loans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(61,914)</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(22,716)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321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22,091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34,888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4,677</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(188,584)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(181,138)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(190,463)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142,376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92,540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(559,047)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42,450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(36,691)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536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Payments for intellectual property registration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209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413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17,367</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and the “Risk Factors” and elsewhere in this report.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an Asia-based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w:t>
      </w:r>
    </w:p>
    <w:p>
      <w:pPr>
        <w:spacing w:after="0" w:line="12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variety of analog and mixed-signal semiconductor products and services we offer is based on a technology platform that allows us to address multiple end markets and to develop and introduce new products quickly. With manufacturing operations in Korea and design centers in Korea and Japan, our proximity to the global consumer electronics supply chain allows us to service and capture additional demand from existing and new customers. Our manufacturing integration and broad intellectual property enable us to respond quickly to our consumer electronics and semiconductor customers’ needs.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2008. We have identified those segments based on how we allocate resources and assess our performance.</w:t>
      </w:r>
    </w:p>
    <w:p>
      <w:pPr>
        <w:spacing w:after="0" w:line="147" w:lineRule="exact"/>
        <w:rPr>
          <w:sz w:val="20"/>
          <w:szCs w:val="20"/>
          <w:color w:val="auto"/>
        </w:rPr>
      </w:pPr>
    </w:p>
    <w:p>
      <w:pPr>
        <w:ind w:left="900" w:right="28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mobile phones, LCD monitors, notebook computers and mobile multimedia devices, such as handheld games. Our products cover a broad range of interfaces, packages and technologies including AMOLED, LTPS and TFT technologies.</w:t>
      </w:r>
    </w:p>
    <w:p>
      <w:pPr>
        <w:spacing w:after="0" w:line="25" w:lineRule="exact"/>
        <w:rPr>
          <w:rFonts w:ascii="Arial" w:cs="Arial" w:eastAsia="Arial" w:hAnsi="Arial"/>
          <w:sz w:val="16"/>
          <w:szCs w:val="16"/>
          <w:color w:val="auto"/>
        </w:rPr>
      </w:pPr>
    </w:p>
    <w:p>
      <w:pPr>
        <w:ind w:left="900" w:right="28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covers a broad spectrum of videographics array, or VGA; 1.3, 2.1 and 3.2 megapixel, or MP;</w:t>
      </w:r>
      <w:r>
        <w:rPr>
          <w:rFonts w:ascii="Arial" w:cs="Arial" w:eastAsia="Arial" w:hAnsi="Arial"/>
          <w:sz w:val="16"/>
          <w:szCs w:val="16"/>
          <w:i w:val="1"/>
          <w:iCs w:val="1"/>
          <w:color w:val="auto"/>
        </w:rPr>
        <w:t xml:space="preserve"> </w:t>
      </w:r>
      <w:r>
        <w:rPr>
          <w:rFonts w:ascii="Arial" w:cs="Arial" w:eastAsia="Arial" w:hAnsi="Arial"/>
          <w:sz w:val="16"/>
          <w:szCs w:val="16"/>
          <w:color w:val="auto"/>
        </w:rPr>
        <w:t>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31"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manufactures wafers for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based on their designs. We offer 170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Three-Month Periods Ended September 30, 2007 and October 1,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30, 2007 and October 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6"/>
              </w:rPr>
              <w:t>September 30, 2007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October 1, 2006</w:t>
            </w:r>
          </w:p>
        </w:tc>
        <w:tc>
          <w:tcPr>
            <w:tcW w:w="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3"/>
              </w:rPr>
              <w:t>net sales</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83"/>
              </w:rPr>
              <w:t>Amount</w:t>
            </w:r>
          </w:p>
        </w:tc>
        <w:tc>
          <w:tcPr>
            <w:tcW w:w="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3"/>
              </w:rPr>
              <w:t>net sales</w:t>
            </w:r>
          </w:p>
        </w:tc>
        <w:tc>
          <w:tcPr>
            <w:tcW w:w="10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2"/>
              </w:rPr>
              <w:t>millions;</w:t>
            </w:r>
          </w:p>
        </w:tc>
        <w:tc>
          <w:tcPr>
            <w:tcW w:w="2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$ 200.0</w:t>
            </w:r>
          </w:p>
        </w:tc>
        <w:tc>
          <w:tcPr>
            <w:tcW w:w="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6"/>
              </w:rPr>
              <w:t>$ 171.3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1220" w:type="dxa"/>
            <w:vAlign w:val="bottom"/>
            <w:gridSpan w:val="5"/>
          </w:tcPr>
          <w:p>
            <w:pPr>
              <w:jc w:val="right"/>
              <w:ind w:right="26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 (38.8)</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8"/>
                <w:szCs w:val="18"/>
                <w:color w:val="auto"/>
                <w:w w:val="83"/>
              </w:rPr>
              <w:t>$ (47.7)</w:t>
            </w:r>
          </w:p>
        </w:tc>
        <w:tc>
          <w:tcPr>
            <w:tcW w:w="80" w:type="dxa"/>
            <w:vAlign w:val="bottom"/>
          </w:tcPr>
          <w:p>
            <w:pPr>
              <w:spacing w:after="0"/>
              <w:rPr>
                <w:sz w:val="19"/>
                <w:szCs w:val="19"/>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(27.9)%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gridSpan w:val="7"/>
          </w:tcPr>
          <w:p>
            <w:pPr>
              <w:ind w:left="60"/>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24"/>
                <w:szCs w:val="24"/>
                <w:color w:val="auto"/>
              </w:rPr>
            </w:pPr>
          </w:p>
        </w:tc>
        <w:tc>
          <w:tcPr>
            <w:tcW w:w="15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4"/>
              </w:rPr>
              <w:t>September 30, 2007</w:t>
            </w:r>
          </w:p>
        </w:tc>
        <w:tc>
          <w:tcPr>
            <w:tcW w:w="220" w:type="dxa"/>
            <w:vAlign w:val="bottom"/>
          </w:tcPr>
          <w:p>
            <w:pPr>
              <w:spacing w:after="0"/>
              <w:rPr>
                <w:sz w:val="15"/>
                <w:szCs w:val="15"/>
                <w:color w:val="auto"/>
              </w:rPr>
            </w:pPr>
          </w:p>
        </w:tc>
        <w:tc>
          <w:tcPr>
            <w:tcW w:w="15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October 1, 2006</w:t>
            </w:r>
          </w:p>
        </w:tc>
        <w:tc>
          <w:tcPr>
            <w:tcW w:w="100" w:type="dxa"/>
            <w:vAlign w:val="bottom"/>
          </w:tcPr>
          <w:p>
            <w:pPr>
              <w:spacing w:after="0"/>
              <w:rPr>
                <w:sz w:val="15"/>
                <w:szCs w:val="15"/>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total</w:t>
            </w:r>
          </w:p>
        </w:tc>
        <w:tc>
          <w:tcPr>
            <w:tcW w:w="220" w:type="dxa"/>
            <w:vAlign w:val="bottom"/>
          </w:tcPr>
          <w:p>
            <w:pPr>
              <w:spacing w:after="0"/>
              <w:rPr>
                <w:sz w:val="15"/>
                <w:szCs w:val="15"/>
                <w:color w:val="auto"/>
              </w:rPr>
            </w:pPr>
          </w:p>
        </w:tc>
        <w:tc>
          <w:tcPr>
            <w:tcW w:w="6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net sales</w:t>
            </w:r>
          </w:p>
        </w:tc>
        <w:tc>
          <w:tcPr>
            <w:tcW w:w="10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w:t>
            </w:r>
          </w:p>
        </w:tc>
        <w:tc>
          <w:tcPr>
            <w:tcW w:w="580" w:type="dxa"/>
            <w:vAlign w:val="bottom"/>
            <w:tcBorders>
              <w:top w:val="single" w:sz="8" w:color="auto"/>
            </w:tcBorders>
            <w:gridSpan w:val="2"/>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  56.1</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Imaging Solutions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840" w:type="dxa"/>
            <w:vAlign w:val="bottom"/>
            <w:gridSpan w:val="4"/>
          </w:tcPr>
          <w:p>
            <w:pPr>
              <w:jc w:val="right"/>
              <w:ind w:right="12"/>
              <w:spacing w:after="0"/>
              <w:rPr>
                <w:sz w:val="20"/>
                <w:szCs w:val="20"/>
                <w:color w:val="auto"/>
              </w:rPr>
            </w:pPr>
            <w:r>
              <w:rPr>
                <w:rFonts w:ascii="Arial" w:cs="Arial" w:eastAsia="Arial" w:hAnsi="Arial"/>
                <w:sz w:val="18"/>
                <w:szCs w:val="18"/>
                <w:color w:val="auto"/>
              </w:rPr>
              <w:t>12.7</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84.4</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All other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18.1</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100.0%</w:t>
            </w:r>
          </w:p>
        </w:tc>
        <w:tc>
          <w:tcPr>
            <w:tcW w:w="84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$ 171.3</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derive a majority of our net sales from three operating segments: Display Solutions, Imaging Solutions and Semiconductor Manufacturing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“All other” category represents certain business activities other than these business segments, principally composed of rental and unit processing.</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Total net sales for the three months ended September 30, 2007 increased $28.7 million, or 16.8% compared to the three months ended October 1, 2006. Net sales generated in the three operating segments during the most recently completed quarter were $186.5 million, an increase of $33.3 million or 21.7% from the net sales of the three operating segments for the prior-year quarter.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three months ended September 30, 2007 were $79.3 million, a $23.2 million or 41.4%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$56.1 million for the three months ended October 1, 2006. This sales increase in our display driver business was primarily attributable to higher volume from both new products and new customers as well as higher volume from existing design wins.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increased $9.7 million in the most recently completed quarter, or 76.4% compared to net sales generated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prior-year quarter. This sales increase in our imaging solution business was primarily attributable to an increase in small form factor VGA product sales and 1.3 megapixel design wins.</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third quarter of 2007 were $84.8 million, a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0.5% slight increase compared to net sales of $84.4 million for the prior-year quarter. This increase was due to an increase in sales volume and the addition of several new customers.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three months ended September 30, 2007 were $13.5 million compared to $18.1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2006.</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three months ended September 30, 2007 and October 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97"/>
              </w:rPr>
              <w:t>Three months ended</w:t>
            </w:r>
          </w:p>
        </w:tc>
        <w:tc>
          <w:tcPr>
            <w:tcW w:w="60" w:type="dxa"/>
            <w:vAlign w:val="bottom"/>
          </w:tcPr>
          <w:p>
            <w:pPr>
              <w:spacing w:after="0"/>
              <w:rPr>
                <w:sz w:val="14"/>
                <w:szCs w:val="14"/>
                <w:color w:val="auto"/>
              </w:rPr>
            </w:pPr>
          </w:p>
        </w:tc>
        <w:tc>
          <w:tcPr>
            <w:tcW w:w="1900" w:type="dxa"/>
            <w:vAlign w:val="bottom"/>
            <w:gridSpan w:val="9"/>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540" w:type="dxa"/>
            <w:vAlign w:val="bottom"/>
            <w:tcBorders>
              <w:bottom w:val="single" w:sz="8" w:color="auto"/>
            </w:tcBorders>
            <w:gridSpan w:val="7"/>
          </w:tcPr>
          <w:p>
            <w:pPr>
              <w:jc w:val="right"/>
              <w:ind w:right="132"/>
              <w:spacing w:after="0"/>
              <w:rPr>
                <w:sz w:val="20"/>
                <w:szCs w:val="20"/>
                <w:color w:val="auto"/>
              </w:rPr>
            </w:pPr>
            <w:r>
              <w:rPr>
                <w:rFonts w:ascii="Arial" w:cs="Arial" w:eastAsia="Arial" w:hAnsi="Arial"/>
                <w:sz w:val="14"/>
                <w:szCs w:val="14"/>
                <w:b w:val="1"/>
                <w:bCs w:val="1"/>
                <w:color w:val="auto"/>
              </w:rPr>
              <w:t>September 30, 2007</w:t>
            </w:r>
          </w:p>
        </w:tc>
        <w:tc>
          <w:tcPr>
            <w:tcW w:w="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October 1, 2006</w:t>
            </w:r>
          </w:p>
        </w:tc>
        <w:tc>
          <w:tcPr>
            <w:tcW w:w="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spacing w:after="0"/>
              <w:rPr>
                <w:sz w:val="19"/>
                <w:szCs w:val="19"/>
                <w:color w:val="auto"/>
              </w:rPr>
            </w:pPr>
          </w:p>
        </w:tc>
        <w:tc>
          <w:tcPr>
            <w:tcW w:w="1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77"/>
              </w:rPr>
              <w:t>% of Total</w:t>
            </w:r>
          </w:p>
        </w:tc>
        <w:tc>
          <w:tcPr>
            <w:tcW w:w="60" w:type="dxa"/>
            <w:vAlign w:val="bottom"/>
          </w:tcPr>
          <w:p>
            <w:pPr>
              <w:spacing w:after="0"/>
              <w:rPr>
                <w:sz w:val="19"/>
                <w:szCs w:val="19"/>
                <w:color w:val="auto"/>
              </w:rPr>
            </w:pPr>
          </w:p>
        </w:tc>
        <w:tc>
          <w:tcPr>
            <w:tcW w:w="92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w w:val="90"/>
              </w:rPr>
              <w:t>Amount</w:t>
            </w: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 of Total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2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$102.2</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North America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CCEEFF"/>
            </w:tcBorders>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20" w:type="dxa"/>
            <w:vAlign w:val="bottom"/>
            <w:vMerge w:val="restart"/>
          </w:tcPr>
          <w:p>
            <w:pPr>
              <w:ind w:left="440"/>
              <w:spacing w:after="0"/>
              <w:rPr>
                <w:sz w:val="20"/>
                <w:szCs w:val="20"/>
                <w:color w:val="auto"/>
              </w:rPr>
            </w:pPr>
            <w:r>
              <w:rPr>
                <w:rFonts w:ascii="Arial" w:cs="Arial" w:eastAsia="Arial" w:hAnsi="Arial"/>
                <w:sz w:val="18"/>
                <w:szCs w:val="18"/>
                <w:color w:val="auto"/>
              </w:rPr>
              <w:t>Total net revenues</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vMerge w:val="restart"/>
          </w:tcPr>
          <w:p>
            <w:pPr>
              <w:jc w:val="right"/>
              <w:ind w:right="92"/>
              <w:spacing w:after="0"/>
              <w:rPr>
                <w:sz w:val="20"/>
                <w:szCs w:val="20"/>
                <w:color w:val="auto"/>
              </w:rPr>
            </w:pPr>
            <w:r>
              <w:rPr>
                <w:rFonts w:ascii="Arial" w:cs="Arial" w:eastAsia="Arial" w:hAnsi="Arial"/>
                <w:sz w:val="18"/>
                <w:szCs w:val="18"/>
                <w:color w:val="auto"/>
                <w:w w:val="98"/>
              </w:rPr>
              <w:t>100.0%</w:t>
            </w: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820" w:type="dxa"/>
            <w:vAlign w:val="bottom"/>
            <w:vMerge w:val="continue"/>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September 30, 2007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7"/>
          </w:tcPr>
          <w:p>
            <w:pPr>
              <w:ind w:left="180"/>
              <w:spacing w:after="0"/>
              <w:rPr>
                <w:sz w:val="20"/>
                <w:szCs w:val="20"/>
                <w:color w:val="auto"/>
              </w:rPr>
            </w:pPr>
            <w:r>
              <w:rPr>
                <w:rFonts w:ascii="Arial" w:cs="Arial" w:eastAsia="Arial" w:hAnsi="Arial"/>
                <w:sz w:val="14"/>
                <w:szCs w:val="14"/>
                <w:b w:val="1"/>
                <w:bCs w:val="1"/>
                <w:color w:val="auto"/>
              </w:rPr>
              <w:t>October 1, 2006</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net sales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net sales</w:t>
            </w:r>
          </w:p>
        </w:tc>
        <w:tc>
          <w:tcPr>
            <w:tcW w:w="1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w:t>
            </w: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34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5.2</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Imaging solutions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2.7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12"/>
              <w:spacing w:after="0"/>
              <w:rPr>
                <w:sz w:val="20"/>
                <w:szCs w:val="20"/>
                <w:color w:val="auto"/>
              </w:rPr>
            </w:pPr>
            <w:r>
              <w:rPr>
                <w:rFonts w:ascii="Arial" w:cs="Arial" w:eastAsia="Arial" w:hAnsi="Arial"/>
                <w:sz w:val="18"/>
                <w:szCs w:val="18"/>
                <w:color w:val="auto"/>
              </w:rPr>
              <w:t>2.7</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12"/>
              <w:spacing w:after="0"/>
              <w:rPr>
                <w:sz w:val="20"/>
                <w:szCs w:val="20"/>
                <w:color w:val="auto"/>
              </w:rPr>
            </w:pPr>
            <w:r>
              <w:rPr>
                <w:rFonts w:ascii="Arial" w:cs="Arial" w:eastAsia="Arial" w:hAnsi="Arial"/>
                <w:sz w:val="18"/>
                <w:szCs w:val="18"/>
                <w:color w:val="auto"/>
              </w:rPr>
              <w:t>7.9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3</w:t>
            </w: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34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9</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gross profit increased $10.4 million in the third quarter of 2007, or 49.8%, compared to the gross profit generated in the third quarter of 2006. Gross profit percentage for the most recently completed quarter was 15.6% of net sales, an increase of 3.4% from 12.2% for the prior-year quarter. This increase in gross profit percentage was mainly attributable to higher utilization of our fabrication facilities.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profit percentage for Display Solutions for the three months ended September 30, 2007 declined to 5.8% compared to 9.3%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October 1, 2006. This decline in gross profit percentage was primarily attributable to average selling price erosion.</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Imaging Solutions for the three months ended September 30, 2007 declined to 12.1% compared to 21.3%</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October 1, 2006. This decline in gross profit percentage was mainly due to a decrease in average selling price, coupled with product mix changes.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for Semiconductor Manufacturing Services increased to 20.3% in the third quarter of 2007 from 5.9%</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2006. The improvement in gross profit percentage was attributable to reduced fixed costs arising out of the higher utilization of our fabrication facilities.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50.4% from 43.6% in the third quarter of 2006. This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percentage was mainly due to higher factory utilization compared to the prior year’s third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$23.6 million or 11.8%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2007, compared to $22.8 million or 13.3% for the three months ended October 1, 2006. The increase of $0.8 million or 3.5% from the prior-year quarter was mainly attributable to increased employee compensation and benefits.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most recently completed quarter were $33.4 million, an increase of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4.4% from $32.0 million for the prior year quarter. As a percentage of net sales, research and development expenses for the most recently completed quarter decreased to 16.7% compared to 18.7% for the prior-year quarter.</w:t>
      </w:r>
    </w:p>
    <w:p>
      <w:pPr>
        <w:spacing w:after="0" w:line="14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three months ended October 1, 2006, we recorded restructuring charges of $0.3 million.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charges related to termination benefits provided to certain employees under an early retirement program.</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$15.3 million during the three-month period ended September 30, 2007, an increase of $1.4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$13.9 million for the three-month period ended October 1, 2006. Substantially all of our interest expense was used to serve our long-term borrowings of $750.0 million and drawings under our senior secured credit facility at a weighted-average interest rate of 7.81%. The increase in net interest expense was mainly due to a decrease in interest income from financial assets including cash and cash equivalents.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Net Foreign Currency Gain or Loss. </w:t>
      </w:r>
      <w:r>
        <w:rPr>
          <w:rFonts w:ascii="Arial" w:cs="Arial" w:eastAsia="Arial" w:hAnsi="Arial"/>
          <w:sz w:val="18"/>
          <w:szCs w:val="18"/>
          <w:color w:val="auto"/>
        </w:rPr>
        <w:t>Net foreign currency gain for the three months ended September 30, 2007 was $4.9 million, compared to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gain of $2.2 million for the three months ended October 1, 2006. A substantial portion of our net foreign currency gain or loss is non-cash translation gain or loss recorded for intercompany borrowings at our Korea subsidiary and is affected by changes in the exchange rate between the Korean won and U.S. dollar.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most recently completed quarter were $2.5 million, compared to income tax expenses of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quarter of 2006. Our income tax expenses are mostly composed of withholding taxes on inter-company interest payments and changes in deferred tax assets. Due to the uncertainty of utilization of foreign tax credits, we treated these withholding taxes as current tax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nine months ended September 30, 2007 and October 1,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2007 and October 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4"/>
              </w:rPr>
              <w:t>Nine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2007</w:t>
            </w:r>
          </w:p>
        </w:tc>
        <w:tc>
          <w:tcPr>
            <w:tcW w:w="24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October 1, 2006</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 of</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net sales</w:t>
            </w:r>
          </w:p>
        </w:tc>
        <w:tc>
          <w:tcPr>
            <w:tcW w:w="240" w:type="dxa"/>
            <w:vAlign w:val="bottom"/>
          </w:tcPr>
          <w:p>
            <w:pPr>
              <w:spacing w:after="0"/>
              <w:rPr>
                <w:sz w:val="15"/>
                <w:szCs w:val="15"/>
                <w:color w:val="auto"/>
              </w:rPr>
            </w:pPr>
          </w:p>
        </w:tc>
        <w:tc>
          <w:tcPr>
            <w:tcW w:w="9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net sales</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3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1"/>
              </w:rPr>
              <w:t>%)</w:t>
            </w: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$ 545.9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$ 582.0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jc w:val="right"/>
              <w:spacing w:after="0"/>
              <w:rPr>
                <w:sz w:val="20"/>
                <w:szCs w:val="20"/>
                <w:color w:val="auto"/>
              </w:rPr>
            </w:pPr>
            <w:r>
              <w:rPr>
                <w:rFonts w:ascii="Arial" w:cs="Arial" w:eastAsia="Arial" w:hAnsi="Arial"/>
                <w:sz w:val="18"/>
                <w:szCs w:val="18"/>
                <w:color w:val="auto"/>
              </w:rPr>
              <w:t>471.9</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500.6</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(81.9)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1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(174.7)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60" w:type="dxa"/>
            <w:vAlign w:val="bottom"/>
            <w:gridSpan w:val="2"/>
            <w:vMerge w:val="continue"/>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(144.4)</w:t>
            </w:r>
          </w:p>
        </w:tc>
        <w:tc>
          <w:tcPr>
            <w:tcW w:w="740" w:type="dxa"/>
            <w:vAlign w:val="bottom"/>
            <w:gridSpan w:val="2"/>
            <w:vMerge w:val="continue"/>
          </w:tcPr>
          <w:p>
            <w:pPr>
              <w:spacing w:after="0"/>
              <w:rPr>
                <w:sz w:val="19"/>
                <w:szCs w:val="19"/>
                <w:color w:val="auto"/>
              </w:rPr>
            </w:pPr>
          </w:p>
        </w:tc>
        <w:tc>
          <w:tcPr>
            <w:tcW w:w="1160" w:type="dxa"/>
            <w:vAlign w:val="bottom"/>
            <w:gridSpan w:val="3"/>
          </w:tcPr>
          <w:p>
            <w:pPr>
              <w:jc w:val="right"/>
              <w:ind w:right="232"/>
              <w:spacing w:after="0"/>
              <w:rPr>
                <w:sz w:val="20"/>
                <w:szCs w:val="20"/>
                <w:color w:val="auto"/>
              </w:rPr>
            </w:pPr>
            <w:r>
              <w:rPr>
                <w:rFonts w:ascii="Arial" w:cs="Arial" w:eastAsia="Arial" w:hAnsi="Arial"/>
                <w:sz w:val="18"/>
                <w:szCs w:val="18"/>
                <w:color w:val="auto"/>
              </w:rPr>
              <w:t>(176.8)</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60" w:type="dxa"/>
            <w:vAlign w:val="bottom"/>
            <w:gridSpan w:val="2"/>
            <w:vMerge w:val="continue"/>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(151.1)</w:t>
            </w:r>
          </w:p>
        </w:tc>
        <w:tc>
          <w:tcPr>
            <w:tcW w:w="740" w:type="dxa"/>
            <w:vAlign w:val="bottom"/>
            <w:gridSpan w:val="2"/>
            <w:vMerge w:val="continue"/>
          </w:tcPr>
          <w:p>
            <w:pPr>
              <w:spacing w:after="0"/>
              <w:rPr>
                <w:sz w:val="19"/>
                <w:szCs w:val="19"/>
                <w:color w:val="auto"/>
              </w:rPr>
            </w:pPr>
          </w:p>
        </w:tc>
        <w:tc>
          <w:tcPr>
            <w:tcW w:w="1160" w:type="dxa"/>
            <w:vAlign w:val="bottom"/>
            <w:gridSpan w:val="3"/>
          </w:tcPr>
          <w:p>
            <w:pPr>
              <w:jc w:val="right"/>
              <w:ind w:right="2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(183.7)</w:t>
            </w:r>
          </w:p>
        </w:tc>
        <w:tc>
          <w:tcPr>
            <w:tcW w:w="860" w:type="dxa"/>
            <w:vAlign w:val="bottom"/>
            <w:gridSpan w:val="2"/>
            <w:vMerge w:val="continue"/>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16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17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4"/>
              </w:rPr>
              <w:t>Nine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2007</w:t>
            </w:r>
          </w:p>
        </w:tc>
        <w:tc>
          <w:tcPr>
            <w:tcW w:w="24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October 1, 2006</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 of</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5"/>
                <w:szCs w:val="15"/>
                <w:color w:val="auto"/>
              </w:rPr>
            </w:pPr>
          </w:p>
        </w:tc>
        <w:tc>
          <w:tcPr>
            <w:tcW w:w="9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total</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3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1"/>
              </w:rPr>
              <w:t>%)</w:t>
            </w: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$ 223.3</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Imaging Solutions</w:t>
            </w:r>
          </w:p>
        </w:tc>
        <w:tc>
          <w:tcPr>
            <w:tcW w:w="560" w:type="dxa"/>
            <w:vAlign w:val="bottom"/>
          </w:tcPr>
          <w:p>
            <w:pPr>
              <w:jc w:val="right"/>
              <w:spacing w:after="0"/>
              <w:rPr>
                <w:sz w:val="20"/>
                <w:szCs w:val="20"/>
                <w:color w:val="auto"/>
              </w:rPr>
            </w:pPr>
            <w:r>
              <w:rPr>
                <w:rFonts w:ascii="Arial" w:cs="Arial" w:eastAsia="Arial" w:hAnsi="Arial"/>
                <w:sz w:val="18"/>
                <w:szCs w:val="18"/>
                <w:color w:val="auto"/>
              </w:rPr>
              <w:t>51.6</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All 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$ 545.9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$ 582.0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Net sales for the nine months ended September 30, 2007 decreased $36.2 million, or 6.2% compared to the nine months ended October 1, 2006. Net sales generated in the three operating segments during the current period were $492.5 million, a decrease of $51.1 million or 9.4% from the net sales of our three reportable segments for the prior-year period, primarily due to a decrease in sales in the Semiconductor Manufacturing Services segment offset by an increase in sales from the Display Solutions and Imaging Solutions segments.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nine months ended September 30, 2007 were $223.3 million, a $8.2 million or 3.8%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$215.1 million for the nine months ended October 1, 2006. The increase resulted primarily from increased sales volume of our display driver products for LCD televisions and PC monitors and was partially offset by decrease in average selling prices of our display driver products for notebook computers and small panel displays.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$3.9 million in the current period, or 8.2%, compared to net sales generated in the prior-year period. This increase was primarily due to significantly higher sales of small form factor VGA products and, to a lesser extent, higher 1.3 MP product sales due to an increase in market demand for mobile phones and PC cameras. This revenue increase from these products was partially offset by a sharp decrease in 1.0 MP product sales due to a shift in market demand to 1.3 MP products.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Net sales from Semiconductor Manufacturing Services for the nine months ended September 30, 2007 were</w:t>
      </w:r>
      <w:r>
        <w:rPr>
          <w:rFonts w:ascii="Arial" w:cs="Arial" w:eastAsia="Arial" w:hAnsi="Arial"/>
          <w:sz w:val="16"/>
          <w:szCs w:val="16"/>
          <w:i w:val="1"/>
          <w:iCs w:val="1"/>
          <w:color w:val="auto"/>
        </w:rPr>
        <w:t xml:space="preserve"> </w:t>
      </w:r>
      <w:r>
        <w:rPr>
          <w:rFonts w:ascii="Arial" w:cs="Arial" w:eastAsia="Arial" w:hAnsi="Arial"/>
          <w:sz w:val="16"/>
          <w:szCs w:val="16"/>
          <w:color w:val="auto"/>
        </w:rPr>
        <w:t>$217.6 million, a $63.2 million, or a 22.5%, decrease compared to net sales of $280.8 million for the nine months ended October 1, 2006. This decrease was primarily due to a decline in sales volume as a result of higher inventory balances held by our customers in the analog and power end markets in the first quarter of 2007, as compared to the same period of the prior year and to a lesser extent, a decrease in the average selling prices of our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nine months ended September 30, 2007 were $53.4 million compared to $38.4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1, 2006. This increase of $15.0 million substantially represents the revenue increase from our unit processing service.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nine months ended September 30, 2007 and October 1, 2006:</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September 30, 2007</w:t>
            </w:r>
          </w:p>
        </w:tc>
        <w:tc>
          <w:tcPr>
            <w:tcW w:w="5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October 1, 2006</w:t>
            </w:r>
          </w:p>
        </w:tc>
        <w:tc>
          <w:tcPr>
            <w:tcW w:w="140" w:type="dxa"/>
            <w:vAlign w:val="bottom"/>
          </w:tcPr>
          <w:p>
            <w:pPr>
              <w:spacing w:after="0"/>
              <w:rPr>
                <w:sz w:val="15"/>
                <w:szCs w:val="15"/>
                <w:color w:val="auto"/>
              </w:rPr>
            </w:pPr>
          </w:p>
        </w:tc>
      </w:tr>
      <w:tr>
        <w:trPr>
          <w:trHeight w:val="223"/>
        </w:trPr>
        <w:tc>
          <w:tcPr>
            <w:tcW w:w="5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9"/>
                <w:szCs w:val="19"/>
                <w:color w:val="auto"/>
              </w:rPr>
            </w:pPr>
          </w:p>
        </w:tc>
        <w:tc>
          <w:tcPr>
            <w:tcW w:w="116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86"/>
              </w:rPr>
              <w:t>% of Total</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 of Total</w:t>
            </w:r>
          </w:p>
        </w:tc>
      </w:tr>
      <w:tr>
        <w:trPr>
          <w:trHeight w:val="142"/>
        </w:trPr>
        <w:tc>
          <w:tcPr>
            <w:tcW w:w="5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50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$318.9</w:t>
            </w:r>
          </w:p>
        </w:tc>
        <w:tc>
          <w:tcPr>
            <w:tcW w:w="15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129.7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r>
      <w:tr>
        <w:trPr>
          <w:trHeight w:val="23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rPr>
              <w:t>38.3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r>
      <w:tr>
        <w:trPr>
          <w:trHeight w:val="23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545.9</w:t>
            </w:r>
          </w:p>
        </w:tc>
        <w:tc>
          <w:tcPr>
            <w:tcW w:w="1580" w:type="dxa"/>
            <w:vAlign w:val="bottom"/>
            <w:gridSpan w:val="3"/>
          </w:tcPr>
          <w:p>
            <w:pPr>
              <w:jc w:val="right"/>
              <w:ind w:right="332"/>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582.0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4"/>
              </w:rPr>
              <w:t>Nine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5"/>
              </w:rPr>
              <w:t>September 30, 2007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October 1, 2006</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6"/>
        </w:trPr>
        <w:tc>
          <w:tcPr>
            <w:tcW w:w="5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5"/>
              <w:spacing w:after="0" w:line="116"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9"/>
              <w:spacing w:after="0" w:line="116"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net sales</w:t>
            </w:r>
          </w:p>
        </w:tc>
        <w:tc>
          <w:tcPr>
            <w:tcW w:w="26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net sales</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9"/>
              </w:rPr>
              <w:t>millions;</w:t>
            </w:r>
          </w:p>
        </w:tc>
        <w:tc>
          <w:tcPr>
            <w:tcW w:w="3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31.3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Imaging Solutions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46.3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All 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12"/>
              <w:spacing w:after="0"/>
              <w:rPr>
                <w:sz w:val="20"/>
                <w:szCs w:val="20"/>
                <w:color w:val="auto"/>
              </w:rPr>
            </w:pPr>
            <w:r>
              <w:rPr>
                <w:rFonts w:ascii="Arial" w:cs="Arial" w:eastAsia="Arial" w:hAnsi="Arial"/>
                <w:sz w:val="18"/>
                <w:szCs w:val="18"/>
                <w:color w:val="auto"/>
              </w:rPr>
              <w:t>9.2</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Total gross profit decreased $7.4 million in the nine months ended September 30, 2007, or 9.1%, compared to the gross profit generated in the nine months ended October 1, 2006. Gross profit percentage for the nine months ended September 30, 2007 was 13.6% of net sales, a decrease of 0.4% from 14.0% for the nine months ended October 1, 2006. This decline in gross profit percentage was primarily attributable to an overall decrease in average selling prices.</w:t>
      </w:r>
    </w:p>
    <w:p>
      <w:pPr>
        <w:spacing w:after="0" w:line="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nine months ended September 30, 2007 declined to 8.9% compared to 14.6%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October 1, 2006. This decline in gross profit percentage was primarily attributable to a decrease in sales volume and the average selling price of small panel display products.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the current period improved compared to the prior-year period primarily due to a decrease in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 resulting from impairment charges in the second quarter of 2006, offset in part by a decrease in average selling prices and increased material costs for small form factor VGA products.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14.6%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from 16.5% in the nine months ended October 1, 2006. This decrease was primarily due to a decrease in average selling prices caused by a decline in customer demand and a shift in product mix.</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Gross profit percentage for All other for the current period increased to 37.2% from 24.0% for the prior-year period. This improvement in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profit percentage is primarily attributable to an increase in sales volume for unit processing and lower fixed costs per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$71.9 million or 13.2% of net sales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2007 compared to $66.4 million or 11.4% for the nine months ended October 1, 2006. The increase of $5.5 million or 8.3% from the prior-year period was mainly attributable to a charge taken for a settlement with a former subcontractor of $1.3 million. These increases were partially offset by decreases in depreciation and amortization expenses resulting from impairment charges taken during the second quarter of 2006.</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period were $101.1 million, an increase of $5.2 million or 5.3%</w:t>
      </w:r>
      <w:r>
        <w:rPr>
          <w:rFonts w:ascii="Arial" w:cs="Arial" w:eastAsia="Arial" w:hAnsi="Arial"/>
          <w:sz w:val="16"/>
          <w:szCs w:val="16"/>
          <w:i w:val="1"/>
          <w:iCs w:val="1"/>
          <w:color w:val="auto"/>
        </w:rPr>
        <w:t xml:space="preserve"> </w:t>
      </w:r>
      <w:r>
        <w:rPr>
          <w:rFonts w:ascii="Arial" w:cs="Arial" w:eastAsia="Arial" w:hAnsi="Arial"/>
          <w:sz w:val="16"/>
          <w:szCs w:val="16"/>
          <w:color w:val="auto"/>
        </w:rPr>
        <w:t>from $95.9 million for the prior year period mainly due to an increase in photomask usage of $3.4 million for new product development. This increase in research and development expenses essentially represented our focus on the introduction of new products. As a percentage of net sales, research and development expenses for the current period increased to 18.5% compared to 16.5% for the prior-year period.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nine months ended September 30, 2007, we recognized restructuring and impairment charges of $12.1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consisted of $10.1 million of impairment charges under</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i w:val="1"/>
          <w:iCs w:val="1"/>
          <w:color w:val="auto"/>
        </w:rPr>
        <w:t xml:space="preserve">FASB Statement No. 144 Accounting for the Impairment or Disposal of Long-Lived Assets </w:t>
      </w:r>
      <w:r>
        <w:rPr>
          <w:rFonts w:ascii="Arial" w:cs="Arial" w:eastAsia="Arial" w:hAnsi="Arial"/>
          <w:sz w:val="16"/>
          <w:szCs w:val="16"/>
          <w:color w:val="auto"/>
        </w:rPr>
        <w:t>(“SFAS No. 144”) and $2.0 million of restructuring charges under</w:t>
      </w:r>
      <w:r>
        <w:rPr>
          <w:rFonts w:ascii="Arial" w:cs="Arial" w:eastAsia="Arial" w:hAnsi="Arial"/>
          <w:sz w:val="16"/>
          <w:szCs w:val="16"/>
          <w:i w:val="1"/>
          <w:iCs w:val="1"/>
          <w:color w:val="auto"/>
        </w:rPr>
        <w:t xml:space="preserve"> FASB Statement No. 146 Accounting for Costs Associated with Exit or Disposal Activities </w:t>
      </w:r>
      <w:r>
        <w:rPr>
          <w:rFonts w:ascii="Arial" w:cs="Arial" w:eastAsia="Arial" w:hAnsi="Arial"/>
          <w:sz w:val="16"/>
          <w:szCs w:val="16"/>
          <w:color w:val="auto"/>
        </w:rPr>
        <w:t>(“SFAS No. 146”)</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impairment charges were recorded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closure of our five-inch wafer fabrication facility that has generated losses and no longer supports our strategic technology roadmap. This facility closing is expected to be completed within the next several months. During the nine months ended October 1, 2006, we determined, based on revised forecasts, that the projected demand for certain of our products in our Imaging Solutions business was significantly less than previously forecasted and that this decline was not temporary or seasonal. Therefore, we assessed whether there has been a material impairment of the asset group and recorded impairment and restructuring charges of $93.9 million. The amount included $92.5 million of impairment charges recorded under SFAS No. 144 and $1.4 million of restructuring charges under SFAS No. 146. The impairment charges were recorded against a group of assets comprising of one of our fabrication facilities and certain related technology and customer-based intangible assets in our Imaging Solutions business, and the restructuring charges were incurred in association with certain changes in our management and the early retirement of certain employees.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$44.7 million during the nine month period ended September 30, 2007, consistent with $43.0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October 1, 2006. Interest expense was incurred to service our notes in the amount of $750.0 million and drawings under our senior secured credit facility. At September 30, 2007, the notes bore interest at a weighted average interest rate of 7.94%. Drawings under our senior secured credit facilities bore interest at September 30, 2007 at either three-month LIBOR plus 4.75% or ABR plus 3.75%. The increase in net interest expense was mainly due to a decrease in interest income from financial assets including cash and cash equivalents and an increase in interest expense driven by drawdowns from our senior secured credit facility.</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Net Foreign Currency Gain or Loss. </w:t>
      </w:r>
      <w:r>
        <w:rPr>
          <w:rFonts w:ascii="Arial" w:cs="Arial" w:eastAsia="Arial" w:hAnsi="Arial"/>
          <w:sz w:val="16"/>
          <w:szCs w:val="16"/>
          <w:color w:val="auto"/>
        </w:rPr>
        <w:t>Net foreign currency gain for the nine months ended September 30, 2007 was $11.3 million, compared to net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gain of $40.9 million for the nine months ended October 1, 2006. A substantial portion of our net foreign currency gain or loss is non-cash translation gain or loss recorded for intercompany borrowings at our Korean subsidiary and is affected by changes in the exchange rate between the Korean won and the U.S. dollar. The Korean won to U.S. dollar exchange rates were 913.6:1 and 946.0:1 using the noon buying rate in effect as of September 30, 2007 and October 1, 2006, respectively, as quoted by the Federal Reserve Bank of New York.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period were $6.6 million, compared to income tax expenses of $6.8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2006. Our income tax expenses are mostly composed of withholding taxes on intercompany interest payments and changes in deferred tax assets. Due to the uncertainty of the utilization of foreign tax credits, we did not recognize these withholding taxes as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September 30, 2007, we had total long-term debt outstanding of $750 million.</w:t>
      </w:r>
    </w:p>
    <w:p>
      <w:pPr>
        <w:spacing w:after="0" w:line="113"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Our principal sources of liquidity are our cash, cash equivalents and available borrowings under our senior secured credit facility of $100 million. As of September 30, 2007, our cash and cash equivalents balance was $61.9 million, or 8.3%, of our total assets, a $27.3 million decrease from $89.2 million or 11.6% of total assets as of December 31, 2006. The decrease in cash and cash equivalents during the nine-month period ended September 30, 2007 was primarily attributable to a cash outflow of $13.2 million in operating activities, coupled with a cash outflow related to capital expenditures during such period of $64.9 million.</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During the nine months ended September 30, 2007, net cash used in operating activities was $13.2 million, compared to $36.6 million of net cash generated by operating activities during the year-ago period. This decrease in cash from operating activities between the two periods was primarily attributable to changes in operating assets and liabilities of $30.0 million, mostly impacted by an increase in accounts receivable due to higher sales and increases in inventories primarily due to the anticipation of sales growth. The net operating cash outflow for the current period principally reflects our net loss of $151.1 million adjusted by non-cash charges of $156.6 million, which mainly consisted of depreciation, impairment and amortization charges and an increase in working capital of $18.7 million.</w:t>
      </w:r>
    </w:p>
    <w:p>
      <w:pPr>
        <w:spacing w:after="0" w:line="10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working capital balance as of September 30, 2007 was $59.3 million compared to $122.6 million as of December 31, 2006. The decrease of $63.3 million in our working capital balance was mainly due to a $117.4 million increase in current liabilities and $27.3 million reduction in cash and cash equivalents which was used to support our large capital investments and operations. This decrease was partially offset by an increase in accounts receivable of $47.7 million and a build-up in inventory of $36.3 million in anticipation of sales growth in future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investing activities, the net cash outlay during the nine months ended September 30, 2007 was $64.4 million, compared to $20.2 million in the prior-year period, primarily relating to capacity expansion and technology improvements at a fabrication facility and working capital build in anticipation of sales growth in future periods.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generated $50.5 million during the nine months ended September 30, 2007 from financing activities compared to the usage of $0.3 million for the nine-month period ended October 1, 2006. During the nine months ended September 30, 2007, we borrowed $70.4 million under our senior secured credit facility while we repaid borrowings under that facility of $20.0 million during the same period.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nine months ended September 30, 2007, capital expenditures were $64.9 million, a $36.9 million or 131.7% increase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$28.0 million for the nine months ended October 1, 2006.</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meeting required debt payments and funding working capital needs. We anticipate that our operating cash flows, together with the available borrowings, if any, under our senior secured credit facility, will be sufficient to meet these capital requirements for the foreseeable future. We may from time to time also incur additional debt.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Summarized in the table below are estimates of future payments under debt obligations and minimum lease payment obligations at September 30, 2007.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left="219"/>
              <w:spacing w:after="0"/>
              <w:rPr>
                <w:sz w:val="20"/>
                <w:szCs w:val="20"/>
                <w:color w:val="auto"/>
              </w:rPr>
            </w:pPr>
            <w:r>
              <w:rPr>
                <w:rFonts w:ascii="Arial" w:cs="Arial" w:eastAsia="Arial" w:hAnsi="Arial"/>
                <w:sz w:val="14"/>
                <w:szCs w:val="14"/>
                <w:b w:val="1"/>
                <w:bCs w:val="1"/>
                <w:color w:val="auto"/>
                <w:w w:val="86"/>
              </w:rPr>
              <w:t>Payments Due by Period</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8"/>
              <w:spacing w:after="0" w:line="169" w:lineRule="exact"/>
              <w:rPr>
                <w:sz w:val="20"/>
                <w:szCs w:val="20"/>
                <w:color w:val="auto"/>
              </w:rPr>
            </w:pPr>
            <w:r>
              <w:rPr>
                <w:rFonts w:ascii="Arial" w:cs="Arial" w:eastAsia="Arial" w:hAnsi="Arial"/>
                <w:sz w:val="12"/>
                <w:szCs w:val="12"/>
                <w:b w:val="1"/>
                <w:bCs w:val="1"/>
                <w:color w:val="auto"/>
                <w:w w:val="94"/>
              </w:rPr>
              <w:t>2007</w:t>
            </w:r>
            <w:r>
              <w:rPr>
                <w:rFonts w:ascii="Arial" w:cs="Arial" w:eastAsia="Arial" w:hAnsi="Arial"/>
                <w:sz w:val="19"/>
                <w:szCs w:val="19"/>
                <w:b w:val="1"/>
                <w:bCs w:val="1"/>
                <w:color w:val="auto"/>
                <w:w w:val="94"/>
                <w:vertAlign w:val="superscript"/>
              </w:rPr>
              <w:t>(1)</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Thereafter</w:t>
            </w:r>
          </w:p>
        </w:tc>
      </w:tr>
      <w:tr>
        <w:trPr>
          <w:trHeight w:val="142"/>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76"/>
              </w:rPr>
              <w:t>(in millions)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(2)(3)</w:t>
            </w:r>
          </w:p>
        </w:tc>
        <w:tc>
          <w:tcPr>
            <w:tcW w:w="2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line="217" w:lineRule="exact"/>
              <w:rPr>
                <w:sz w:val="20"/>
                <w:szCs w:val="20"/>
                <w:color w:val="auto"/>
              </w:rPr>
            </w:pPr>
            <w:r>
              <w:rPr>
                <w:rFonts w:ascii="Arial" w:cs="Arial" w:eastAsia="Arial" w:hAnsi="Arial"/>
                <w:sz w:val="18"/>
                <w:szCs w:val="18"/>
                <w:color w:val="auto"/>
              </w:rPr>
              <w:t>Notes</w:t>
            </w:r>
            <w:r>
              <w:rPr>
                <w:rFonts w:ascii="Arial" w:cs="Arial" w:eastAsia="Arial" w:hAnsi="Arial"/>
                <w:sz w:val="22"/>
                <w:szCs w:val="22"/>
                <w:color w:val="auto"/>
                <w:vertAlign w:val="superscript"/>
              </w:rPr>
              <w:t>(2)</w:t>
            </w:r>
          </w:p>
        </w:tc>
        <w:tc>
          <w:tcPr>
            <w:tcW w:w="218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Others</w:t>
            </w:r>
          </w:p>
        </w:tc>
        <w:tc>
          <w:tcPr>
            <w:tcW w:w="218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8"/>
          <w:szCs w:val="18"/>
          <w:color w:val="auto"/>
        </w:rPr>
        <w:t>Represents amounts due to be paid in the quarter ended December 31, 2007.</w:t>
      </w:r>
    </w:p>
    <w:p>
      <w:pPr>
        <w:ind w:left="460" w:hanging="452"/>
        <w:spacing w:after="0" w:line="203" w:lineRule="auto"/>
        <w:tabs>
          <w:tab w:leader="none" w:pos="460" w:val="left"/>
        </w:tabs>
        <w:numPr>
          <w:ilvl w:val="0"/>
          <w:numId w:val="6"/>
        </w:numPr>
        <w:rPr>
          <w:rFonts w:ascii="Arial" w:cs="Arial" w:eastAsia="Arial" w:hAnsi="Arial"/>
          <w:sz w:val="11"/>
          <w:szCs w:val="11"/>
          <w:color w:val="auto"/>
        </w:rPr>
      </w:pPr>
      <w:r>
        <w:rPr>
          <w:rFonts w:ascii="Arial" w:cs="Arial" w:eastAsia="Arial" w:hAnsi="Arial"/>
          <w:sz w:val="18"/>
          <w:szCs w:val="18"/>
          <w:color w:val="auto"/>
        </w:rPr>
        <w:t>Excludes interest obligations thereon.</w:t>
      </w:r>
    </w:p>
    <w:p>
      <w:pPr>
        <w:ind w:left="460" w:hanging="452"/>
        <w:spacing w:after="0"/>
        <w:tabs>
          <w:tab w:leader="none" w:pos="460" w:val="left"/>
        </w:tabs>
        <w:numPr>
          <w:ilvl w:val="0"/>
          <w:numId w:val="6"/>
        </w:numPr>
        <w:rPr>
          <w:rFonts w:ascii="Arial" w:cs="Arial" w:eastAsia="Arial" w:hAnsi="Arial"/>
          <w:sz w:val="11"/>
          <w:szCs w:val="11"/>
          <w:color w:val="auto"/>
        </w:rPr>
      </w:pPr>
      <w:r>
        <w:rPr>
          <w:rFonts w:ascii="Arial" w:cs="Arial" w:eastAsia="Arial" w:hAnsi="Arial"/>
          <w:sz w:val="18"/>
          <w:szCs w:val="18"/>
          <w:color w:val="auto"/>
        </w:rPr>
        <w:t>Represents amounts outstanding under the senior secured credit facility.</w:t>
      </w:r>
    </w:p>
    <w:p>
      <w:pPr>
        <w:spacing w:after="0" w:line="63" w:lineRule="exact"/>
        <w:rPr>
          <w:sz w:val="20"/>
          <w:szCs w:val="20"/>
          <w:color w:val="auto"/>
        </w:rPr>
      </w:pPr>
    </w:p>
    <w:p>
      <w:pPr>
        <w:jc w:val="both"/>
        <w:ind w:right="24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our ability and that of our subsidiaries to (1) incur additional indebtedness, (2) pay dividends or make other distributions on our capital stock or repurchase, repay or redeem our capital stock, (3) make certain investments, (4) 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our unrecognized tax benefits totaled $1.6 million. These unrecognized tax benefits have been excluded from the above table because we cannot estimate the period of cash settlement with the respective taxing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September 30, 2007 and December 31, 2006 was $35.5 million and $93.8 million, respectively. The utilized portions of the credit facility are related to the issuance of letters of credit and cash drawdowns.</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Option for Financial Assets and Financial Liabilities,</w:t>
      </w:r>
      <w:r>
        <w:rPr>
          <w:rFonts w:ascii="Arial" w:cs="Arial" w:eastAsia="Arial" w:hAnsi="Arial"/>
          <w:sz w:val="16"/>
          <w:szCs w:val="16"/>
          <w:color w:val="auto"/>
        </w:rPr>
        <w:t>” 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4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Generally,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16"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In addition, as prescribed in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right="200" w:firstLine="456"/>
        <w:spacing w:after="0" w:line="284" w:lineRule="auto"/>
        <w:rPr>
          <w:sz w:val="20"/>
          <w:szCs w:val="20"/>
          <w:color w:val="auto"/>
        </w:rPr>
      </w:pPr>
      <w:r>
        <w:rPr>
          <w:rFonts w:ascii="Arial" w:cs="Arial" w:eastAsia="Arial" w:hAnsi="Arial"/>
          <w:sz w:val="16"/>
          <w:szCs w:val="16"/>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1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account for income taxes in accordance with SFAS No. 109, Accounting for Income Taxes.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one particular subsidiary was not established since it is more likely than not that the deferred tax assets at this subsidiary will be realizable based on the current prospects for its future taxable income.</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an interpretation of SFAS No.109.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foreign currency exchange-rate fluctuations on net income from our subsidiaries denominated in currencies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2007 for our Korean subsidiary, a 10% devaluation of the Korean won against the U.S. dollar would have resulted in a decrease of $1.0 million in our U.S. dollar financial instruments balance and cash balance. Based on the Japanese yen cash balance at September 30, 2007, a 10% devaluation of the Japanese yen against the U.S. dollar would have resulted in a decrease of $0.6 million in our U.S. dollar cash balance.</w:t>
      </w:r>
    </w:p>
    <w:p>
      <w:pPr>
        <w:spacing w:after="0" w:line="145" w:lineRule="exact"/>
        <w:rPr>
          <w:sz w:val="20"/>
          <w:szCs w:val="20"/>
          <w:color w:val="auto"/>
        </w:rPr>
      </w:pPr>
    </w:p>
    <w:p>
      <w:pPr>
        <w:ind w:right="80" w:firstLine="456"/>
        <w:spacing w:after="0" w:line="23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September 30, 2007, we estimate that we would have additional interest expense costs over the market rate of $2.2 million for the nine months ended September 30, 2007. The fair value of these fixed rate notes would have decreased by $7.4 million or increased by $7.7 million with a 10% increase or decrease in the interest rate, respectively.</w:t>
      </w:r>
    </w:p>
    <w:p>
      <w:pPr>
        <w:spacing w:after="0" w:line="18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Cash Flow Interest Rate Risk</w:t>
      </w:r>
      <w:r>
        <w:rPr>
          <w:rFonts w:ascii="Arial" w:cs="Arial" w:eastAsia="Arial" w:hAnsi="Arial"/>
          <w:sz w:val="16"/>
          <w:szCs w:val="16"/>
          <w:color w:val="auto"/>
        </w:rPr>
        <w:t>. In 2005, we entered into an interest rate swap agreement to convert the variable interest rate on our Floating Rate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Senior Secured Notes to a fixed interest rate for the periods to maturity date of June 2008. Pursuant to this interest rate swap and during the duration of such swap, cash flow interest rate risk was replaced with exposure to interest rate risk. For details, refer to “Note 6. Long-term Borrowings.”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or the Exchange Act, our management, including our Chief Executive Officer, or our CEO, and our Chief Financial Officer, or our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Our internal control over financial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reporting is designed to provide reasonable assurance regarding the reliability of our financial reporting and preparation of financial statements for external purposes in accordance with generally accepted accounting principles. Because of its inherent limitations, internal control over financial reporting may not prevent or detect misstatements.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3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change production quantities or delay production.</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190 customers in the nine-month period ended September 30, 2007, net sales to our 10 largest customers represented approximately 61.6% of our net sales for the period. One customer represented greater than 10% of our net sales during the nine-month period ended September 30, 2007. Significant reductions in sales to any of these customers, the loss of major customers or a general curtailment in orders for our high volume products or services within a short period of time would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both within our products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offer cost effective and high quality products and services on a timely basis using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79"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12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Demand for our products will depend in part on the changes in demand for various consumer electronics products including digital televisions, notebook computers, flat panel displays and mobile phones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12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missed opportunities due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expend considerable resources to achieve design wins for our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6"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0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12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and a number of other key managerial, marketing, planning, financial, technical and operations personnel. The loss of such key personnel could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Since we began operations as a separate entity in 2004, we have not generated a profit and have generated significant net losses. As of September 30, 2007, we had an accumulated deficit of approximately $531.8 million and negative unitholders’ equity. To become profitable, we will need to generate and sustain substantially higher revenue while maintaining or reducing expenses. We currently expect to incur higher expenses levels in each of the next several quarters to support increased research and development and sales and marketing efforts. These expenditures may not result in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4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2007, approximately 61%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3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senior secured credit facility and the indentures governing our notes may restrict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film. The packaging and testing of semiconductors require technical skill and specialized equipment. For a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use a wide range of parts and materials in the production of our semiconductors, including silicon, processing chemicals, processing gasses, precious metals and electronic and mechanical components. We procure materials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company organizational structure is based on assumptions about the various tax laws, including withholding tax, and other laws of applicable non-U.S. jurisdictions. In addition, our Korean 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12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39" w:lineRule="exact"/>
        <w:rPr>
          <w:sz w:val="20"/>
          <w:szCs w:val="20"/>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stop our manufacture, use, sale or importation of infringing products; expend significant resources to develop or acquire non-infringing technologies;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cannot assure you that we would be successful in such development or acquisition or that such licenses would be available under reasonable terms, or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We cannot assure you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unitholders could suffer significant dilution, and any new equity interests we issue could have rights, preferences or privileges senior to those of the holders of our outstanding units.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3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12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offerings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1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of contractual obligations and protection of intellectual property. These risks may lead to increased costs or decreased revenue growth, or both. Although we do not derive any revenue from, nor sell any products in, North Korea, any future increase in tensions between Korea and North Korea which may occur, for example, an out break of military hostilities, would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the first nine months of 2007, more than 50%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05"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2007, our total indebtedness was approximately $800.6 million. Our substantial debt could have important consequences, including:</w:t>
      </w:r>
    </w:p>
    <w:p>
      <w:pPr>
        <w:spacing w:after="0" w:line="113"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900" w:right="640" w:hanging="446"/>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12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and could result in investigations or sanctions by the SEC or other regulatory authorities or in equityholder litigation. Any of these factors ultimately could harm our business and could negatively impact the market price of our securities. Ineffective control over financial reporting could also cause investors to lose confidence in our reported financial information.</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need to incur impairment and other restructuring charges, which could materially affect our results of operations and financial conditions.</w:t>
      </w:r>
    </w:p>
    <w:p>
      <w:pPr>
        <w:spacing w:after="0" w:line="20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industry downturns and for other reasons, we may need to record impairment or restructuring charges. From the Original Acquisition in October 2004 through September 30, 2007, we recognized aggregate restructuring and impairment charges of $142.6 million, which consisted of $136.5 million of impairment charges and $6.1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August 22, 2007, a former executive of the Company exercised options to acquire 30,937.50 of our common units at a purchase price of $30,937.50. Because the offering transaction took place outside the U.S. and the optionee was not a U.S. person, these securities were exempt from registration under Regulation S of the Securities Act of 1933, as amended.</w:t>
      </w:r>
    </w:p>
    <w:p>
      <w:pPr>
        <w:spacing w:after="0" w:line="14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On October 25, 2007, a former employee of the Company exercised options to acquire 1,500 of our common units at a purchase price of $2,000.00. Because the offering transaction took place outside the U.S. and the optionee was not a U.S. person, these securities were exempt from registration under Regulation S of the Securities Act of 1933, as amended.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75"/>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5"/>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MAGNACHIP SEMICONDUCTOR LLC</w:t>
            </w:r>
          </w:p>
        </w:tc>
      </w:tr>
      <w:tr>
        <w:trPr>
          <w:trHeight w:val="434"/>
        </w:trPr>
        <w:tc>
          <w:tcPr>
            <w:tcW w:w="3780" w:type="dxa"/>
            <w:vAlign w:val="bottom"/>
          </w:tcPr>
          <w:p>
            <w:pPr>
              <w:spacing w:after="0"/>
              <w:rPr>
                <w:sz w:val="20"/>
                <w:szCs w:val="20"/>
                <w:color w:val="auto"/>
              </w:rPr>
            </w:pPr>
            <w:r>
              <w:rPr>
                <w:rFonts w:ascii="Arial" w:cs="Arial" w:eastAsia="Arial" w:hAnsi="Arial"/>
                <w:sz w:val="18"/>
                <w:szCs w:val="18"/>
                <w:color w:val="auto"/>
              </w:rPr>
              <w:t>Dated: November 14, 2007</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Sang Park</w:t>
            </w:r>
          </w:p>
        </w:tc>
      </w:tr>
      <w:tr>
        <w:trPr>
          <w:trHeight w:val="201"/>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Sang Park</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434"/>
        </w:trPr>
        <w:tc>
          <w:tcPr>
            <w:tcW w:w="3780" w:type="dxa"/>
            <w:vAlign w:val="bottom"/>
          </w:tcPr>
          <w:p>
            <w:pPr>
              <w:spacing w:after="0"/>
              <w:rPr>
                <w:sz w:val="20"/>
                <w:szCs w:val="20"/>
                <w:color w:val="auto"/>
              </w:rPr>
            </w:pPr>
            <w:r>
              <w:rPr>
                <w:rFonts w:ascii="Arial" w:cs="Arial" w:eastAsia="Arial" w:hAnsi="Arial"/>
                <w:sz w:val="18"/>
                <w:szCs w:val="18"/>
                <w:color w:val="auto"/>
              </w:rPr>
              <w:t>Dated: November 14, 2007</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Robert J. Krakauer</w:t>
            </w:r>
          </w:p>
        </w:tc>
      </w:tr>
      <w:tr>
        <w:trPr>
          <w:trHeight w:val="201"/>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Robert J. Krakauer</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r>
        <w:trPr>
          <w:trHeight w:val="365"/>
        </w:trPr>
        <w:tc>
          <w:tcPr>
            <w:tcW w:w="3780" w:type="dxa"/>
            <w:vAlign w:val="bottom"/>
          </w:tcPr>
          <w:p>
            <w:pPr>
              <w:spacing w:after="0"/>
              <w:rPr>
                <w:sz w:val="24"/>
                <w:szCs w:val="24"/>
                <w:color w:val="auto"/>
              </w:rPr>
            </w:pPr>
          </w:p>
        </w:tc>
        <w:tc>
          <w:tcPr>
            <w:tcW w:w="2520" w:type="dxa"/>
            <w:vAlign w:val="bottom"/>
          </w:tcPr>
          <w:p>
            <w:pPr>
              <w:jc w:val="right"/>
              <w:ind w:right="412"/>
              <w:spacing w:after="0"/>
              <w:rPr>
                <w:sz w:val="20"/>
                <w:szCs w:val="20"/>
                <w:color w:val="auto"/>
              </w:rPr>
            </w:pPr>
            <w:r>
              <w:rPr>
                <w:rFonts w:ascii="Arial" w:cs="Arial" w:eastAsia="Arial" w:hAnsi="Arial"/>
                <w:sz w:val="18"/>
                <w:szCs w:val="18"/>
                <w:color w:val="auto"/>
              </w:rPr>
              <w:t>47</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jc w:val="center"/>
              <w:ind w:right="955"/>
              <w:spacing w:after="0"/>
              <w:rPr>
                <w:sz w:val="20"/>
                <w:szCs w:val="20"/>
                <w:color w:val="auto"/>
              </w:rPr>
            </w:pPr>
            <w:r>
              <w:rPr>
                <w:rFonts w:ascii="Arial" w:cs="Arial" w:eastAsia="Arial" w:hAnsi="Arial"/>
                <w:sz w:val="18"/>
                <w:szCs w:val="18"/>
                <w:color w:val="auto"/>
                <w:w w:val="96"/>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75"/>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September 30, 2007,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September 30, 2007,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2019-12-15T11:53:51Z</dcterms:created>
  <dcterms:modified xsi:type="dcterms:W3CDTF">2019-12-15T11:53:51Z</dcterms:modified>
</cp:coreProperties>
</file>