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6"/>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5398770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4570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57009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54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Brigade Capital Management GP, LLC</w:t>
        </w:r>
      </w:hyperlink>
    </w:p>
    <w:p>
      <w:pPr>
        <w:spacing w:after="0" w:line="34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399 PARK AVENUE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MX </w:t>
      </w:r>
      <w:r>
        <w:rPr>
          <w:rFonts w:ascii="Arial" w:cs="Arial" w:eastAsia="Arial" w:hAnsi="Arial"/>
          <w:sz w:val="20"/>
          <w:szCs w:val="20"/>
          <w:color w:val="000000"/>
        </w:rPr>
        <w: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6" w:right="760" w:firstLine="6"/>
        <w:spacing w:after="0" w:line="237"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54"/>
        <w:spacing w:after="0"/>
        <w:tabs>
          <w:tab w:leader="none" w:pos="1834" w:val="left"/>
          <w:tab w:leader="none" w:pos="21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54"/>
        <w:spacing w:after="0"/>
        <w:tabs>
          <w:tab w:leader="none" w:pos="21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51" w:lineRule="exact"/>
        <w:rPr>
          <w:sz w:val="24"/>
          <w:szCs w:val="24"/>
          <w:color w:val="auto"/>
        </w:rPr>
      </w:pPr>
    </w:p>
    <w:p>
      <w:pPr>
        <w:sectPr>
          <w:pgSz w:w="11900" w:h="16838" w:orient="portrait"/>
          <w:cols w:equalWidth="0" w:num="3">
            <w:col w:w="3340" w:space="720"/>
            <w:col w:w="3640" w:space="346"/>
            <w:col w:w="3474"/>
          </w:cols>
          <w:pgMar w:left="240" w:top="221" w:right="139" w:bottom="1440" w:gutter="0" w:footer="0" w:header="0"/>
          <w:type w:val="continuous"/>
        </w:sectPr>
      </w:pPr>
    </w:p>
    <w:p>
      <w:pPr>
        <w:spacing w:after="0" w:line="88"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1020" w:type="dxa"/>
            <w:vAlign w:val="bottom"/>
          </w:tcPr>
          <w:p>
            <w:pPr>
              <w:ind w:left="2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right="200" w:hanging="4192"/>
        <w:spacing w:after="0" w:line="306"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 xml:space="preserve">6. Individual or Joint/Group Filing (Check Applicable Line) </w:t>
      </w: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p>
      <w:pPr>
        <w:spacing w:after="0" w:line="12" w:lineRule="exact"/>
        <w:rPr>
          <w:sz w:val="24"/>
          <w:szCs w:val="24"/>
          <w:color w:val="auto"/>
        </w:rPr>
      </w:pPr>
    </w:p>
    <w:p>
      <w:pPr>
        <w:ind w:left="560"/>
        <w:spacing w:after="0"/>
        <w:rPr>
          <w:sz w:val="20"/>
          <w:szCs w:val="20"/>
          <w:color w:val="auto"/>
        </w:rPr>
      </w:pPr>
      <w:r>
        <w:rPr>
          <w:rFonts w:ascii="Arial" w:cs="Arial" w:eastAsia="Arial" w:hAnsi="Arial"/>
          <w:sz w:val="13"/>
          <w:szCs w:val="13"/>
          <w:color w:val="auto"/>
        </w:rPr>
        <w:t>Form filed by More than One Reporting Person</w:t>
      </w:r>
    </w:p>
    <w:p>
      <w:pPr>
        <w:spacing w:after="0" w:line="463" w:lineRule="exact"/>
        <w:rPr>
          <w:sz w:val="24"/>
          <w:szCs w:val="24"/>
          <w:color w:val="auto"/>
        </w:rPr>
      </w:pPr>
    </w:p>
    <w:p>
      <w:pPr>
        <w:sectPr>
          <w:pgSz w:w="11900" w:h="16838" w:orient="portrait"/>
          <w:cols w:equalWidth="0" w:num="2">
            <w:col w:w="7320" w:space="720"/>
            <w:col w:w="3480"/>
          </w:cols>
          <w:pgMar w:left="240" w:top="221"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5.00%</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86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8"/>
              </w:rPr>
              <w:t>Stock,</w:t>
            </w: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86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w w:val="94"/>
              </w:rPr>
              <w:t>Exchangeable</w:t>
            </w: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20"/>
              <w:spacing w:after="0" w:line="189" w:lineRule="exact"/>
              <w:rPr>
                <w:sz w:val="20"/>
                <w:szCs w:val="20"/>
                <w:color w:val="auto"/>
              </w:rPr>
            </w:pPr>
            <w:r>
              <w:rPr>
                <w:rFonts w:ascii="Arial" w:cs="Arial" w:eastAsia="Arial" w:hAnsi="Arial"/>
                <w:sz w:val="17"/>
                <w:szCs w:val="17"/>
                <w:color w:val="0000FF"/>
                <w:w w:val="97"/>
              </w:rPr>
              <w:t>181,708</w:t>
            </w: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vMerge w:val="restart"/>
          </w:tcPr>
          <w:p>
            <w:pPr>
              <w:ind w:left="60"/>
              <w:spacing w:after="0" w:line="137" w:lineRule="exact"/>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7"/>
        </w:trPr>
        <w:tc>
          <w:tcPr>
            <w:tcW w:w="860" w:type="dxa"/>
            <w:vAlign w:val="bottom"/>
            <w:vMerge w:val="continue"/>
          </w:tcPr>
          <w:p>
            <w:pPr>
              <w:spacing w:after="0"/>
              <w:rPr>
                <w:sz w:val="4"/>
                <w:szCs w:val="4"/>
                <w:color w:val="auto"/>
              </w:rPr>
            </w:pPr>
          </w:p>
        </w:tc>
        <w:tc>
          <w:tcPr>
            <w:tcW w:w="760" w:type="dxa"/>
            <w:vAlign w:val="bottom"/>
            <w:vMerge w:val="restart"/>
          </w:tcPr>
          <w:p>
            <w:pPr>
              <w:ind w:left="24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8.26</w:t>
            </w:r>
          </w:p>
        </w:tc>
        <w:tc>
          <w:tcPr>
            <w:tcW w:w="1080" w:type="dxa"/>
            <w:vAlign w:val="bottom"/>
            <w:vMerge w:val="restart"/>
          </w:tcPr>
          <w:p>
            <w:pPr>
              <w:jc w:val="right"/>
              <w:ind w:right="183"/>
              <w:spacing w:after="0" w:line="99" w:lineRule="exact"/>
              <w:rPr>
                <w:sz w:val="20"/>
                <w:szCs w:val="20"/>
                <w:color w:val="auto"/>
              </w:rPr>
            </w:pPr>
            <w:r>
              <w:rPr>
                <w:rFonts w:ascii="Arial" w:cs="Arial" w:eastAsia="Arial" w:hAnsi="Arial"/>
                <w:sz w:val="11"/>
                <w:szCs w:val="11"/>
                <w:color w:val="0000FF"/>
              </w:rPr>
              <w:t>01/19/2017</w:t>
            </w:r>
          </w:p>
        </w:tc>
        <w:tc>
          <w:tcPr>
            <w:tcW w:w="1080" w:type="dxa"/>
            <w:vAlign w:val="bottom"/>
          </w:tcPr>
          <w:p>
            <w:pPr>
              <w:spacing w:after="0"/>
              <w:rPr>
                <w:sz w:val="4"/>
                <w:szCs w:val="4"/>
                <w:color w:val="auto"/>
              </w:rPr>
            </w:pPr>
          </w:p>
        </w:tc>
        <w:tc>
          <w:tcPr>
            <w:tcW w:w="800" w:type="dxa"/>
            <w:vAlign w:val="bottom"/>
            <w:vMerge w:val="restart"/>
          </w:tcPr>
          <w:p>
            <w:pPr>
              <w:ind w:left="180"/>
              <w:spacing w:after="0" w:line="99" w:lineRule="exact"/>
              <w:rPr>
                <w:sz w:val="20"/>
                <w:szCs w:val="20"/>
                <w:color w:val="auto"/>
              </w:rPr>
            </w:pPr>
            <w:r>
              <w:rPr>
                <w:rFonts w:ascii="Arial" w:cs="Arial" w:eastAsia="Arial" w:hAnsi="Arial"/>
                <w:sz w:val="11"/>
                <w:szCs w:val="11"/>
                <w:color w:val="0000FF"/>
              </w:rPr>
              <w:t>S</w:t>
            </w:r>
          </w:p>
        </w:tc>
        <w:tc>
          <w:tcPr>
            <w:tcW w:w="1020" w:type="dxa"/>
            <w:vAlign w:val="bottom"/>
            <w:vMerge w:val="restart"/>
          </w:tcPr>
          <w:p>
            <w:pPr>
              <w:ind w:left="38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1,500,000</w:t>
            </w:r>
          </w:p>
        </w:tc>
        <w:tc>
          <w:tcPr>
            <w:tcW w:w="780" w:type="dxa"/>
            <w:vAlign w:val="bottom"/>
            <w:vMerge w:val="continue"/>
          </w:tcPr>
          <w:p>
            <w:pPr>
              <w:spacing w:after="0"/>
              <w:rPr>
                <w:sz w:val="4"/>
                <w:szCs w:val="4"/>
                <w:color w:val="auto"/>
              </w:rPr>
            </w:pPr>
          </w:p>
        </w:tc>
        <w:tc>
          <w:tcPr>
            <w:tcW w:w="740" w:type="dxa"/>
            <w:vAlign w:val="bottom"/>
            <w:vMerge w:val="restart"/>
          </w:tcPr>
          <w:p>
            <w:pPr>
              <w:ind w:left="80"/>
              <w:spacing w:after="0" w:line="99" w:lineRule="exact"/>
              <w:rPr>
                <w:sz w:val="20"/>
                <w:szCs w:val="20"/>
                <w:color w:val="auto"/>
              </w:rPr>
            </w:pPr>
            <w:r>
              <w:rPr>
                <w:rFonts w:ascii="Arial" w:cs="Arial" w:eastAsia="Arial" w:hAnsi="Arial"/>
                <w:sz w:val="11"/>
                <w:szCs w:val="11"/>
                <w:color w:val="0000FF"/>
              </w:rPr>
              <w:t>03/01/2021</w:t>
            </w:r>
          </w:p>
        </w:tc>
        <w:tc>
          <w:tcPr>
            <w:tcW w:w="660" w:type="dxa"/>
            <w:vAlign w:val="bottom"/>
            <w:vMerge w:val="restart"/>
          </w:tcPr>
          <w:p>
            <w:pPr>
              <w:ind w:left="60"/>
              <w:spacing w:after="0" w:line="99" w:lineRule="exact"/>
              <w:rPr>
                <w:sz w:val="20"/>
                <w:szCs w:val="20"/>
                <w:color w:val="auto"/>
              </w:rPr>
            </w:pPr>
            <w:r>
              <w:rPr>
                <w:rFonts w:ascii="Arial" w:cs="Arial" w:eastAsia="Arial" w:hAnsi="Arial"/>
                <w:sz w:val="11"/>
                <w:szCs w:val="11"/>
                <w:color w:val="0000FF"/>
              </w:rPr>
              <w:t>par value</w:t>
            </w:r>
          </w:p>
        </w:tc>
        <w:tc>
          <w:tcPr>
            <w:tcW w:w="640" w:type="dxa"/>
            <w:vAlign w:val="bottom"/>
            <w:vMerge w:val="continue"/>
          </w:tcPr>
          <w:p>
            <w:pPr>
              <w:spacing w:after="0"/>
              <w:rPr>
                <w:sz w:val="4"/>
                <w:szCs w:val="4"/>
                <w:color w:val="auto"/>
              </w:rPr>
            </w:pPr>
          </w:p>
        </w:tc>
        <w:tc>
          <w:tcPr>
            <w:tcW w:w="680" w:type="dxa"/>
            <w:vAlign w:val="bottom"/>
            <w:vMerge w:val="restart"/>
          </w:tcPr>
          <w:p>
            <w:pPr>
              <w:ind w:left="20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1.23</w:t>
            </w:r>
          </w:p>
        </w:tc>
        <w:tc>
          <w:tcPr>
            <w:tcW w:w="920" w:type="dxa"/>
            <w:vAlign w:val="bottom"/>
            <w:vMerge w:val="restart"/>
          </w:tcPr>
          <w:p>
            <w:pPr>
              <w:ind w:left="140"/>
              <w:spacing w:after="0" w:line="99" w:lineRule="exact"/>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22,500,000</w:t>
            </w:r>
          </w:p>
        </w:tc>
        <w:tc>
          <w:tcPr>
            <w:tcW w:w="740" w:type="dxa"/>
            <w:vAlign w:val="bottom"/>
            <w:vMerge w:val="restart"/>
          </w:tcPr>
          <w:p>
            <w:pPr>
              <w:ind w:left="360"/>
              <w:spacing w:after="0" w:line="99" w:lineRule="exact"/>
              <w:rPr>
                <w:sz w:val="20"/>
                <w:szCs w:val="20"/>
                <w:color w:val="auto"/>
              </w:rPr>
            </w:pPr>
            <w:r>
              <w:rPr>
                <w:rFonts w:ascii="Arial" w:cs="Arial" w:eastAsia="Arial" w:hAnsi="Arial"/>
                <w:sz w:val="11"/>
                <w:szCs w:val="11"/>
                <w:color w:val="0000FF"/>
              </w:rPr>
              <w:t>I</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860" w:type="dxa"/>
            <w:vAlign w:val="bottom"/>
          </w:tcPr>
          <w:p>
            <w:pPr>
              <w:ind w:left="60"/>
              <w:spacing w:after="0" w:line="52" w:lineRule="exact"/>
              <w:rPr>
                <w:sz w:val="20"/>
                <w:szCs w:val="20"/>
                <w:color w:val="auto"/>
              </w:rPr>
            </w:pPr>
            <w:r>
              <w:rPr>
                <w:rFonts w:ascii="Arial" w:cs="Arial" w:eastAsia="Arial" w:hAnsi="Arial"/>
                <w:sz w:val="6"/>
                <w:szCs w:val="6"/>
                <w:color w:val="0000FF"/>
              </w:rPr>
              <w:t>Senior Notes</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ind w:left="60"/>
              <w:spacing w:after="0" w:line="52" w:lineRule="exact"/>
              <w:rPr>
                <w:sz w:val="20"/>
                <w:szCs w:val="20"/>
                <w:color w:val="auto"/>
              </w:rPr>
            </w:pPr>
            <w:r>
              <w:rPr>
                <w:rFonts w:ascii="Arial" w:cs="Arial" w:eastAsia="Arial" w:hAnsi="Arial"/>
                <w:sz w:val="5"/>
                <w:szCs w:val="5"/>
                <w:color w:val="0000FF"/>
              </w:rPr>
              <w:t>Footnote</w:t>
            </w:r>
            <w:r>
              <w:rPr>
                <w:rFonts w:ascii="Arial" w:cs="Arial" w:eastAsia="Arial" w:hAnsi="Arial"/>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0" w:type="dxa"/>
            <w:vAlign w:val="bottom"/>
          </w:tcPr>
          <w:p>
            <w:pPr>
              <w:ind w:left="60"/>
              <w:spacing w:after="0" w:line="212" w:lineRule="exact"/>
              <w:rPr>
                <w:sz w:val="20"/>
                <w:szCs w:val="20"/>
                <w:color w:val="auto"/>
              </w:rPr>
            </w:pPr>
            <w:r>
              <w:rPr>
                <w:rFonts w:ascii="Arial" w:cs="Arial" w:eastAsia="Arial" w:hAnsi="Arial"/>
                <w:sz w:val="13"/>
                <w:szCs w:val="13"/>
                <w:color w:val="0000FF"/>
              </w:rPr>
              <w:t>due 2021</w:t>
            </w:r>
            <w:r>
              <w:rPr>
                <w:rFonts w:ascii="Arial" w:cs="Arial" w:eastAsia="Arial" w:hAnsi="Arial"/>
                <w:sz w:val="21"/>
                <w:szCs w:val="21"/>
                <w:color w:val="008000"/>
                <w:vertAlign w:val="superscript"/>
              </w:rPr>
              <w:t>(1)</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7"/>
              </w:rPr>
              <w:t>$.01 per</w:t>
            </w: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5"/>
              </w:rPr>
              <w:t>share</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5.00% Exchangeable Senior Notes due 2021 (the "Convertible Notes") bear interest at a rate of 5.00% per annum, with interest payable semiannually. The principal of the Convertible Notes is convertible into shares of the Issuer's Common Stock at any time after their issuance at a conversion price of approximately $8.26 per share, subject to adjustment in certain circumstances in accordance with the terms of the Convertible Notes.</w:t>
      </w:r>
    </w:p>
    <w:p>
      <w:pPr>
        <w:spacing w:after="0" w:line="30" w:lineRule="exact"/>
        <w:rPr>
          <w:rFonts w:ascii="Arial" w:cs="Arial" w:eastAsia="Arial" w:hAnsi="Arial"/>
          <w:sz w:val="13"/>
          <w:szCs w:val="13"/>
          <w:color w:val="008000"/>
        </w:rPr>
      </w:pPr>
    </w:p>
    <w:p>
      <w:pPr>
        <w:ind w:left="40" w:right="200" w:firstLine="1"/>
        <w:spacing w:after="0" w:line="23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securities are directly owned by certain private investment funds and managed accounts and may be deemed beneficially owned by Brigade Capital Management GP, LLC, the general partner of Brigade Capital Management, LP, the investment manager of such funds and accounts. Brigade Capital Management GP, LLC disclaims beneficial ownership of the reported securities except to the extent of its pecuniary interest therein, and this report shall not be deemed to be an admission that the Reporting Person is the beneficial owner of the securities for purposes of Section 16 of the Securities Exchange Act of 1934, as amended, or for any other purpose.</w:t>
      </w:r>
    </w:p>
    <w:p>
      <w:pPr>
        <w:spacing w:after="0" w:line="5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Brigade Capital Management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-12065</wp:posOffset>
            </wp:positionV>
            <wp:extent cx="1248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7"/>
          <w:szCs w:val="17"/>
          <w:color w:val="0000FF"/>
        </w:rPr>
        <w:t>GP, LLC, By: /s/ Donald E.</w:t>
      </w:r>
      <w:r>
        <w:rPr>
          <w:sz w:val="20"/>
          <w:szCs w:val="20"/>
          <w:color w:val="auto"/>
        </w:rPr>
        <w:tab/>
      </w:r>
      <w:r>
        <w:rPr>
          <w:rFonts w:ascii="Arial" w:cs="Arial" w:eastAsia="Arial" w:hAnsi="Arial"/>
          <w:sz w:val="15"/>
          <w:szCs w:val="15"/>
          <w:color w:val="0000FF"/>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-16510</wp:posOffset>
            </wp:positionV>
            <wp:extent cx="19354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54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Morgan, III, Managing Member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-16510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4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6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9588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2019-12-04T01:14:34Z</dcterms:created>
  <dcterms:modified xsi:type="dcterms:W3CDTF">2019-12-04T01:14:34Z</dcterms:modified>
</cp:coreProperties>
</file>