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84802ddef14a.htm"/>
        <w:bookmarkStart w:id="1" w:name="ksd784802ddef14a"/>
        <w:bookmarkEnd w:id="0"/>
        <w:bookmarkEnd w:id="1"/>
        <w:r>
          <w:rPr>
            <w:rStyle w:val="InternetLink"/>
          </w:rPr>
          <w:t>Table of Contents</w:t>
        </w:r>
      </w:hyperlink>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SCHEDULE 14A</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(Rule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14a-101)</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SCHEDULE 14A INFORMATION </w:t>
      </w:r>
    </w:p>
    <w:p>
      <w:pPr>
        <w:pStyle w:val="TextBody"/>
        <w:bidi w:val="0"/>
        <w:spacing w:before="240" w:after="0"/>
        <w:jc w:val="center"/>
        <w:rPr>
          <w:rFonts w:ascii="Times New Roman" w:hAnsi="Times New Roman"/>
          <w:b/>
          <w:sz w:val="24"/>
          <w:shd w:fill="FFFFFF" w:val="clear"/>
        </w:rPr>
      </w:pPr>
      <w:r>
        <w:rPr>
          <w:rFonts w:ascii="Times New Roman" w:hAnsi="Times New Roman"/>
          <w:b/>
          <w:sz w:val="24"/>
          <w:shd w:fill="FFFFFF" w:val="clear"/>
        </w:rPr>
        <w:t xml:space="preserve">Proxy Statement Pursuant to Section 14(a) of the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Securities Exchange Act of 1934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the Registrant ☒    Filed by a Party other than the Registrant ☐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7330" w:type="dxa"/>
        <w:jc w:val="left"/>
        <w:tblInd w:w="0" w:type="dxa"/>
        <w:tblLayout w:type="fixed"/>
        <w:tblCellMar>
          <w:top w:w="0" w:type="dxa"/>
          <w:left w:w="0" w:type="dxa"/>
          <w:bottom w:w="0" w:type="dxa"/>
          <w:right w:w="0" w:type="dxa"/>
        </w:tblCellMar>
      </w:tblPr>
      <w:tblGrid>
        <w:gridCol w:w="245"/>
        <w:gridCol w:w="60"/>
        <w:gridCol w:w="702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2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8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pPr>
            <w:r>
              <w:rPr/>
              <w:t xml:space="preserve">Soliciting Material Pursuant to </w:t>
            </w:r>
          </w:p>
          <w:p>
            <w:pPr>
              <w:pStyle w:val="TableContents"/>
              <w:bidi w:val="0"/>
              <w:spacing w:before="0" w:after="0"/>
              <w:jc w:val="left"/>
              <w:rPr>
                <w:spacing w:val="0"/>
              </w:rPr>
            </w:pPr>
            <w:r>
              <w:rPr>
                <w:spacing w:val="0"/>
              </w:rPr>
              <w:t>Section 240.14a-12.</w:t>
            </w:r>
          </w:p>
        </w:tc>
      </w:tr>
    </w:tbl>
    <w:p>
      <w:pPr>
        <w:pStyle w:val="TextBody"/>
        <w:bidi w:val="0"/>
        <w:spacing w:before="240" w:after="0"/>
        <w:jc w:val="center"/>
        <w:rPr>
          <w:rFonts w:ascii="Times New Roman" w:hAnsi="Times New Roman"/>
          <w:b/>
          <w:sz w:val="44"/>
          <w:shd w:fill="FFFFFF" w:val="clear"/>
        </w:rPr>
      </w:pPr>
      <w:r>
        <w:rPr>
          <w:rFonts w:ascii="Times New Roman" w:hAnsi="Times New Roman"/>
          <w:b/>
          <w:sz w:val="44"/>
          <w:shd w:fill="FFFFFF" w:val="clear"/>
        </w:rPr>
        <w:t xml:space="preserve">Magnachip Semiconductor Corporation </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(Name of Person(s) Filing Proxy Statement, if Other Than the Registrant)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 of Filing Fee (Check all boxes that apply): </w:t>
      </w:r>
    </w:p>
    <w:p>
      <w:pPr>
        <w:pStyle w:val="TextBody"/>
        <w:bidi w:val="0"/>
        <w:spacing w:before="0" w:after="0"/>
        <w:jc w:val="left"/>
        <w:rPr>
          <w:shd w:fill="FFFFFF" w:val="clear"/>
        </w:rPr>
      </w:pPr>
      <w:r>
        <w:rPr>
          <w:shd w:fill="FFFFFF" w:val="clear"/>
        </w:rPr>
        <w:t> </w:t>
      </w:r>
    </w:p>
    <w:tbl>
      <w:tblPr>
        <w:tblW w:w="8050" w:type="dxa"/>
        <w:jc w:val="left"/>
        <w:tblInd w:w="0" w:type="dxa"/>
        <w:tblLayout w:type="fixed"/>
        <w:tblCellMar>
          <w:top w:w="0" w:type="dxa"/>
          <w:left w:w="0" w:type="dxa"/>
          <w:bottom w:w="0" w:type="dxa"/>
          <w:right w:w="0" w:type="dxa"/>
        </w:tblCellMar>
      </w:tblPr>
      <w:tblGrid>
        <w:gridCol w:w="245"/>
        <w:gridCol w:w="60"/>
        <w:gridCol w:w="774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252095" cy="48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2095" cy="488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 Magnachip Semiconductor, Ltd. </w:t>
      </w:r>
    </w:p>
    <w:p>
      <w:pPr>
        <w:pStyle w:val="TextBody"/>
        <w:bidi w:val="0"/>
        <w:spacing w:before="0" w:after="0"/>
        <w:jc w:val="center"/>
        <w:rPr>
          <w:rFonts w:ascii="Times New Roman" w:hAnsi="Times New Roman"/>
          <w:b/>
          <w:sz w:val="20"/>
        </w:rPr>
      </w:pPr>
      <w:r>
        <w:rPr>
          <w:rFonts w:ascii="Times New Roman" w:hAnsi="Times New Roman"/>
          <w:b/>
          <w:sz w:val="20"/>
        </w:rPr>
        <w:t xml:space="preserve">15F, 76 Jikji-daero 436beon-gil, Heungdeok-gu </w:t>
      </w:r>
    </w:p>
    <w:p>
      <w:pPr>
        <w:pStyle w:val="TextBody"/>
        <w:bidi w:val="0"/>
        <w:spacing w:before="0" w:after="0"/>
        <w:jc w:val="center"/>
        <w:rPr>
          <w:rFonts w:ascii="Times New Roman" w:hAnsi="Times New Roman"/>
          <w:b/>
          <w:sz w:val="20"/>
        </w:rPr>
      </w:pPr>
      <w:r>
        <w:rPr>
          <w:rFonts w:ascii="Times New Roman" w:hAnsi="Times New Roman"/>
          <w:b/>
          <w:sz w:val="20"/>
        </w:rPr>
        <w:t xml:space="preserve">Cheongju-si, Chungcheongbuk-do, Republic of Korea 28581 </w:t>
      </w:r>
    </w:p>
    <w:p>
      <w:pPr>
        <w:pStyle w:val="TextBody"/>
        <w:bidi w:val="0"/>
        <w:spacing w:before="12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invited to attend the Annual Meeting of Stockholders of Magnachip Semiconductor Corporation to be held on June 13, 2024, at 8:00 p.m. Eastern Daylight Time.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to announce that this year’s Annual Meeting will again be held completely virtually via live interactive webcast on the Internet. You will be able to attend, vote and submit your questions during the meeting at www.virtualshareholdermeeting.com/MX2024. We have enclosed the notice of our Annual Meeting of Stockholders, together with this Proxy Statement, a proxy and an envelope for returning the proxy. </w:t>
      </w:r>
    </w:p>
    <w:p>
      <w:pPr>
        <w:pStyle w:val="TextBody"/>
        <w:bidi w:val="0"/>
        <w:spacing w:before="240" w:after="0"/>
        <w:jc w:val="left"/>
        <w:rPr>
          <w:rFonts w:ascii="Times New Roman" w:hAnsi="Times New Roman"/>
          <w:sz w:val="20"/>
        </w:rPr>
      </w:pPr>
      <w:r>
        <w:rPr>
          <w:rFonts w:ascii="Times New Roman" w:hAnsi="Times New Roman"/>
          <w:sz w:val="20"/>
        </w:rPr>
        <w:t xml:space="preserve">You are asked to act upon proposals to: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90"/>
        <w:gridCol w:w="72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 the five director nominees named in the Proxy Statement to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(2)</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an advisory (non-binding) vote on the compensation of our named executive officers as described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(3)</w:t>
            </w:r>
          </w:p>
        </w:tc>
        <w:tc>
          <w:tcPr>
            <w:tcW w:w="98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ratify the appointment of Samil PricewaterhouseCoopers as our independent registered public accounting firm for the fiscal year ending December 31,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(4)</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an advisory (non-binding) vote on the frequency of future advisory (non-binding) votes on the compensation of our named executive officers.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Board of Directors unanimously recommends that you vote “FOR” each nominee for director that the Board of Directors has selected, “FOR” the approval of the compensation of our named executive officers as described in the Proxy Statement, “FOR” the appointment of Samil PricewaterhouseCoopers as our independent registered public accounting firm for the fiscal year ending December 31, 2024, and “1 YEAR” as the frequency of future advisory (non-binding) votes on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Please carefully review the Proxy Statement and then complete and sign your proxy and return it promptly. If you attend the virtual meeting and decide to vote during the meeting, you may withdraw your proxy by voting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Your time and attention to this letter and the accompanying Proxy Statement and proxy are appreciated. Your vote is important. Please take the time to read the enclosed Proxy Statement and cast your vote via proxy or at the Annual Meeting of Stockholders. </w:t>
      </w:r>
    </w:p>
    <w:p>
      <w:pPr>
        <w:pStyle w:val="TextBody"/>
        <w:bidi w:val="0"/>
        <w:spacing w:before="0" w:after="0"/>
        <w:jc w:val="left"/>
        <w:rPr/>
      </w:pPr>
      <w:r>
        <w:rPr/>
        <w:t> </w:t>
      </w:r>
    </w:p>
    <w:tbl>
      <w:tblPr>
        <w:tblW w:w="2518" w:type="dxa"/>
        <w:jc w:val="left"/>
        <w:tblInd w:w="0" w:type="dxa"/>
        <w:tblLayout w:type="fixed"/>
        <w:tblCellMar>
          <w:top w:w="0" w:type="dxa"/>
          <w:left w:w="0" w:type="dxa"/>
          <w:bottom w:w="0" w:type="dxa"/>
          <w:right w:w="0" w:type="dxa"/>
        </w:tblCellMar>
      </w:tblPr>
      <w:tblGrid>
        <w:gridCol w:w="75"/>
        <w:gridCol w:w="60"/>
        <w:gridCol w:w="23"/>
        <w:gridCol w:w="60"/>
        <w:gridCol w:w="230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c>
          <w:tcPr>
            <w:tcW w:w="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Young-Joon Kim</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Young-Joon Kim</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29, 2024</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252095" cy="48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2095" cy="488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 Magnachip Semiconductor, Ltd. </w:t>
      </w:r>
    </w:p>
    <w:p>
      <w:pPr>
        <w:pStyle w:val="TextBody"/>
        <w:bidi w:val="0"/>
        <w:spacing w:before="0" w:after="0"/>
        <w:jc w:val="center"/>
        <w:rPr>
          <w:rFonts w:ascii="Times New Roman" w:hAnsi="Times New Roman"/>
          <w:b/>
          <w:sz w:val="20"/>
        </w:rPr>
      </w:pPr>
      <w:r>
        <w:rPr>
          <w:rFonts w:ascii="Times New Roman" w:hAnsi="Times New Roman"/>
          <w:b/>
          <w:sz w:val="20"/>
        </w:rPr>
        <w:t xml:space="preserve">15F, 76 Jikji-daero 436beon-gil, Heungdeok-gu </w:t>
      </w:r>
    </w:p>
    <w:p>
      <w:pPr>
        <w:pStyle w:val="TextBody"/>
        <w:bidi w:val="0"/>
        <w:spacing w:before="0" w:after="0"/>
        <w:jc w:val="center"/>
        <w:rPr>
          <w:rFonts w:ascii="Times New Roman" w:hAnsi="Times New Roman"/>
          <w:b/>
          <w:sz w:val="20"/>
        </w:rPr>
      </w:pPr>
      <w:r>
        <w:rPr>
          <w:rFonts w:ascii="Times New Roman" w:hAnsi="Times New Roman"/>
          <w:b/>
          <w:sz w:val="20"/>
        </w:rPr>
        <w:t xml:space="preserve">Cheongju-si, Chungcheongbuk-do, Republic of Korea 28581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June 13, 2024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of Stockholders of Magnachip Semiconductor Corporation, a Delaware corporation, will be held on Thursday, June 13, 2024, at 8:00 p.m. Eastern Daylight Time, via live interactive webcast on the Internet, for the following purposes: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290"/>
        <w:gridCol w:w="74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the five director nominees named in the Proxy Statement to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(2)</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an advisory (non-binding) vote on the compensation of our named executive officers as described in the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(3)</w:t>
            </w:r>
          </w:p>
        </w:tc>
        <w:tc>
          <w:tcPr>
            <w:tcW w:w="98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Samil PricewaterhouseCoopers as our independent registered public accounting firm for the fiscal year ending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(4)</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an advisory (non-binding) vote on the frequency of future advisory (non-binding) votes on the compensation of our named executive officers; and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290"/>
        <w:gridCol w:w="59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record of our common stock at the close of business on Tuesday, April 23, 2024, are entitled to vote at the meeting. A list of stockholders entitled to vote will be available for inspection by stockholders of record for any purpose germane to the Annual Meeting during ordinary business hours at our corporate offices located at Magnachip Semiconductor Corporation, c/o Magnachip Semiconductor, Ltd., 15F, 76 Jikji-daero 436beon-gil, Heungdeok-gu, Cheongju-si, Chungcheongbuk-do, Republic of Korea 28581, for a period of ten days immediately prior to the Annual Meeting. If you are a stockholder of record and would like to view this stockholder list, please contact Investor Relations Department at investor.relations@magnachip.com and arrangements will be made to review the records in person during the ten days prior to the Annual Meeting. Additionally, such list of stockholders will be made available for viewing electronically during the Annual Meeting, and instructions to access such list will be available on the date of the Annual Meeting at </w:t>
      </w:r>
      <w:r>
        <w:rPr>
          <w:rFonts w:ascii="Times New Roman" w:hAnsi="Times New Roman"/>
          <w:i/>
          <w:sz w:val="20"/>
        </w:rPr>
        <w:t>www.virtualshareholdermeeting.com/MX2024.</w:t>
      </w:r>
      <w:r>
        <w:rPr>
          <w:rFonts w:ascii="Times New Roman" w:hAnsi="Times New Roman"/>
          <w:sz w:val="20"/>
        </w:rPr>
        <w:t xml:space="preserve"> </w:t>
      </w:r>
    </w:p>
    <w:p>
      <w:pPr>
        <w:pStyle w:val="TextBody"/>
        <w:bidi w:val="0"/>
        <w:spacing w:before="0" w:after="0"/>
        <w:jc w:val="left"/>
        <w:rPr/>
      </w:pPr>
      <w:r>
        <w:rPr/>
        <w:t> </w:t>
      </w:r>
    </w:p>
    <w:tbl>
      <w:tblPr>
        <w:tblW w:w="8075" w:type="dxa"/>
        <w:jc w:val="left"/>
        <w:tblInd w:w="0" w:type="dxa"/>
        <w:tblLayout w:type="fixed"/>
        <w:tblCellMar>
          <w:top w:w="0" w:type="dxa"/>
          <w:left w:w="0" w:type="dxa"/>
          <w:bottom w:w="0" w:type="dxa"/>
          <w:right w:w="0" w:type="dxa"/>
        </w:tblCellMar>
      </w:tblPr>
      <w:tblGrid>
        <w:gridCol w:w="8075"/>
      </w:tblGrid>
      <w:tr>
        <w:trPr/>
        <w:tc>
          <w:tcPr>
            <w:tcW w:w="8075" w:type="dxa"/>
            <w:tcBorders/>
            <w:vAlign w:val="center"/>
          </w:tcPr>
          <w:p>
            <w:pPr>
              <w:pStyle w:val="TableContents"/>
              <w:bidi w:val="0"/>
              <w:spacing w:before="0" w:after="283"/>
              <w:jc w:val="left"/>
              <w:rPr>
                <w:sz w:val="4"/>
                <w:szCs w:val="4"/>
              </w:rPr>
            </w:pPr>
            <w:r>
              <w:rPr>
                <w:sz w:val="4"/>
                <w:szCs w:val="4"/>
              </w:rPr>
            </w:r>
          </w:p>
        </w:tc>
      </w:tr>
      <w:tr>
        <w:trPr/>
        <w:tc>
          <w:tcPr>
            <w:tcW w:w="8075" w:type="dxa"/>
            <w:tcBorders/>
            <w:vAlign w:val="center"/>
          </w:tcPr>
          <w:p>
            <w:pPr>
              <w:pStyle w:val="TableContents"/>
              <w:bidi w:val="0"/>
              <w:spacing w:before="0" w:after="283"/>
              <w:jc w:val="left"/>
              <w:rPr/>
            </w:pPr>
            <w:r>
              <w:rPr/>
              <w:t>By Order of the Board of Directors</w:t>
            </w:r>
          </w:p>
        </w:tc>
      </w:tr>
      <w:tr>
        <w:trPr/>
        <w:tc>
          <w:tcPr>
            <w:tcW w:w="8075" w:type="dxa"/>
            <w:tcBorders/>
            <w:vAlign w:val="center"/>
          </w:tcPr>
          <w:p>
            <w:pPr>
              <w:pStyle w:val="TableContents"/>
              <w:bidi w:val="0"/>
              <w:spacing w:before="0" w:after="283"/>
              <w:jc w:val="left"/>
              <w:rPr>
                <w:sz w:val="4"/>
                <w:szCs w:val="4"/>
              </w:rPr>
            </w:pPr>
            <w:r>
              <w:rPr>
                <w:sz w:val="4"/>
                <w:szCs w:val="4"/>
              </w:rPr>
            </w:r>
          </w:p>
        </w:tc>
      </w:tr>
      <w:tr>
        <w:trPr/>
        <w:tc>
          <w:tcPr>
            <w:tcW w:w="8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8075" w:type="dxa"/>
            <w:tcBorders/>
            <w:vAlign w:val="center"/>
          </w:tcPr>
          <w:p>
            <w:pPr>
              <w:pStyle w:val="TableContents"/>
              <w:bidi w:val="0"/>
              <w:spacing w:before="0" w:after="283"/>
              <w:jc w:val="left"/>
              <w:rPr/>
            </w:pPr>
            <w:r>
              <w:rPr/>
              <w:t>Theodore Kim</w:t>
            </w:r>
          </w:p>
        </w:tc>
      </w:tr>
      <w:tr>
        <w:trPr/>
        <w:tc>
          <w:tcPr>
            <w:tcW w:w="8075" w:type="dxa"/>
            <w:tcBorders/>
            <w:vAlign w:val="center"/>
          </w:tcPr>
          <w:p>
            <w:pPr>
              <w:pStyle w:val="TableContents"/>
              <w:bidi w:val="0"/>
              <w:spacing w:before="0" w:after="283"/>
              <w:jc w:val="left"/>
              <w:rPr/>
            </w:pPr>
            <w:r>
              <w:rPr/>
              <w:t>Chief Compliance Officer, Executive Vice President, 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29,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Important Notice Regarding the Availability of Proxy Materials for the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to Be Held on June 13, 2024 </w:t>
      </w:r>
    </w:p>
    <w:p>
      <w:pPr>
        <w:pStyle w:val="TextBody"/>
        <w:bidi w:val="0"/>
        <w:spacing w:before="240" w:after="0"/>
        <w:jc w:val="left"/>
        <w:rPr>
          <w:rFonts w:ascii="Times New Roman" w:hAnsi="Times New Roman"/>
          <w:sz w:val="20"/>
        </w:rPr>
      </w:pPr>
      <w:r>
        <w:rPr>
          <w:rFonts w:ascii="Times New Roman" w:hAnsi="Times New Roman"/>
          <w:b/>
          <w:sz w:val="20"/>
        </w:rPr>
        <w:t xml:space="preserve">The 2024 Proxy Statement and 2023 Annual Report are available, free of charge, at </w:t>
      </w:r>
      <w:r>
        <w:rPr>
          <w:rFonts w:ascii="Times New Roman" w:hAnsi="Times New Roman"/>
          <w:b/>
          <w:i/>
          <w:sz w:val="20"/>
        </w:rPr>
        <w:t>www.proxyvote.com</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Magnachip Semiconductor Corporation’s Annual Report for the year ended December 31, 2023 is being mailed to stockholders concurrently with the 2024 Proxy Statement. The Annual Report contains financial and other information about Magnachip Semiconductor Corporation, but is not incorporated into the Proxy Statement and is not deemed to be a part of the proxy soliciting materials. </w:t>
      </w:r>
    </w:p>
    <w:p>
      <w:pPr>
        <w:pStyle w:val="TextBody"/>
        <w:bidi w:val="0"/>
        <w:spacing w:before="240" w:after="0"/>
        <w:jc w:val="left"/>
        <w:rPr>
          <w:rFonts w:ascii="Times New Roman" w:hAnsi="Times New Roman"/>
          <w:sz w:val="20"/>
        </w:rPr>
      </w:pPr>
      <w:r>
        <w:rPr>
          <w:rFonts w:ascii="Times New Roman" w:hAnsi="Times New Roman"/>
          <w:b/>
          <w:sz w:val="20"/>
        </w:rPr>
        <w:t xml:space="preserve">Even if you expect to attend the Annual Meeting, please promptly complete, sign, date and mail the enclosed proxy card. A self-addressed envelope is enclosed for your convenience. No postage is required if mailed in the United States. Alternatively, if you are a holder of record of our common stock on the record date, you may vote your shares electronically either over the internet at </w:t>
      </w:r>
      <w:r>
        <w:rPr>
          <w:rFonts w:ascii="Times New Roman" w:hAnsi="Times New Roman"/>
          <w:b/>
          <w:i/>
          <w:sz w:val="20"/>
        </w:rPr>
        <w:t>www.proxyvote.com</w:t>
      </w:r>
      <w:r>
        <w:rPr>
          <w:rFonts w:ascii="Times New Roman" w:hAnsi="Times New Roman"/>
          <w:sz w:val="20"/>
        </w:rPr>
        <w:t xml:space="preserve"> </w:t>
      </w:r>
      <w:r>
        <w:rPr>
          <w:rFonts w:ascii="Times New Roman" w:hAnsi="Times New Roman"/>
          <w:b/>
          <w:sz w:val="20"/>
        </w:rPr>
        <w:t xml:space="preserve">or by touch-tone telephone at 1-800-690-6903. Stockholders who attend the Annual Meeting may revoke their proxies and vote during the meeting at </w:t>
      </w:r>
      <w:r>
        <w:rPr>
          <w:rFonts w:ascii="Times New Roman" w:hAnsi="Times New Roman"/>
          <w:b/>
          <w:i/>
          <w:sz w:val="20"/>
        </w:rPr>
        <w:t xml:space="preserve">www.virtualshareholdermeeting.com/MX2024 </w:t>
      </w:r>
      <w:r>
        <w:rPr>
          <w:rFonts w:ascii="Times New Roman" w:hAnsi="Times New Roman"/>
          <w:b/>
          <w:sz w:val="20"/>
        </w:rPr>
        <w:t xml:space="preserve">if they so desire.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1">
              <w:r>
                <w:rPr>
                  <w:rStyle w:val="InternetLink"/>
                  <w:rFonts w:ascii="Times New Roman" w:hAnsi="Times New Roman"/>
                  <w:sz w:val="20"/>
                </w:rPr>
                <w:t>GENERAL INFORMATION</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2">
              <w:r>
                <w:rPr>
                  <w:rStyle w:val="InternetLink"/>
                  <w:rFonts w:ascii="Times New Roman" w:hAnsi="Times New Roman"/>
                  <w:sz w:val="20"/>
                </w:rPr>
                <w:t>PROPOSAL ONE: ELECTION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3">
              <w:r>
                <w:rPr>
                  <w:rStyle w:val="InternetLink"/>
                  <w:rFonts w:ascii="Times New Roman" w:hAnsi="Times New Roman"/>
                  <w:sz w:val="20"/>
                </w:rPr>
                <w:t>THE BOARD OF DIRECTORS AND CORPORATE GOVERNANCE</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4">
              <w:r>
                <w:rPr>
                  <w:rStyle w:val="InternetLink"/>
                  <w:rFonts w:ascii="Times New Roman" w:hAnsi="Times New Roman"/>
                  <w:sz w:val="20"/>
                </w:rPr>
                <w:t>Director Independence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5">
              <w:r>
                <w:rPr>
                  <w:rStyle w:val="InternetLink"/>
                  <w:rFonts w:ascii="Times New Roman" w:hAnsi="Times New Roman"/>
                  <w:sz w:val="20"/>
                </w:rPr>
                <w:t>Board Meetings</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6">
              <w:r>
                <w:rPr>
                  <w:rStyle w:val="InternetLink"/>
                  <w:rFonts w:ascii="Times New Roman" w:hAnsi="Times New Roman"/>
                  <w:sz w:val="20"/>
                </w:rPr>
                <w:t>Attendance at Annual Meeting</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7">
              <w:r>
                <w:rPr>
                  <w:rStyle w:val="InternetLink"/>
                  <w:rFonts w:ascii="Times New Roman" w:hAnsi="Times New Roman"/>
                  <w:sz w:val="20"/>
                </w:rPr>
                <w:t>Committees</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8">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9">
              <w:r>
                <w:rPr>
                  <w:rStyle w:val="InternetLink"/>
                  <w:rFonts w:ascii="Times New Roman" w:hAnsi="Times New Roman"/>
                  <w:sz w:val="20"/>
                </w:rPr>
                <w:t>Board Role in Risk Oversight</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10">
              <w:r>
                <w:rPr>
                  <w:rStyle w:val="InternetLink"/>
                  <w:rFonts w:ascii="Times New Roman" w:hAnsi="Times New Roman"/>
                  <w:sz w:val="20"/>
                </w:rPr>
                <w:t>Director Orientation and Continuing Education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11">
              <w:r>
                <w:rPr>
                  <w:rStyle w:val="InternetLink"/>
                  <w:rFonts w:ascii="Times New Roman" w:hAnsi="Times New Roman"/>
                  <w:sz w:val="20"/>
                </w:rPr>
                <w:t>Code of Business Conduct and Ethics</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12">
              <w:r>
                <w:rPr>
                  <w:rStyle w:val="InternetLink"/>
                  <w:rFonts w:ascii="Times New Roman" w:hAnsi="Times New Roman"/>
                  <w:sz w:val="20"/>
                </w:rPr>
                <w:t>Report of the Audit Committee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13">
              <w:r>
                <w:rPr>
                  <w:rStyle w:val="InternetLink"/>
                  <w:rFonts w:ascii="Times New Roman" w:hAnsi="Times New Roman"/>
                  <w:sz w:val="20"/>
                </w:rPr>
                <w:t>Communications with Directors</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14">
              <w:r>
                <w:rPr>
                  <w:rStyle w:val="InternetLink"/>
                  <w:rFonts w:ascii="Times New Roman" w:hAnsi="Times New Roman"/>
                  <w:sz w:val="20"/>
                </w:rPr>
                <w:t>Corporate Responsibilities and ESG Highlights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15">
              <w:r>
                <w:rPr>
                  <w:rStyle w:val="InternetLink"/>
                  <w:rFonts w:ascii="Times New Roman" w:hAnsi="Times New Roman"/>
                  <w:sz w:val="20"/>
                </w:rPr>
                <w:t>Human Capital Management</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16">
              <w:r>
                <w:rPr>
                  <w:rStyle w:val="InternetLink"/>
                  <w:rFonts w:ascii="Times New Roman" w:hAnsi="Times New Roman"/>
                  <w:sz w:val="20"/>
                </w:rPr>
                <w:t>2023 Director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17">
              <w:r>
                <w:rPr>
                  <w:rStyle w:val="InternetLink"/>
                  <w:rFonts w:ascii="Times New Roman" w:hAnsi="Times New Roman"/>
                  <w:sz w:val="20"/>
                </w:rPr>
                <w:t>Compensation Committee Interlocks and Insider Participation</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18">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19">
              <w:r>
                <w:rPr>
                  <w:rStyle w:val="InternetLink"/>
                  <w:rFonts w:ascii="Times New Roman" w:hAnsi="Times New Roman"/>
                  <w:sz w:val="20"/>
                </w:rPr>
                <w:t>Compensation Discussion and Analysis</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20">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21">
              <w:r>
                <w:rPr>
                  <w:rStyle w:val="InternetLink"/>
                  <w:rFonts w:ascii="Times New Roman" w:hAnsi="Times New Roman"/>
                  <w:sz w:val="20"/>
                </w:rPr>
                <w:t>Summary Compensation Table</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22">
              <w:r>
                <w:rPr>
                  <w:rStyle w:val="InternetLink"/>
                  <w:rFonts w:ascii="Times New Roman" w:hAnsi="Times New Roman"/>
                  <w:sz w:val="20"/>
                </w:rPr>
                <w:t>Grants of Plan-Based Awards Table for Fiscal Year 2023</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23">
              <w:r>
                <w:rPr>
                  <w:rStyle w:val="InternetLink"/>
                  <w:rFonts w:ascii="Times New Roman" w:hAnsi="Times New Roman"/>
                  <w:sz w:val="20"/>
                </w:rPr>
                <w:t>Outstanding Equity Awards at Fiscal Year End 2023</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24">
              <w:r>
                <w:rPr>
                  <w:rStyle w:val="InternetLink"/>
                  <w:rFonts w:ascii="Times New Roman" w:hAnsi="Times New Roman"/>
                  <w:sz w:val="20"/>
                </w:rPr>
                <w:t>Option Exercises and Stock Vested</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25">
              <w:r>
                <w:rPr>
                  <w:rStyle w:val="InternetLink"/>
                  <w:rFonts w:ascii="Times New Roman" w:hAnsi="Times New Roman"/>
                  <w:sz w:val="20"/>
                </w:rPr>
                <w:t>Pension Benefits for the Fiscal Year Ended December 31, 2023</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42</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26">
              <w:r>
                <w:rPr>
                  <w:rStyle w:val="InternetLink"/>
                  <w:rFonts w:ascii="Times New Roman" w:hAnsi="Times New Roman"/>
                  <w:sz w:val="20"/>
                </w:rPr>
                <w:t>Nonqualified Deferred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27">
              <w:r>
                <w:rPr>
                  <w:rStyle w:val="InternetLink"/>
                  <w:rFonts w:ascii="Times New Roman" w:hAnsi="Times New Roman"/>
                  <w:sz w:val="20"/>
                </w:rPr>
                <w:t>Potential Payments Upon Termination or Change in Control</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42</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28">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29">
              <w:r>
                <w:rPr>
                  <w:rStyle w:val="InternetLink"/>
                  <w:rFonts w:ascii="Times New Roman" w:hAnsi="Times New Roman"/>
                  <w:sz w:val="20"/>
                </w:rPr>
                <w:t>Equity Compensation Plan Summary</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49</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30">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31a">
              <w:r>
                <w:rPr>
                  <w:rStyle w:val="InternetLink"/>
                  <w:rFonts w:ascii="Times New Roman" w:hAnsi="Times New Roman"/>
                  <w:sz w:val="20"/>
                </w:rPr>
                <w:t>CERTAIN RELATIONSHIPS AND RELATED TRANSACTIONS</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57</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32">
              <w:r>
                <w:rPr>
                  <w:rStyle w:val="InternetLink"/>
                  <w:rFonts w:ascii="Times New Roman" w:hAnsi="Times New Roman"/>
                  <w:sz w:val="20"/>
                </w:rPr>
                <w:t>Related Person Transactions Policy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33">
              <w:r>
                <w:rPr>
                  <w:rStyle w:val="InternetLink"/>
                  <w:rFonts w:ascii="Times New Roman" w:hAnsi="Times New Roman"/>
                  <w:sz w:val="20"/>
                </w:rPr>
                <w:t>SECURITY OWNERSHIP OF CERTAIN BENEFICIAL OWNERS AND MANAGEMENT</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34">
              <w:r>
                <w:rPr>
                  <w:rStyle w:val="InternetLink"/>
                  <w:rFonts w:ascii="Times New Roman" w:hAnsi="Times New Roman"/>
                  <w:sz w:val="20"/>
                </w:rPr>
                <w:t>PROPOSAL TWO: ADVISORY (NON-BINDING) VOTE ON THE COMPENSATION OF OUR NAMED EXECUTIVE OFFICERS AS DESCRIBED IN THIS PROXY STATEMENT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35">
              <w:r>
                <w:rPr>
                  <w:rStyle w:val="InternetLink"/>
                  <w:rFonts w:ascii="Times New Roman" w:hAnsi="Times New Roman"/>
                  <w:sz w:val="20"/>
                </w:rPr>
                <w:t>PROPOSAL THREE: RATIFICATION OF APPOINTMENT OF OUR INDEPENDENT REGISTERED PUBLIC ACCOUNTING FIRM FOR THE FISCAL YEAR ENDING DECEMBER 31, 202</w:t>
              </w:r>
            </w:hyperlink>
            <w:r>
              <w:rPr>
                <w:rFonts w:ascii="Times New Roman" w:hAnsi="Times New Roman"/>
                <w:sz w:val="20"/>
              </w:rPr>
              <w:t>4</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63</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36">
              <w:r>
                <w:rPr>
                  <w:rStyle w:val="InternetLink"/>
                  <w:rFonts w:ascii="Times New Roman" w:hAnsi="Times New Roman"/>
                  <w:sz w:val="20"/>
                </w:rPr>
                <w:t>Fees Paid to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37">
              <w:r>
                <w:rPr>
                  <w:rStyle w:val="InternetLink"/>
                  <w:rFonts w:ascii="Times New Roman" w:hAnsi="Times New Roman"/>
                  <w:sz w:val="20"/>
                </w:rPr>
                <w:t>Policy and Procedure for Approval of Audit and Permitted Non-Audit Services</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63</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38">
              <w:r>
                <w:rPr>
                  <w:rStyle w:val="InternetLink"/>
                  <w:rFonts w:ascii="Times New Roman" w:hAnsi="Times New Roman"/>
                  <w:sz w:val="20"/>
                </w:rPr>
                <w:t>PROPOSAL FOUR: ADVISORY (NON-BINDING) VOTE ON THE FREQUENCY OF FUTURE ADVISORY VOTE ON 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39">
              <w:r>
                <w:rPr>
                  <w:rStyle w:val="InternetLink"/>
                  <w:rFonts w:ascii="Times New Roman" w:hAnsi="Times New Roman"/>
                  <w:sz w:val="20"/>
                </w:rPr>
                <w:t>STOCKHOLDER PROPOSALS FOR 2025 ANNUAL MEETING</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65</w:t>
            </w:r>
          </w:p>
        </w:tc>
        <w:tc>
          <w:tcPr>
            <w:tcW w:w="75" w:type="dxa"/>
            <w:tcBorders/>
            <w:shd w:fill="CCEEFF" w:val="clear"/>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oc784802_40">
              <w:r>
                <w:rPr>
                  <w:rStyle w:val="InternetLink"/>
                  <w:rFonts w:ascii="Times New Roman" w:hAnsi="Times New Roman"/>
                  <w:sz w:val="20"/>
                </w:rPr>
                <w:t>SOLICITATION OF PROXIES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495" w:type="dxa"/>
            <w:tcBorders/>
            <w:shd w:fill="CCEEFF" w:val="clear"/>
            <w:vAlign w:val="center"/>
          </w:tcPr>
          <w:p>
            <w:pPr>
              <w:pStyle w:val="TableContents"/>
              <w:bidi w:val="0"/>
              <w:spacing w:before="0" w:after="0"/>
              <w:jc w:val="left"/>
              <w:rPr/>
            </w:pPr>
            <w:hyperlink w:anchor="toc784802_41">
              <w:r>
                <w:rPr>
                  <w:rStyle w:val="InternetLink"/>
                  <w:rFonts w:ascii="Times New Roman" w:hAnsi="Times New Roman"/>
                  <w:sz w:val="20"/>
                </w:rPr>
                <w:t>OTHER MATTERS</w:t>
              </w:r>
            </w:hyperlink>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 Magnachip Semiconductor, Ltd. </w:t>
      </w:r>
    </w:p>
    <w:p>
      <w:pPr>
        <w:pStyle w:val="TextBody"/>
        <w:bidi w:val="0"/>
        <w:spacing w:before="0" w:after="0"/>
        <w:jc w:val="center"/>
        <w:rPr>
          <w:rFonts w:ascii="Times New Roman" w:hAnsi="Times New Roman"/>
          <w:b/>
          <w:sz w:val="20"/>
        </w:rPr>
      </w:pPr>
      <w:r>
        <w:rPr>
          <w:rFonts w:ascii="Times New Roman" w:hAnsi="Times New Roman"/>
          <w:b/>
          <w:sz w:val="20"/>
        </w:rPr>
        <w:t xml:space="preserve">15F, 76 Jikji-daero 436beon-gil, Heungdeok-gu </w:t>
      </w:r>
    </w:p>
    <w:p>
      <w:pPr>
        <w:pStyle w:val="TextBody"/>
        <w:bidi w:val="0"/>
        <w:spacing w:before="0" w:after="0"/>
        <w:jc w:val="center"/>
        <w:rPr>
          <w:rFonts w:ascii="Times New Roman" w:hAnsi="Times New Roman"/>
          <w:b/>
          <w:sz w:val="20"/>
        </w:rPr>
      </w:pPr>
      <w:r>
        <w:rPr>
          <w:rFonts w:ascii="Times New Roman" w:hAnsi="Times New Roman"/>
          <w:b/>
          <w:sz w:val="20"/>
        </w:rPr>
        <w:t xml:space="preserve">Cheongju-si, Chungcheongbuk-do, Republic of Korea 28581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ANNUAL MEETING OF STOCKHOLDERS TO BE HELD ON JUNE 13, 2024 </w:t>
      </w:r>
    </w:p>
    <w:p>
      <w:pPr>
        <w:pStyle w:val="TextBody"/>
        <w:bidi w:val="0"/>
        <w:spacing w:before="240" w:after="0"/>
        <w:jc w:val="center"/>
        <w:rPr>
          <w:rFonts w:ascii="Times New Roman" w:hAnsi="Times New Roman"/>
          <w:b/>
          <w:sz w:val="20"/>
        </w:rPr>
      </w:pPr>
      <w:bookmarkStart w:id="3" w:name="toc784802_1"/>
      <w:bookmarkEnd w:id="3"/>
      <w:r>
        <w:rPr>
          <w:rFonts w:ascii="Times New Roman" w:hAnsi="Times New Roman"/>
          <w:b/>
          <w:sz w:val="20"/>
        </w:rPr>
        <w:t xml:space="preserve">GENERAL INFORMATION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We sent you these proxy materials because the Board of Directors (the “Board”) of Magnachip Semiconductor Corporation (the “Company,” “Magnachip,” “we,” “us” and “our”) is soliciting your proxy to vote at the 2024 Annual Meeting of Stockholders (the “Annual Meeting”) and at any postponements or adjournments of the Annual Meeting. The Annual Meeting will be held virtually via live interactive webcast on the Internet on June 13, 2024, at 8:00 p.m. Eastern Daylight Time. If you held shares of our common stock, par value of $0.01 per share (the “Common Stock”), on April 23, 2024 (the “Record Date”), you are invited to attend the Annual Meeting at </w:t>
      </w:r>
      <w:r>
        <w:rPr>
          <w:rFonts w:ascii="Times New Roman" w:hAnsi="Times New Roman"/>
          <w:i/>
          <w:sz w:val="20"/>
        </w:rPr>
        <w:t>www.virtualshareholdermeeting.com/MX2024</w:t>
      </w:r>
      <w:r>
        <w:rPr>
          <w:rFonts w:ascii="Times New Roman" w:hAnsi="Times New Roman"/>
          <w:sz w:val="20"/>
        </w:rPr>
        <w:t xml:space="preserve"> and vote on the proposals described below under the heading “What am I voting on?” However, you do not need to attend the Annual Meeting to vote your shares. Instead, you may complete, sign, date and return the enclosed proxy card. You may also vote over the Internet or by telephone. </w:t>
      </w:r>
    </w:p>
    <w:p>
      <w:pPr>
        <w:pStyle w:val="TextBody"/>
        <w:bidi w:val="0"/>
        <w:spacing w:before="240" w:after="0"/>
        <w:jc w:val="left"/>
        <w:rPr>
          <w:rFonts w:ascii="Times New Roman" w:hAnsi="Times New Roman"/>
          <w:sz w:val="20"/>
        </w:rPr>
      </w:pPr>
      <w:r>
        <w:rPr>
          <w:rFonts w:ascii="Times New Roman" w:hAnsi="Times New Roman"/>
          <w:sz w:val="20"/>
        </w:rPr>
        <w:t xml:space="preserve">The Notice of Annual Meeting of Stockholders, the Proxy Statement, the enclosed proxy card and our Annual Report on Form 10-K for the fiscal year ended December 31, 2023 are being mailed to stockholders commencing on or about April 29,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am I voting on? </w:t>
      </w:r>
    </w:p>
    <w:p>
      <w:pPr>
        <w:pStyle w:val="TextBody"/>
        <w:bidi w:val="0"/>
        <w:spacing w:before="120" w:after="0"/>
        <w:jc w:val="left"/>
        <w:rPr>
          <w:rFonts w:ascii="Times New Roman" w:hAnsi="Times New Roman"/>
          <w:sz w:val="20"/>
        </w:rPr>
      </w:pPr>
      <w:r>
        <w:rPr>
          <w:rFonts w:ascii="Times New Roman" w:hAnsi="Times New Roman"/>
          <w:sz w:val="20"/>
        </w:rPr>
        <w:t xml:space="preserve">There are four proposals scheduled to be voted 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Election of the five director nominees specified in this Proxy Statement to serve until the 2025 annual meeting of stockholders and until their respective successors are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on an advisory (non-binding) basis of the compensation of our named executive officers as described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Ratification of the appointment of Samil PricewaterhouseCoopers as our independent registered public accountants for the fiscal year ending December 31,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advisory (non-binding) vote on the frequency of future advisory (non-binding) votes on the compensation of our named executive officers.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How does the Board recommend that I vote? </w:t>
      </w:r>
    </w:p>
    <w:p>
      <w:pPr>
        <w:pStyle w:val="TextBody"/>
        <w:bidi w:val="0"/>
        <w:spacing w:before="120" w:after="0"/>
        <w:jc w:val="left"/>
        <w:rPr>
          <w:rFonts w:ascii="Times New Roman" w:hAnsi="Times New Roman"/>
          <w:sz w:val="20"/>
        </w:rPr>
      </w:pPr>
      <w:r>
        <w:rPr>
          <w:rFonts w:ascii="Times New Roman" w:hAnsi="Times New Roman"/>
          <w:sz w:val="20"/>
        </w:rPr>
        <w:t xml:space="preserve">Our Board recommends that you vote your shares: </w:t>
      </w:r>
    </w:p>
    <w:p>
      <w:pPr>
        <w:pStyle w:val="TextBody"/>
        <w:bidi w:val="0"/>
        <w:spacing w:before="240" w:after="0"/>
        <w:jc w:val="left"/>
        <w:rPr/>
      </w:pPr>
      <w:r>
        <w:rPr/>
        <w:t>“</w:t>
      </w:r>
      <w:r>
        <w:rPr>
          <w:rFonts w:ascii="Times New Roman" w:hAnsi="Times New Roman"/>
          <w:sz w:val="20"/>
        </w:rPr>
        <w:t xml:space="preserve">FOR” the election of each of the five director nominees named in this Proxy Statement to hold office until the 2025 annual meeting of stockholders and until their respective successors are elected and qualified; </w:t>
      </w:r>
    </w:p>
    <w:p>
      <w:pPr>
        <w:pStyle w:val="TextBody"/>
        <w:bidi w:val="0"/>
        <w:spacing w:before="240" w:after="0"/>
        <w:jc w:val="left"/>
        <w:rPr/>
      </w:pPr>
      <w:r>
        <w:rPr/>
        <w:t>“</w:t>
      </w:r>
      <w:r>
        <w:rPr>
          <w:rFonts w:ascii="Times New Roman" w:hAnsi="Times New Roman"/>
          <w:sz w:val="20"/>
        </w:rPr>
        <w:t xml:space="preserve">FOR” the approval on an advisory (non-binding) basis of the compensation of the named executive officers as described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sz w:val="20"/>
        </w:rPr>
        <w:t xml:space="preserve">FOR” the ratification of the appointment of Samil PricewaterhouseCoopers as our independent registered public accountants for the fiscal year ending December 31, 2024; and </w:t>
      </w:r>
    </w:p>
    <w:p>
      <w:pPr>
        <w:pStyle w:val="TextBody"/>
        <w:bidi w:val="0"/>
        <w:spacing w:before="240" w:after="0"/>
        <w:jc w:val="left"/>
        <w:rPr/>
      </w:pPr>
      <w:r>
        <w:rPr/>
        <w:t>“</w:t>
      </w:r>
      <w:r>
        <w:rPr>
          <w:rFonts w:ascii="Times New Roman" w:hAnsi="Times New Roman"/>
          <w:sz w:val="20"/>
        </w:rPr>
        <w:t xml:space="preserve">1 YEAR” as the frequency of future advisory (non-binding) votes on the compensation of our named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can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were a holder of record of the Company’s Common Stock as of the close of business on April 23, 2024, the Record Date for the Annual Meeting, you may vote your shares at the Annual Meeting. As of the Record Date, there were 38,263,642 shares of Magnachip Common Stock outstanding, excluding treasury shares. Company treasury shares will not be voted. Each stockholder has one vote for each share of Common Stock held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Times New Roman" w:hAnsi="Times New Roman"/>
          <w:i/>
          <w:sz w:val="20"/>
        </w:rPr>
        <w:t>www.virtualshareholdermeeting.com/MX2024</w:t>
      </w:r>
      <w:r>
        <w:rPr>
          <w:rFonts w:ascii="Times New Roman" w:hAnsi="Times New Roman"/>
          <w:sz w:val="20"/>
        </w:rPr>
        <w:t xml:space="preserve">. However, since you are not a stockholder of record, you may not vote your shares at the Annual Meeting unless you request and obtain a valid proxy from your broker.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or a beneficial owner as of the Record Date, you are invited to attend the Annual Meeting live via the Internet at </w:t>
      </w:r>
      <w:r>
        <w:rPr>
          <w:rFonts w:ascii="Times New Roman" w:hAnsi="Times New Roman"/>
          <w:i/>
          <w:sz w:val="20"/>
        </w:rPr>
        <w:t>www.virtualshareholdermeeting.com/MX2024</w:t>
      </w:r>
      <w:r>
        <w:rPr>
          <w:rFonts w:ascii="Times New Roman" w:hAnsi="Times New Roman"/>
          <w:sz w:val="20"/>
        </w:rPr>
        <w:t xml:space="preserve">. You must have your Control Number listed on the enclosed proxy card to enter the meeting. The webcast starts at 8:00 p.m. Eastern Daylight Time. You may vote and submit questions while attending the meeting on the Internet. Instructions on how to attend and participate in the Annual Meeting via the Internet, including how to demonstrate proof of stock ownership, are posted at </w:t>
      </w:r>
      <w:r>
        <w:rPr>
          <w:rFonts w:ascii="Times New Roman" w:hAnsi="Times New Roman"/>
          <w:i/>
          <w:sz w:val="20"/>
        </w:rPr>
        <w:t>www.virtualshareholdermeeting.com/MX2024</w:t>
      </w:r>
      <w:r>
        <w:rPr>
          <w:rFonts w:ascii="Times New Roman" w:hAnsi="Times New Roman"/>
          <w:sz w:val="20"/>
        </w:rPr>
        <w:t xml:space="preserve">. The audio broadcast will be archived on that website for one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if I return the proxy card to the Company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 xml:space="preserve">If you return a signed, dated, proxy card to the Company without making any voting selections, the named proxies will vote your shares (1) “FOR” the election of each of the five director nominees named in this Proxy Statement to hold office until the 2025 annual meeting of stockholders and until their respective successors are elected and qualified; (2) “FOR” the approval on an advisory (non-binding) basis of the compensation of our named executive officers as disclosed in this Proxy Statement; (3) FOR” the ratification of the appointment of Samil PricewaterhouseCoopers as our independent registered public accountants for the fiscal year ending December 31, 2024; and (4) “1 YEAR” as the frequency of future advisory (non-binding) votes on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expect that any matters other than the election of directors and the other proposals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many shares must be present or represented to conduct business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quorum of stockholders is necessary to hold a valid annual meeting. A quorum will be present if the holders of at least a majority of the total number of shares of Common Stock entitled to vote are present,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or by proxy, at the Annual Meeting. There were 38,263,642 shares of our Common Stock outstanding and entitled to vote on the Record Date. Therefore, a quorum will be present if 19,131,822 shares of our Common Stock are present in person or represented by executed proxies timely received by us at the Annual Meeting. Abstentions and shares represented by broker non-votes are counted for the purpose of determining whether a quorum is present. If there are insufficient votes to constitute a quorum at the time of the Annual Meeting, we may adjourn the Annual Meeting to solicit additional proxies.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are votes counted and what is a broker non-vote? </w:t>
      </w:r>
    </w:p>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Annual Meeting, who will separately count “FOR,” “AGAINST,” “WITHHOLD,” abstentions and broker non-votes. A “broker non-vote” occurs 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Three—the ratification of our independent registered public accounting firm for the fiscal year ending December 31, 2024. Non-routine matters in this Proxy Statement are Proposal One—the election of directors, Proposal Two—the advisory (non-binding) vote on the compensation of our named executive officers as described in this Proxy Statement, and Proposal Four—the advisory (non-binding) vote on the frequency of future advisory (non-binding) votes on the compensation of our named executive officers. Therefore, if you hold your shares in street name and do not provide voting instructions to your broker, your broker does not have discretion to vote your shares on any proposal at the Annual Meeting other than Proposal Three—the ratification of our independent registered public accounting firm for the fiscal year ending December 31, 2024. However, your shares will be considered present at the Annual Meeting for purposes of determining the existence of a quorum.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is the voting requirement to approve each of the proposals? </w:t>
      </w:r>
    </w:p>
    <w:p>
      <w:pPr>
        <w:pStyle w:val="TextBody"/>
        <w:bidi w:val="0"/>
        <w:spacing w:before="120" w:after="0"/>
        <w:jc w:val="left"/>
        <w:rPr>
          <w:rFonts w:ascii="Times New Roman" w:hAnsi="Times New Roman"/>
          <w:i/>
          <w:sz w:val="20"/>
        </w:rPr>
      </w:pPr>
      <w:r>
        <w:rPr>
          <w:rFonts w:ascii="Times New Roman" w:hAnsi="Times New Roman"/>
          <w:i/>
          <w:sz w:val="20"/>
        </w:rPr>
        <w:t xml:space="preserve">Proposal One—Election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election of director nominees requires a plurality vote of the shares present in person or represented by proxy at the Annual Meeting and entitled to vote in the election of directors. The director nominees receiving the highest number of “FOR” votes cast by the holders of our Common Stock entitled to vote at the Annual Meeting will be elected. Accordingly, “WITHHOLD” votes and broker non-votes will have no effect on the outcome of the election of directors. Stockholders have no right to cumulative voting as to any matters, including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Proposal Two—Advisory (Non-Binding) Vote on the Compensation of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proposal to approve on an advisory (non-binding) basis the compensation of our named executive officers as described in this Proxy Statement requires the affirmative vote of a majority of the shares present in person or represented by proxy at the Annual Meeting and entitled to vote on such proposal. “ABSTAIN” votes will be included in the number of shares present and entitled to vote and will therefore have the same effect as a vote “AGAINST” the proposal. Broker non-votes will not be included in calculating the number of votes entitled to vote on this proposal and will therefore have no effect on the outcome of this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Proposal Three—Ratification of the Appointment of our Independent Registered Public Accounting Firm for the Fiscal Year Ending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proposal to ratify the appointment of Samil PricewaterhouseCoopers requires the affirmative vote of a majority of the shares present in person or represented by proxy at the Annual Meeting and entitled to vote on such proposal. “ABSTAIN” votes will be included in the number of shares present and entitled to vote and will therefore have the same effect as a vote “AGAINST” this proposal. Brokers have discretionary authority to vote uninstructed shares on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Proposal Four—Advisory (Non-Binding) Vote on the Frequency of Future Advisory (Non-Binding) Votes on Compensation of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option of “1 Year,” “2 Years” or “3 Years” receiving the highest number of votes present in person or represented by proxy at the Annual Meeting and entitled to vote on such proposal will be considered the option selected by the stockholders. Accordingly, “ABSTAIN” votes and broker non-votes will have no effect on the outcome of this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do I vote my shares of Magnachip Common Stock?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vote shares of our Common Stock using any of the following means: </w:t>
      </w:r>
    </w:p>
    <w:p>
      <w:pPr>
        <w:pStyle w:val="TextBody"/>
        <w:bidi w:val="0"/>
        <w:spacing w:before="240" w:after="0"/>
        <w:jc w:val="left"/>
        <w:rPr>
          <w:rFonts w:ascii="Times New Roman" w:hAnsi="Times New Roman"/>
          <w:sz w:val="20"/>
        </w:rPr>
      </w:pPr>
      <w:r>
        <w:rPr>
          <w:rFonts w:ascii="Times New Roman" w:hAnsi="Times New Roman"/>
          <w:i/>
          <w:sz w:val="20"/>
        </w:rPr>
        <w:t xml:space="preserve">Voting by Proxy Cards. </w:t>
      </w:r>
      <w:r>
        <w:rPr>
          <w:rFonts w:ascii="Times New Roman" w:hAnsi="Times New Roman"/>
          <w:sz w:val="20"/>
        </w:rPr>
        <w:t xml:space="preserve">A registered stockholder may vote shares until voting is completed at the Annual Meeting by returning a duly completed and executed proxy card in the postage-paid envelope included. All proxy cards received by us that have been properly signed and have not been revoked will be voted in accordance with the instructions contained in the proxy cards. For your mailed proxy card to be counted, we must receive it prior to the close of business on June 12, 2024. </w:t>
      </w:r>
    </w:p>
    <w:p>
      <w:pPr>
        <w:pStyle w:val="TextBody"/>
        <w:bidi w:val="0"/>
        <w:spacing w:before="240" w:after="0"/>
        <w:jc w:val="left"/>
        <w:rPr>
          <w:rFonts w:ascii="Times New Roman" w:hAnsi="Times New Roman"/>
          <w:sz w:val="20"/>
        </w:rPr>
      </w:pPr>
      <w:r>
        <w:rPr>
          <w:rFonts w:ascii="Times New Roman" w:hAnsi="Times New Roman"/>
          <w:i/>
          <w:sz w:val="20"/>
        </w:rPr>
        <w:t xml:space="preserve">Voting by Telephone or Internet. </w:t>
      </w:r>
      <w:r>
        <w:rPr>
          <w:rFonts w:ascii="Times New Roman" w:hAnsi="Times New Roman"/>
          <w:sz w:val="20"/>
        </w:rPr>
        <w:t xml:space="preserve">A registered stockholder may vote shares until 11:59 p.m. Eastern Daylight Time on June 12, 2024 by calling the toll-free number indicated on the proxy card and following the recorded instructions or by accessing the website indicated on the proxy card and following the instructions provided. When a stockholder votes by telephone or Internet, his, her or its vote is recorded immediately. </w:t>
      </w:r>
    </w:p>
    <w:p>
      <w:pPr>
        <w:pStyle w:val="TextBody"/>
        <w:bidi w:val="0"/>
        <w:spacing w:before="240" w:after="0"/>
        <w:jc w:val="left"/>
        <w:rPr>
          <w:rFonts w:ascii="Times New Roman" w:hAnsi="Times New Roman"/>
          <w:sz w:val="20"/>
        </w:rPr>
      </w:pPr>
      <w:r>
        <w:rPr>
          <w:rFonts w:ascii="Times New Roman" w:hAnsi="Times New Roman"/>
          <w:i/>
          <w:sz w:val="20"/>
        </w:rPr>
        <w:t xml:space="preserve">Voting by Internet During the Annual Meeting. </w:t>
      </w:r>
      <w:r>
        <w:rPr>
          <w:rFonts w:ascii="Times New Roman" w:hAnsi="Times New Roman"/>
          <w:sz w:val="20"/>
        </w:rPr>
        <w:t xml:space="preserve">Instructions on how to attend and vote at the meeting are described at </w:t>
      </w:r>
      <w:r>
        <w:rPr>
          <w:rFonts w:ascii="Times New Roman" w:hAnsi="Times New Roman"/>
          <w:i/>
          <w:sz w:val="20"/>
        </w:rPr>
        <w:t>www.virtualshareholdermeeting.com/MX2024</w:t>
      </w:r>
      <w:r>
        <w:rPr>
          <w:rFonts w:ascii="Times New Roman" w:hAnsi="Times New Roman"/>
          <w:sz w:val="20"/>
        </w:rPr>
        <w:t xml:space="preserve">. If a stockholder attends the Annual Meeting and votes his, her or its shares during the meeting via the voting instructions described at </w:t>
      </w:r>
      <w:r>
        <w:rPr>
          <w:rFonts w:ascii="Times New Roman" w:hAnsi="Times New Roman"/>
          <w:i/>
          <w:sz w:val="20"/>
        </w:rPr>
        <w:t>www.virtualshareholdermeeting.com/MX2024,</w:t>
      </w:r>
      <w:r>
        <w:rPr>
          <w:rFonts w:ascii="Times New Roman" w:hAnsi="Times New Roman"/>
          <w:sz w:val="20"/>
        </w:rPr>
        <w:t xml:space="preserve"> then any previous votes that were submitted by the stockholder, 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 </w:t>
      </w:r>
    </w:p>
    <w:p>
      <w:pPr>
        <w:pStyle w:val="TextBody"/>
        <w:bidi w:val="0"/>
        <w:spacing w:before="240" w:after="0"/>
        <w:jc w:val="left"/>
        <w:rPr>
          <w:rFonts w:ascii="Times New Roman" w:hAnsi="Times New Roman"/>
          <w:sz w:val="20"/>
        </w:rPr>
      </w:pPr>
      <w:r>
        <w:rPr>
          <w:rFonts w:ascii="Times New Roman" w:hAnsi="Times New Roman"/>
          <w:i/>
          <w:sz w:val="20"/>
        </w:rPr>
        <w:t xml:space="preserve">Voting by “Street Name” Stockholders. </w:t>
      </w:r>
      <w:r>
        <w:rPr>
          <w:rFonts w:ascii="Times New Roman" w:hAnsi="Times New Roman"/>
          <w:sz w:val="20"/>
        </w:rPr>
        <w:t xml:space="preserve">If stockholders hold shares in “street name,” then those stockholders may vote in accordance with the 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not be voted by the broker for Proposal One, Two or Four at the Annual Meeting. </w:t>
      </w:r>
    </w:p>
    <w:p>
      <w:pPr>
        <w:pStyle w:val="TextBody"/>
        <w:bidi w:val="0"/>
        <w:spacing w:before="240" w:after="0"/>
        <w:jc w:val="left"/>
        <w:rPr>
          <w:rFonts w:ascii="Times New Roman" w:hAnsi="Times New Roman"/>
          <w:sz w:val="20"/>
        </w:rPr>
      </w:pPr>
      <w:r>
        <w:rPr>
          <w:rFonts w:ascii="Times New Roman" w:hAnsi="Times New Roman"/>
          <w:i/>
          <w:sz w:val="20"/>
        </w:rPr>
        <w:t xml:space="preserve">Changing Votes. </w:t>
      </w:r>
      <w:r>
        <w:rPr>
          <w:rFonts w:ascii="Times New Roman" w:hAnsi="Times New Roman"/>
          <w:sz w:val="20"/>
        </w:rPr>
        <w:t xml:space="preserve">A stockholder may change his, her or its vote at any time before it is voted at the Annual Meeting by (1) delivering a proxy revocation or another duly executed proxy bearing a later date to Magnachip Semiconductor Corporation, c/o Magnachip Semiconductor, Ltd., 15F, 76 Jikji-daero 436beon-gil, Heungdeok-gu, Cheongju-si, Chungcheongbuk-do, Republic of Korea 28581, Attention: Secretary, which revocation or later-dated proxy is received by us prior to the close of business on June 12, 2024; (2) voting again by telephone or Internet in the manner described above prior to 11:59 p.m., Eastern Daylight Time, on June 12, 2024; or (3) attending the Annual Meeting and voting via the Internet during the meeting using the procedures described at </w:t>
      </w:r>
      <w:r>
        <w:rPr>
          <w:rFonts w:ascii="Times New Roman" w:hAnsi="Times New Roman"/>
          <w:i/>
          <w:sz w:val="20"/>
        </w:rPr>
        <w:t>www.virtualshareholdermeeting.com/MX2024</w:t>
      </w:r>
      <w:r>
        <w:rPr>
          <w:rFonts w:ascii="Times New Roman" w:hAnsi="Times New Roman"/>
          <w:sz w:val="20"/>
        </w:rPr>
        <w:t xml:space="preserve">. Attending the Annual Meeting via the Internet will not revoke a proxy unless the stockholder actually 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How can I find out the results of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We will publish final results in a Current Report on Form 8-K that we expect to file with the Securities and Exchange Commission (the “SEC”) within four business days of the Annual Meeting. After the Form 8-K is filed, you may obtain a copy by visiting the investor relations section of our website or </w:t>
      </w:r>
      <w:r>
        <w:rPr>
          <w:rFonts w:ascii="Times New Roman" w:hAnsi="Times New Roman"/>
          <w:i/>
          <w:sz w:val="20"/>
        </w:rPr>
        <w:t>www.magnachip.com</w:t>
      </w:r>
      <w:r>
        <w:rPr>
          <w:rFonts w:ascii="Times New Roman" w:hAnsi="Times New Roman"/>
          <w:sz w:val="20"/>
        </w:rPr>
        <w:t xml:space="preserve"> or by writing to Magnachip Semiconductor Corporation, c/o Magnachip Semiconductor, Ltd., 15F, 76 Jikji-daero 436beon-gil, Heungdeok-gu, Cheongju-si, Chungcheongbuk-do, Republic of Korea 28581, Attention: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784802_2"/>
      <w:bookmarkEnd w:id="4"/>
      <w:r>
        <w:rPr>
          <w:rFonts w:ascii="Times New Roman" w:hAnsi="Times New Roman"/>
          <w:b/>
          <w:sz w:val="20"/>
        </w:rPr>
        <w:t xml:space="preserve">PROPOSAL ONE </w:t>
      </w:r>
    </w:p>
    <w:p>
      <w:pPr>
        <w:pStyle w:val="TextBody"/>
        <w:bidi w:val="0"/>
        <w:spacing w:before="24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our Board are elected to one-year terms, with each director to serve until such director’s successor is elected and qualified or until such director’s earlier resignation or removal. We have five authorized members on our Board. The number of directors may be changed by our Board from time to time by resolution of a majority of the authorized directors, or by amendment of our bylaws by the affirmative vote of 66-2/3% of the outstanding voting stock of the Company,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five directors are to be elected to hold office for a one-year term and until their successors are elected and qualified. The nominees to the Board are Mr. Camillo Martino, Ms. Kyo-Hwa Chung, Mr. Young-Joon Kim, Dr. Ilbok Lee and Mr. Gilbert Nathan.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the nominees and each continuing director is set forth below. Each of the nominees listed in the Proxy Statement has agreed to serve as a director if elected. If for some unforeseen reason a nominee becomes unwilling or unable to serve, proxies will be voted for a substitute nominee selected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our 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69"/>
        <w:gridCol w:w="120"/>
        <w:gridCol w:w="79"/>
        <w:gridCol w:w="346"/>
        <w:gridCol w:w="60"/>
        <w:gridCol w:w="120"/>
        <w:gridCol w:w="8111"/>
      </w:tblGrid>
      <w:tr>
        <w:trPr/>
        <w:tc>
          <w:tcPr>
            <w:tcW w:w="13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11" w:type="dxa"/>
            <w:tcBorders/>
            <w:vAlign w:val="center"/>
          </w:tcPr>
          <w:p>
            <w:pPr>
              <w:pStyle w:val="TableContents"/>
              <w:bidi w:val="0"/>
              <w:spacing w:before="0" w:after="283"/>
              <w:jc w:val="left"/>
              <w:rPr>
                <w:sz w:val="4"/>
                <w:szCs w:val="4"/>
              </w:rPr>
            </w:pPr>
            <w:r>
              <w:rPr>
                <w:sz w:val="4"/>
                <w:szCs w:val="4"/>
              </w:rPr>
            </w:r>
          </w:p>
        </w:tc>
      </w:tr>
      <w:tr>
        <w:trPr/>
        <w:tc>
          <w:tcPr>
            <w:tcW w:w="136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11"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w:t>
            </w:r>
          </w:p>
        </w:tc>
      </w:tr>
      <w:tr>
        <w:trPr/>
        <w:tc>
          <w:tcPr>
            <w:tcW w:w="13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Camillo Martino</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11" w:type="dxa"/>
            <w:tcBorders/>
            <w:shd w:fill="CCEEFF" w:val="clear"/>
            <w:vAlign w:val="center"/>
          </w:tcPr>
          <w:p>
            <w:pPr>
              <w:pStyle w:val="TableContents"/>
              <w:bidi w:val="0"/>
              <w:spacing w:before="0" w:after="283"/>
              <w:jc w:val="left"/>
              <w:rPr/>
            </w:pPr>
            <w:r>
              <w:rPr/>
              <w:t>Director, Non-Executive Chairman of the Board, Chair of the Compensation Committee and Member of the Audit Committee and the Nominating and Corporate Governance Committee</w:t>
            </w:r>
          </w:p>
        </w:tc>
      </w:tr>
      <w:tr>
        <w:trPr/>
        <w:tc>
          <w:tcPr>
            <w:tcW w:w="13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Kyo-Hwa (Liz) Chung</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jc w:val="left"/>
              <w:rPr/>
            </w:pPr>
            <w:r>
              <w:rPr/>
              <w:t>Director and Member of the Compensation Committee</w:t>
            </w:r>
          </w:p>
        </w:tc>
      </w:tr>
      <w:tr>
        <w:trPr/>
        <w:tc>
          <w:tcPr>
            <w:tcW w:w="13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(YJ) Kim</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11" w:type="dxa"/>
            <w:tcBorders/>
            <w:shd w:fill="CCEEFF" w:val="clear"/>
            <w:vAlign w:val="center"/>
          </w:tcPr>
          <w:p>
            <w:pPr>
              <w:pStyle w:val="TableContents"/>
              <w:bidi w:val="0"/>
              <w:spacing w:before="0" w:after="283"/>
              <w:jc w:val="left"/>
              <w:rPr/>
            </w:pPr>
            <w:r>
              <w:rPr/>
              <w:t>Director, Member of the Risk Committee and Chief Executive Officer</w:t>
            </w:r>
          </w:p>
        </w:tc>
      </w:tr>
      <w:tr>
        <w:trPr/>
        <w:tc>
          <w:tcPr>
            <w:tcW w:w="13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Ilbok Lee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jc w:val="left"/>
              <w:rPr/>
            </w:pPr>
            <w:r>
              <w:rPr/>
              <w:t>Director, Chair of the Nominating and Corporate Governance Committee and the Risk Committee and Member of the Audit Committee</w:t>
            </w:r>
          </w:p>
        </w:tc>
      </w:tr>
      <w:tr>
        <w:trPr/>
        <w:tc>
          <w:tcPr>
            <w:tcW w:w="13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Gilbert Nathan</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11" w:type="dxa"/>
            <w:tcBorders/>
            <w:shd w:fill="CCEEFF" w:val="clear"/>
            <w:vAlign w:val="center"/>
          </w:tcPr>
          <w:p>
            <w:pPr>
              <w:pStyle w:val="TableContents"/>
              <w:bidi w:val="0"/>
              <w:spacing w:before="0" w:after="283"/>
              <w:jc w:val="left"/>
              <w:rPr/>
            </w:pPr>
            <w:r>
              <w:rPr/>
              <w:t>Director, Chair of the Audit Committee and Member of the Nominating and Corporate Governance Committee</w:t>
            </w:r>
          </w:p>
        </w:tc>
      </w:tr>
    </w:tbl>
    <w:p>
      <w:pPr>
        <w:pStyle w:val="TextBody"/>
        <w:bidi w:val="0"/>
        <w:spacing w:before="240" w:after="0"/>
        <w:jc w:val="left"/>
        <w:rPr>
          <w:rFonts w:ascii="Times New Roman" w:hAnsi="Times New Roman"/>
          <w:sz w:val="20"/>
        </w:rPr>
      </w:pPr>
      <w:r>
        <w:rPr>
          <w:rFonts w:ascii="Times New Roman" w:hAnsi="Times New Roman"/>
          <w:b/>
          <w:i/>
          <w:sz w:val="20"/>
        </w:rPr>
        <w:t>Camillo Martino, Director, Non-Executive Chairman of the Board, Chair of the Compensation Committee and Member of the Audit Committee and the Nominating and Corporate Governance Committee.</w:t>
      </w:r>
      <w:r>
        <w:rPr>
          <w:rFonts w:ascii="Times New Roman" w:hAnsi="Times New Roman"/>
          <w:sz w:val="20"/>
        </w:rPr>
        <w:t xml:space="preserve"> Mr. Martino became our Non-Executive Chairman of the Board in June 2020 and director in August 2016. Mr. Martino currently also serves as a member of the board of directors for CXApp (formerly, KINS Technology Group) and Sensera Limited. Mr. Martino also serves as a member of the board of directors at multiple privately-held companies, including VVDN Technologies and Sakuu Corporation. Mr. Martino previously served as a director of Cypress Semiconductor from June 2017 through to April 2020 and was also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Martino should serve on the Board based upon his extensive experience advising technology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Kyo-Hwa (Liz) Chung, Director and Member of the Compensation Committee.</w:t>
      </w:r>
      <w:r>
        <w:rPr>
          <w:rFonts w:ascii="Times New Roman" w:hAnsi="Times New Roman"/>
          <w:sz w:val="20"/>
        </w:rPr>
        <w:t xml:space="preserve"> Ms. Chung was appointed as our director in July 2020 and to the Compensation Committee of the Board on January 5, 2022. Ms. Chung currently serves as the Director of Legal for Netflix Services Korea, a position she has held since April 2021. In March 2022, she was appointed as an outside director of NCSoft Corporation, a Korean video game developer and publisher listed on the Korea Exchange. Prior to Netflix Services Korea, Ms. Chung served as the Head of Corporate, External and Legal Affairs for Microsoft Korea from November 2018 until March 2021. Ms. Chung was with the Korean law firm Kim &amp; Chang, from April 2003 until November 2018, most recently as a partner focusing on the areas of international disputes, government investigations and crisis management. During September 2008 to March 2009, Ms. Chung was engaged with the international law firm Skadden, Arps, Slate, Meagher &amp; Flom LLP, as a visiting attorney at its New York office. Ms. Chung served as a judge on the Seoul Administrative Court from 2001 to 2003 and the Seoul Central District Court from 1999 to 2001. Ms. Chung received an LLM degree from Harvard Law School in 2008 and a Bachelor of Law degree from Korea University in 1996. Ms. Chung is licensed to practice law in Korea and New York. Our Board has concluded that Ms. Chung should serve on the Board based upon her extensive experience advising technology companies. </w:t>
      </w:r>
    </w:p>
    <w:p>
      <w:pPr>
        <w:pStyle w:val="TextBody"/>
        <w:bidi w:val="0"/>
        <w:spacing w:before="240" w:after="0"/>
        <w:jc w:val="left"/>
        <w:rPr>
          <w:rFonts w:ascii="Times New Roman" w:hAnsi="Times New Roman"/>
          <w:sz w:val="20"/>
        </w:rPr>
      </w:pPr>
      <w:r>
        <w:rPr>
          <w:rFonts w:ascii="Times New Roman" w:hAnsi="Times New Roman"/>
          <w:b/>
          <w:i/>
          <w:sz w:val="20"/>
        </w:rPr>
        <w:t>Young-Joon (YJ) Kim, Director, Member of the Risk Committee and Chief Executive Officer.</w:t>
      </w:r>
      <w:r>
        <w:rPr>
          <w:rFonts w:ascii="Times New Roman" w:hAnsi="Times New Roman"/>
          <w:sz w:val="20"/>
        </w:rPr>
        <w:t xml:space="preserve"> Mr. YJ Kim became our Chief Executive Officer in May 2015 and has also served as a director on our Board since that time. In February 2023, Mr. Kim held the additional role of Acting Co-General Manager of our Power business to capitalize on the attractive growth opportunities in the Power sector. From February 2020 to February 2023, Mr. Kim assumed the additional role of General Manager of the Display business to capitalize on the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His past roles include marketing, engineering, product development and strategic planning, and his product expertise includes microprocessors, network processors, multi-core processors, FLASH, EPROM, analog, mixed-signal, sensors, 3G/4G/5G base stations,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 </w:t>
      </w:r>
    </w:p>
    <w:p>
      <w:pPr>
        <w:pStyle w:val="TextBody"/>
        <w:bidi w:val="0"/>
        <w:spacing w:before="240" w:after="0"/>
        <w:jc w:val="left"/>
        <w:rPr>
          <w:rFonts w:ascii="Times New Roman" w:hAnsi="Times New Roman"/>
          <w:sz w:val="20"/>
        </w:rPr>
      </w:pPr>
      <w:r>
        <w:rPr>
          <w:rFonts w:ascii="Times New Roman" w:hAnsi="Times New Roman"/>
          <w:b/>
          <w:i/>
          <w:sz w:val="20"/>
        </w:rPr>
        <w:t>Ilbok Lee, Director, Chair of the Nominating and Corporate Governance Committee and the Risk Committee and Member of the Audit Committee.</w:t>
      </w:r>
      <w:r>
        <w:rPr>
          <w:rFonts w:ascii="Times New Roman" w:hAnsi="Times New Roman"/>
          <w:sz w:val="20"/>
        </w:rPr>
        <w:t xml:space="preserve"> Dr. Lee has been our director since August 2011. Dr. Lee was an advisor/consultant to the Configurable Mixed-signal Business Unit of Dialog Semiconductor, Inc., which acquired Silego Technology Inc., a semiconductor company from October 2017 to December 2018. Dr. Lee served as Executive Chairman of Silego from August 2016 to October 2017. Dr. Lee served as Silego’s Chairman of the Board from March 2015 to August 2016 and as Silego’s Chief Executive Officer from Silego’s inception in October 2001 until August 2016. From April 1999 to September 2001, Dr. Lee served as Senior Vice President and General Manager of the Timing Division at Cypress Semiconductor Corp., a public semiconductor company, and from May 1992 to March 1999 served as President and Chief Executive Officer of IC Works, Inc., a semiconductor company he co-founded that was acquired by Cypress in 2001. Dr. Lee co-founded Samsung Semiconductor, Inc. (U.S.A.) in July 1983 and served in various positions at the Company, including President and Chief Executive Officer, until May 1992. Prior to Samsung, Dr. Lee served in various technical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managerial positions at Intel and National Semiconductor. Dr. Lee served as a member of the board of directors for Sierra Monolithic, a privately held semiconductor company, from 2002 through 2009. Dr. Lee also served on the board of directors of two public companies: ESS Technology and V3 Semiconductor. Dr. Lee received a Ph.D. and M.S.E.E. from the University of Minnesota and a B.S.E.E. from Seoul National University. Our Board has concluded that Dr. Lee should serve on our Board based upon his extensive experience in the semiconductor industry. </w:t>
      </w:r>
    </w:p>
    <w:p>
      <w:pPr>
        <w:pStyle w:val="TextBody"/>
        <w:bidi w:val="0"/>
        <w:spacing w:before="240" w:after="0"/>
        <w:jc w:val="left"/>
        <w:rPr>
          <w:rFonts w:ascii="Times New Roman" w:hAnsi="Times New Roman"/>
          <w:sz w:val="20"/>
        </w:rPr>
      </w:pPr>
      <w:r>
        <w:rPr>
          <w:rFonts w:ascii="Times New Roman" w:hAnsi="Times New Roman"/>
          <w:b/>
          <w:i/>
          <w:sz w:val="20"/>
        </w:rPr>
        <w:t>Gilbert Nathan,</w:t>
      </w:r>
      <w:r>
        <w:rPr>
          <w:rFonts w:ascii="Times New Roman" w:hAnsi="Times New Roman"/>
          <w:sz w:val="20"/>
        </w:rPr>
        <w:t xml:space="preserve"> </w:t>
      </w:r>
      <w:r>
        <w:rPr>
          <w:rFonts w:ascii="Times New Roman" w:hAnsi="Times New Roman"/>
          <w:b/>
          <w:i/>
          <w:sz w:val="20"/>
        </w:rPr>
        <w:t xml:space="preserve">Director, Chair of the Audit Committee and Member of the Nominating and Corporate Governance Committee. </w:t>
      </w:r>
      <w:r>
        <w:rPr>
          <w:rFonts w:ascii="Times New Roman" w:hAnsi="Times New Roman"/>
          <w:sz w:val="20"/>
        </w:rPr>
        <w:t xml:space="preserve">Mr. Nathan is the Managing Member of Jackson Square Advisors LLC, a financial advisory and services firm. He serves on the Boards of Directors of Ready Capital Corporation and Alto Ingredients, Inc. Mr. Nathan is the plan administrator of Mission Coal and Mahwah Bergen Retail Group, Inc. and is the Chief Executive Officer of Keycon Power Holdings, LLC and Cloud Peak Energy, Inc. Mr. Nathan was formerly a Senior Analyst with Candlewood Investment Group and served as Principal at Restoration Capital Management. Mr. Nathan has a BS degree in Management, Major in Finance from the A. B. Freeman School of Business at Tulane University. Our Board has concluded that Mr. Nathan should serve on our Board based upon his extensive experience in finance.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784802_3"/>
      <w:bookmarkEnd w:id="5"/>
      <w:r>
        <w:rPr>
          <w:rFonts w:ascii="Times New Roman" w:hAnsi="Times New Roman"/>
          <w:b/>
          <w:sz w:val="20"/>
        </w:rPr>
        <w:t xml:space="preserve">THE BOARD OF DIRECTORS AND CORPORATE GOVERNANCE </w:t>
      </w:r>
    </w:p>
    <w:p>
      <w:pPr>
        <w:pStyle w:val="TextBody"/>
        <w:bidi w:val="0"/>
        <w:spacing w:before="240" w:after="0"/>
        <w:jc w:val="left"/>
        <w:rPr>
          <w:rFonts w:ascii="Times New Roman" w:hAnsi="Times New Roman"/>
          <w:b/>
          <w:sz w:val="20"/>
        </w:rPr>
      </w:pPr>
      <w:bookmarkStart w:id="6" w:name="toc784802_4"/>
      <w:bookmarkEnd w:id="6"/>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Board reviews the independence of each director annually. In determining the independence of our directors, our Board considered Section 303A of the NYSE listing standards and broadly considered the materiality of each director’s relationship with us. Based upon the foregoing criteria, our Board has determined that the following directors are independent: Mr. Martino, Ms. Chung, Dr. Lee and Mr. Nathan. </w:t>
      </w:r>
    </w:p>
    <w:p>
      <w:pPr>
        <w:pStyle w:val="TextBody"/>
        <w:bidi w:val="0"/>
        <w:spacing w:before="360" w:after="0"/>
        <w:jc w:val="left"/>
        <w:rPr>
          <w:rFonts w:ascii="Times New Roman" w:hAnsi="Times New Roman"/>
          <w:b/>
          <w:sz w:val="20"/>
        </w:rPr>
      </w:pPr>
      <w:bookmarkStart w:id="7" w:name="toc784802_5"/>
      <w:bookmarkEnd w:id="7"/>
      <w:r>
        <w:rPr>
          <w:rFonts w:ascii="Times New Roman" w:hAnsi="Times New Roman"/>
          <w:b/>
          <w:sz w:val="20"/>
        </w:rPr>
        <w:t xml:space="preserve">Board Meetings </w:t>
      </w:r>
    </w:p>
    <w:p>
      <w:pPr>
        <w:pStyle w:val="TextBody"/>
        <w:bidi w:val="0"/>
        <w:spacing w:before="120" w:after="0"/>
        <w:jc w:val="left"/>
        <w:rPr>
          <w:rFonts w:ascii="Times New Roman" w:hAnsi="Times New Roman"/>
          <w:sz w:val="20"/>
        </w:rPr>
      </w:pPr>
      <w:r>
        <w:rPr>
          <w:rFonts w:ascii="Times New Roman" w:hAnsi="Times New Roman"/>
          <w:sz w:val="20"/>
        </w:rPr>
        <w:t xml:space="preserve">The Board held 12 meetings during fiscal year 2023. None of the directors attended fewer than 80 percent of the aggregate number of Board meetings and meetings of committees of the Board on which each of them served. </w:t>
      </w:r>
    </w:p>
    <w:p>
      <w:pPr>
        <w:pStyle w:val="TextBody"/>
        <w:bidi w:val="0"/>
        <w:spacing w:before="360" w:after="0"/>
        <w:jc w:val="left"/>
        <w:rPr>
          <w:rFonts w:ascii="Times New Roman" w:hAnsi="Times New Roman"/>
          <w:b/>
          <w:sz w:val="20"/>
        </w:rPr>
      </w:pPr>
      <w:bookmarkStart w:id="8" w:name="toc784802_6"/>
      <w:bookmarkEnd w:id="8"/>
      <w:r>
        <w:rPr>
          <w:rFonts w:ascii="Times New Roman" w:hAnsi="Times New Roman"/>
          <w:b/>
          <w:sz w:val="20"/>
        </w:rPr>
        <w:t xml:space="preserve">Attendance at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Corporate Governance Guidelines as currently in effect provide that all directors shall make every effort to attend the Company’s annual meeting of stockholders. In 2023, all of our then-current directors attended our Annual Meeting of Stockholders. </w:t>
      </w:r>
    </w:p>
    <w:p>
      <w:pPr>
        <w:pStyle w:val="TextBody"/>
        <w:bidi w:val="0"/>
        <w:spacing w:before="360" w:after="0"/>
        <w:jc w:val="left"/>
        <w:rPr>
          <w:rFonts w:ascii="Times New Roman" w:hAnsi="Times New Roman"/>
          <w:b/>
          <w:sz w:val="20"/>
        </w:rPr>
      </w:pPr>
      <w:bookmarkStart w:id="9" w:name="toc784802_7"/>
      <w:bookmarkEnd w:id="9"/>
      <w:r>
        <w:rPr>
          <w:rFonts w:ascii="Times New Roman" w:hAnsi="Times New Roman"/>
          <w:b/>
          <w:sz w:val="20"/>
        </w:rPr>
        <w:t xml:space="preserve">Committees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four standing committees: the Audit Committee, the Compensation Committee, the Nominating and Corporate Governance Committee, and the Risk Committee. The Board establishes ad hoc committees from time to time on an as-needed basis. As announced in the Company’s Current Report on Form 8-K on August 8, 2022, the Board activated the Strategic Review Committee, consisting of Mr. Martino, as Chair, Dr. Lee and Mr. Nathan, to assist the Board in reviewing, considering, exploring and evaluating strategic alternatives that may be available to the Company to maximize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The Board has adopted written charters for the Audit Committee, the Compensation Committee, the Nominating and Corporate Governance Committee and the Risk Committee. These charters, as well as our Code of Business Conduct and Ethics and our Corporate Governance Guidelines, are posted and available on our website at </w:t>
      </w:r>
      <w:r>
        <w:rPr>
          <w:rFonts w:ascii="Times New Roman" w:hAnsi="Times New Roman"/>
          <w:i/>
          <w:sz w:val="20"/>
        </w:rPr>
        <w:t>https://investors.magnachip.com/corporate-governance/highlights</w:t>
      </w:r>
      <w:r>
        <w:rPr>
          <w:rFonts w:ascii="Times New Roman" w:hAnsi="Times New Roman"/>
          <w:sz w:val="20"/>
        </w:rPr>
        <w:t xml:space="preserve">. The information on or accessible through our website is not a part of or incorporated by reference into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Mr. Nathan, as Chair, Mr. Martino and Dr. Lee. Our Board has determined that Mr. Nathan is an audit committee financial expert as defined in Item 407(d)(5) of Regulation S-K promulgated under the Securities Act of 1933, as amended. Our Board has also determined that each of Mr. Nathan, Mr. Martino and Dr. Lee is independent as that term is defined in Section 303A of the New York Stock Exchange (“NYSE”) listing standards and Rule 10A-3 promulgated under the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held 8 meetings in fiscal year 2023. The primary purpose of the Audit Committee is to assist our Board in fulfilling its oversight responsibilities by reviewing and reporting to the Board on the integrity of the financial reports and other financial information provided by the Company to the public, the SEC and any other governmental regulatory body, and on the Company’s compliance with other legal and regulatory requirements. The Audit Committee is responsible for the appointment, retention, review and oversight of the Company’s independent auditor, and the review and oversight of the Company’s internal financial reporting, policies and processes. The Audit Committee is also responsible for reviewing related party transactions, risk management, and legal and ethics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Mr. Martino, as Chair and Ms. Chung. Our Board has determined that each of Mr. Martino and Ms. Chung is independent under applicable NYSE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held 9 meetings in 2023. The Compensation Committee has the overall responsibility for evaluating and approving our executive officer and director compensation plans, policies and programs, as well as all equity-based compensation plans and policies. In March 2016, the Board created the Employee Equity Committee and delegated to it the authority to determine the recipients, amounts and timing of awards under the Company’s equity-based compensation plans within the parameters established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On April 13, 2023, the Board adopted the amended and restated Charter of the Compensation Committee, assigning to the Compensation Committee the responsibility of periodically reviewing and advising the Board concerning the Company’s human capital strategies, initiatives and programs with respect to the Company’s culture, talent, recruitment, retention, employee engagement, and employee diversity, equity and inclusion efforts. On April 16, 2024, the Board amended and restated the Charter of the Compensation Committee to decrease the minimum number of directors required to serve on the Compensation Committee from three to two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consists of Dr. Lee, as Chair, Mr. Martino and Mr. Nathan. Our Board has determined that each of Dr. Lee, Mr. Martino and Mr. Nathan is independent under applicable NYSE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held 7 meetings in 2023. The Nominating and Corporate Governance Committee identifies individuals qualified to become Board members, recommends director nominees, recommends Board members for committee membership, develops and recommends corporate governance principles and practices and director orientation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stockholders seeking to nominate candidates for election as directors at an annual meeting must provide timely notice of such nominations in writing. To be timely, a stockholder’s notice generally must be received in writing at the Company’s offices at Magnachip Semiconductor Corporation, c/o Magnachip Semiconductor, Ltd., 15F, 76 Jikji-daero 436beon-gil, Heungdeok-gu, Cheongju-si, Chungcheongbuk-do, Republic of Korea 28581, Attention: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stockholder who intends to make the nomination, and the names and addresses of the beneficial owners, if any, on whose behalf the nomination is being made and of the person or persons to be nominated;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the stockholder is a holder of record of stock of the Company entitled to vote for the election of Directors on the date of such notice and intends to appear in person or by proxy at the meeting to nominate the person or persons specified in the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information regarding the ownership and other interests of the stockholder or such other beneficial owner;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all arrangements or understandings between the stockholder or such beneficial owner and each nominee and any other person or persons (naming such person or persons) pursuant to which the nomination or nominations are to be made by the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all direct and indirect compensation and other material monetary agreements, arrangements and understandings during the past three years, and any other material relationships, between or among such stockholder and such other beneficial owner, if any, and their respective affiliates and associates and each proposed nominee;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other information regarding each nominee proposed by such stockholder as would be required to be included in a Proxy Statement filed pursuant to the proxy rules of the SEC; and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each nominee to serve as a director of the Company if so elected.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Section 2.15 of our bylaws and such other applicable provisions of our bylaws as in effect from time to time for the specific requirements of such director nomination procedures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formal procedures set forth in our bylaws for the nomination of directors by stockholders, the Nominating and Corporate Governance Committee has adopted a Policy Regarding Director Nominations pursuant to which it may from time to time evaluate candidates for nomination as director that come to its attention through incumbent directors, management, stockholders or third parties. Such informal recommendations by stockholders should be directed to the attention of the Nominating and Corporate Governance Committee as set forth below under “Communications with Directors.” The Nominating and Corporate Governance Committee has and may in the future, if it deems appropriate under the circumstances, engage a third-party search firm to assist in identifying qualified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seeks director candidates who possess high quality business and professional experience, possess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 Committee </w:t>
      </w:r>
    </w:p>
    <w:p>
      <w:pPr>
        <w:pStyle w:val="TextBody"/>
        <w:bidi w:val="0"/>
        <w:spacing w:before="120" w:after="0"/>
        <w:jc w:val="left"/>
        <w:rPr>
          <w:rFonts w:ascii="Times New Roman" w:hAnsi="Times New Roman"/>
          <w:sz w:val="20"/>
        </w:rPr>
      </w:pPr>
      <w:r>
        <w:rPr>
          <w:rFonts w:ascii="Times New Roman" w:hAnsi="Times New Roman"/>
          <w:sz w:val="20"/>
        </w:rPr>
        <w:t xml:space="preserve">Our Risk Committee consists of Dr. Lee, as Chair, and Mr. YJ Kim. The Risk Committee held 4 meetings in 2023. The Risk Committee assists the Board in its oversight of the Company’s management of key risks, as well as the guidelines, policies and processes for monitoring and mitigating such risks. The Risk Committee’s primary responsibility is to oversee and approve the implementation of Company-wide risk and crisis management best practices. Other responsibilities of the Risk Committee include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 related to such review.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2023, the Board adopted the amended and restated Charter of the Risk Committee, assigning to the Risk Committee the responsibility of overseeing the Company’s corporate objectives,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strategies and initiatives relating to, and attending risks associated with, environmental, social and governance (“ESG”) matters, including corporate social responsibility, sustainability, public policy and other related matters (“ESG Matters”). Accordingly, our Risk Committee has been engaged in reviewing and assessing our capabilities in compliance with ESG standards and regulations and working with the Company to improve disclosure and transparency relating to the Company’s ESG profile. </w:t>
      </w:r>
    </w:p>
    <w:p>
      <w:pPr>
        <w:pStyle w:val="TextBody"/>
        <w:bidi w:val="0"/>
        <w:spacing w:before="360" w:after="0"/>
        <w:jc w:val="left"/>
        <w:rPr>
          <w:rFonts w:ascii="Times New Roman" w:hAnsi="Times New Roman"/>
          <w:b/>
          <w:sz w:val="20"/>
        </w:rPr>
      </w:pPr>
      <w:bookmarkStart w:id="10" w:name="toc784802_8"/>
      <w:bookmarkEnd w:id="10"/>
      <w:r>
        <w:rPr>
          <w:rFonts w:ascii="Times New Roman" w:hAnsi="Times New Roman"/>
          <w:b/>
          <w:sz w:val="20"/>
        </w:rPr>
        <w:t xml:space="preserve">Board Leadership Structure </w:t>
      </w:r>
    </w:p>
    <w:p>
      <w:pPr>
        <w:pStyle w:val="TextBody"/>
        <w:bidi w:val="0"/>
        <w:spacing w:before="120" w:after="0"/>
        <w:jc w:val="left"/>
        <w:rPr>
          <w:rFonts w:ascii="Times New Roman" w:hAnsi="Times New Roman"/>
          <w:i/>
          <w:sz w:val="20"/>
        </w:rPr>
      </w:pPr>
      <w:r>
        <w:rPr>
          <w:rFonts w:ascii="Times New Roman" w:hAnsi="Times New Roman"/>
          <w:i/>
          <w:sz w:val="20"/>
        </w:rPr>
        <w:t xml:space="preserve">Separation of Chairperson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state that the Board shall elect its Chairperson and appoint the Company’s Chief Executive Officer according to its view of what is best for the Company at any given time. The Board does not believe there should be a fixed rule as to whether the offices of Chairperson and Chief Executive Officer should be vested in the same person or two different persons, or whether the Chairperson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Currently, Mr. Martino serves as the Company’s Chairman of the Board, and Mr. YJ Kim serves as the Company’s Chief Executive Officer. The Board may, however, make changes to its leadership structure in the future as it deems appropriate. </w:t>
      </w:r>
    </w:p>
    <w:p>
      <w:pPr>
        <w:pStyle w:val="TextBody"/>
        <w:bidi w:val="0"/>
        <w:spacing w:before="360" w:after="0"/>
        <w:jc w:val="left"/>
        <w:rPr>
          <w:rFonts w:ascii="Times New Roman" w:hAnsi="Times New Roman"/>
          <w:i/>
          <w:sz w:val="20"/>
        </w:rPr>
      </w:pPr>
      <w:r>
        <w:rPr>
          <w:rFonts w:ascii="Times New Roman" w:hAnsi="Times New Roman"/>
          <w:i/>
          <w:sz w:val="20"/>
        </w:rPr>
        <w:t xml:space="preserve">Lead Director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positions of Chairperson and Chief Executive Officer are held by the same person, on an annual basis the independent members of the Board will select a lead director from the independent directors then serving on the Board (the “Lead Director”). As a general matter, there will be no Lead Director if the positions of Chairperson and CEO are not held by the same person and the Chairperson is an independent director. The length of service as Lead Director is subject to the Board’s discretion, but will be a minimum of one year. The Lead Director has the authority to call meetings of the independent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Executive Sessions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Company’s non-management directors meet at regularly scheduled Board meetings in executive session without management present. In 2023, the Chairman of the Board presided over the meetings of the non-employee directors. In addition, in accordance with our Corporate Governance Guidelines, the independent members of the Board meet at least twice a year in executive session, with the Chairperson setting the agenda and presiding over such meetings. </w:t>
      </w:r>
    </w:p>
    <w:p>
      <w:pPr>
        <w:pStyle w:val="TextBody"/>
        <w:bidi w:val="0"/>
        <w:spacing w:before="360" w:after="0"/>
        <w:jc w:val="left"/>
        <w:rPr>
          <w:rFonts w:ascii="Times New Roman" w:hAnsi="Times New Roman"/>
          <w:i/>
          <w:sz w:val="20"/>
        </w:rPr>
      </w:pPr>
      <w:r>
        <w:rPr>
          <w:rFonts w:ascii="Times New Roman" w:hAnsi="Times New Roman"/>
          <w:i/>
          <w:sz w:val="20"/>
        </w:rPr>
        <w:t xml:space="preserve">Presiding Director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 </w:t>
      </w:r>
    </w:p>
    <w:p>
      <w:pPr>
        <w:pStyle w:val="TextBody"/>
        <w:bidi w:val="0"/>
        <w:spacing w:before="360" w:after="0"/>
        <w:jc w:val="left"/>
        <w:rPr>
          <w:rFonts w:ascii="Times New Roman" w:hAnsi="Times New Roman"/>
          <w:b/>
          <w:sz w:val="20"/>
        </w:rPr>
      </w:pPr>
      <w:bookmarkStart w:id="11" w:name="toc784802_9"/>
      <w:bookmarkEnd w:id="11"/>
      <w:r>
        <w:rPr>
          <w:rFonts w:ascii="Times New Roman" w:hAnsi="Times New Roman"/>
          <w:b/>
          <w:sz w:val="20"/>
        </w:rPr>
        <w:t xml:space="preserve">Board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Our Board is responsible for overseeing our management of risk. The Board created a Risk Committee to assist in overseeing management’s identification and evaluation of key enterprise risks to the Company, as well as guidelines, policies and processes for monitoring and mitigating such risks. In particular, the Risk Committee focuses on strategic enterprise risks, including risks associated with intellectual property; business operations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disaster recovery capabilities; and data security, privacy, technology and information security policies, procedures, and internal controls, including those related to cybersecurity and cyber incident responses and reporting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Our Board also fully understands its duties to navigate the challenges presented by climate change, social injustice, inequality, and numerous other issues that are fundamental to the success and sustainability of the Company. We are committed to sustainable business practices to advance our long-term ambitions as well as to mitigate business risks. Our Risk Committee oversees the Company’s objectives, goals, strategies and initiatives relating to ESG Matters and the related impacts and risks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Company management reports on a quarterly basis to the Risk Committee their assessment of key enterprise risks across multiple categories and mitigation plans for those that fail to meet relevant tolerance standards established from time to time. During quarterly Risk Committee meetings, the members of the Risk Committee review management’s assessment report and discuss with management measures to be implemented to better control against existing risks and identify emerging risks. For example, the Risk Committee may consider replacing specific existing risk categories, adding new risk categories, or adjusting the tolerance standards of risks to preemptively respond to changes in the Company’s business and the environment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The Risk Committee works closely with Theodore Kim, our Chief Compliance Officer, who was appointed by our Chief Executive Officer as the Company’s Risk Officer, with respect to the above-described oversight. In this capacity, Mr. Kim reports directly to the Risk Committee, the Board as a whole and the Company’s Chief Executive Officer. The Risk Committee may discuss certain risks with the Audit Committee or the Board if certain material disclosure issues arise. The Risk Committee and the Company have engaged outside experts from time to time to obtain assistance with the identification and mitigation of key risks.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also has certain statutory, regulatory and other responsibilities with respect to oversight of risk assessment and risk management. Specifically, the Audit Committee is responsible for overseeing policies with respect to financial risk assessment and those other items specifically set forth in our Audit Committee charter. The Risk Committee coordinates with the Audit Committee as necessary and appropriate to enable the Audit Committee to perform its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The Board’s other independent committees also oversee risks associated with their respective areas of responsibility. For example, the Compensation Committee considers the risks to our business associated with our compensation policies and practices, with respect to both executive compensation and compensation generally. </w:t>
      </w:r>
    </w:p>
    <w:p>
      <w:pPr>
        <w:pStyle w:val="TextBody"/>
        <w:bidi w:val="0"/>
        <w:spacing w:before="240" w:after="0"/>
        <w:jc w:val="left"/>
        <w:rPr>
          <w:rFonts w:ascii="Times New Roman" w:hAnsi="Times New Roman"/>
          <w:sz w:val="20"/>
        </w:rPr>
      </w:pPr>
      <w:r>
        <w:rPr>
          <w:rFonts w:ascii="Times New Roman" w:hAnsi="Times New Roman"/>
          <w:sz w:val="20"/>
        </w:rPr>
        <w:t>Our Board believes that our compensation programs are designed such that they will not incentivize unnecessary risk taking. The base salary component of our compensation program is a fixed amount and does not depend on performance. Payout levels under our cash incentive program are generally capped and payout opportunities may generally be achieved on a straight-line interpolation basis between threshold and target levels, and between the target and maximum levels. Our equity awards are limited by the terms of our equity plans to not more than a fixed maximum amount specified in the plan, and are subject to vesting to align the long-term interests of our executive officers with those of our stockholders. Our Board adopted a compensation recovery policy, in compliance with the NYSE listing rules, to provide for the recoupment of certain executive compensation in the event of material any accounting misstatement. See “Executive Compensation—Compensation Discussion and Analysis—</w:t>
      </w:r>
      <w:r>
        <w:rPr>
          <w:rFonts w:ascii="Times New Roman" w:hAnsi="Times New Roman"/>
          <w:i/>
          <w:sz w:val="20"/>
        </w:rPr>
        <w:t>Compensation Recovery Policy</w:t>
      </w:r>
      <w:r>
        <w:rPr>
          <w:rFonts w:ascii="Times New Roman" w:hAnsi="Times New Roman"/>
          <w:sz w:val="20"/>
        </w:rPr>
        <w:t xml:space="preserve">” contained elsewhere in this Proxy Statement. </w:t>
      </w:r>
    </w:p>
    <w:p>
      <w:pPr>
        <w:pStyle w:val="TextBody"/>
        <w:bidi w:val="0"/>
        <w:spacing w:before="360" w:after="0"/>
        <w:jc w:val="left"/>
        <w:rPr>
          <w:rFonts w:ascii="Times New Roman" w:hAnsi="Times New Roman"/>
          <w:b/>
          <w:sz w:val="20"/>
        </w:rPr>
      </w:pPr>
      <w:bookmarkStart w:id="12" w:name="toc784802_10"/>
      <w:bookmarkEnd w:id="12"/>
      <w:r>
        <w:rPr>
          <w:rFonts w:ascii="Times New Roman" w:hAnsi="Times New Roman"/>
          <w:b/>
          <w:sz w:val="20"/>
        </w:rPr>
        <w:t xml:space="preserve">Director Orientation and Continuing Education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oversees the orientation process for new members of our Board to ensure that they are familiar with the Company’s operations, financial matters, corporate governance practices and other key policies and practices through the preparation and review of background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and management meetings as appropriate. In addition, our Nominating and Corporate Governance Committee seeks to identify and encourage training and continuing education opportunities for all directors in order to improve both our Board and its committees’ performance. Senior management assist in identifying and advising our directors about opportunities for continuing education, including conferences provided by independent third parties. In furtherance of these efforts, the Company maintains membership for each Company director in the National Association of Corporate Directors (NACD), which provides corporate governance resources, education, information, and research on leading Board practices. </w:t>
      </w:r>
    </w:p>
    <w:p>
      <w:pPr>
        <w:pStyle w:val="TextBody"/>
        <w:bidi w:val="0"/>
        <w:spacing w:before="360" w:after="0"/>
        <w:jc w:val="left"/>
        <w:rPr>
          <w:rFonts w:ascii="Times New Roman" w:hAnsi="Times New Roman"/>
          <w:b/>
          <w:sz w:val="20"/>
        </w:rPr>
      </w:pPr>
      <w:bookmarkStart w:id="13" w:name="toc784802_11"/>
      <w:bookmarkEnd w:id="13"/>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Business Conduct and Ethics that applies to all of our directors, officers and employees. We will provide a copy of our Code of Business Conduct and Ethics without charge to any person upon written request made to our Secretary at Magnachip Semiconductor Corporation, c/o Magnachip Semiconductor, Ltd., 15F, 76 Jikji-daero 436beon-gil, Heungdeok-gu, Cheongju-si, Chungcheongbuk-do, Republic of Korea 28581. Our Code of Business Conduct and Ethics is also available on our website at </w:t>
      </w:r>
      <w:r>
        <w:rPr>
          <w:rFonts w:ascii="Times New Roman" w:hAnsi="Times New Roman"/>
          <w:i/>
          <w:sz w:val="20"/>
        </w:rPr>
        <w:t>https://investors.magnachip.com/corporate-governance/highlights</w:t>
      </w:r>
      <w:r>
        <w:rPr>
          <w:rFonts w:ascii="Times New Roman" w:hAnsi="Times New Roman"/>
          <w:sz w:val="20"/>
        </w:rPr>
        <w:t xml:space="preserve">. We will disclose any waivers or amendments to the provisions of our Code of Business Conduct and Ethics on our website. </w:t>
      </w:r>
    </w:p>
    <w:p>
      <w:pPr>
        <w:pStyle w:val="TextBody"/>
        <w:bidi w:val="0"/>
        <w:spacing w:before="360" w:after="0"/>
        <w:jc w:val="left"/>
        <w:rPr>
          <w:rFonts w:ascii="Times New Roman" w:hAnsi="Times New Roman"/>
          <w:b/>
          <w:sz w:val="20"/>
        </w:rPr>
      </w:pPr>
      <w:bookmarkStart w:id="14" w:name="toc784802_12"/>
      <w:bookmarkEnd w:id="14"/>
      <w:r>
        <w:rPr>
          <w:rFonts w:ascii="Times New Roman" w:hAnsi="Times New Roman"/>
          <w:b/>
          <w:sz w:val="20"/>
        </w:rPr>
        <w:t xml:space="preserve">Report of the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reviewed and discussed with our management and Samil PricewaterhouseCoopers, our independent registered public accounting firm, our audited financial statements contained in our Annual Report to Stockholders for the year ended December 31, 2023. The Audit Committee has also discussed with our independent registered public accounting firm the matters required to be discussed under Public Company Accounting Oversight Board standards.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received and reviewed the written disclosures and the letter from Samil PricewaterhouseCoopers required by applicable requirements of the Public Company Accounting Oversight Board regarding Samil PricewaterhouseCoopers’s communications with the Audit Committee concerning independence, and has discussed with Samil PricewaterhouseCoopers its independence.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review and discussions referred to above, the Audit Committee recommended to the Board (and the Board subsequently approved the recommendation) that the audited financial statements be included in our Annual Report on Form 10-K for the fiscal year ended December 31, 2023 filed with the SEC on March 8, 2024. </w:t>
      </w:r>
    </w:p>
    <w:p>
      <w:pPr>
        <w:pStyle w:val="TextBody"/>
        <w:bidi w:val="0"/>
        <w:spacing w:before="240" w:after="0"/>
        <w:jc w:val="left"/>
        <w:rPr>
          <w:rFonts w:ascii="Times New Roman" w:hAnsi="Times New Roman"/>
          <w:sz w:val="20"/>
        </w:rPr>
      </w:pPr>
      <w:r>
        <w:rPr>
          <w:rFonts w:ascii="Times New Roman" w:hAnsi="Times New Roman"/>
          <w:sz w:val="20"/>
          <w:u w:val="single"/>
        </w:rPr>
        <w:t>Audit Committee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Gilbert Nathan, Chair </w:t>
      </w:r>
    </w:p>
    <w:p>
      <w:pPr>
        <w:pStyle w:val="TextBody"/>
        <w:bidi w:val="0"/>
        <w:spacing w:before="0" w:after="0"/>
        <w:jc w:val="left"/>
        <w:rPr>
          <w:rFonts w:ascii="Times New Roman" w:hAnsi="Times New Roman"/>
          <w:sz w:val="20"/>
        </w:rPr>
      </w:pPr>
      <w:r>
        <w:rPr>
          <w:rFonts w:ascii="Times New Roman" w:hAnsi="Times New Roman"/>
          <w:sz w:val="20"/>
        </w:rPr>
        <w:t xml:space="preserve">Camillo Martino </w:t>
      </w:r>
    </w:p>
    <w:p>
      <w:pPr>
        <w:pStyle w:val="TextBody"/>
        <w:bidi w:val="0"/>
        <w:spacing w:before="0" w:after="0"/>
        <w:jc w:val="left"/>
        <w:rPr>
          <w:rFonts w:ascii="Times New Roman" w:hAnsi="Times New Roman"/>
          <w:sz w:val="20"/>
        </w:rPr>
      </w:pPr>
      <w:r>
        <w:rPr>
          <w:rFonts w:ascii="Times New Roman" w:hAnsi="Times New Roman"/>
          <w:sz w:val="20"/>
        </w:rPr>
        <w:t xml:space="preserve">Ilbok Lee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5" w:name="toc784802_13"/>
      <w:bookmarkEnd w:id="15"/>
      <w:r>
        <w:rPr>
          <w:rFonts w:ascii="Times New Roman" w:hAnsi="Times New Roman"/>
          <w:b/>
          <w:sz w:val="20"/>
        </w:rPr>
        <w:t xml:space="preserve">Communications with Directors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or other interested party who wishes to communicate directly with the Board, a committee of the Board, the non-management or independent directors as a group, or with the Chairman of the Board or any other individual director, regarding matters related to the Company should send the communication to: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or Chairman, individual director, committee or group of directors </w:t>
      </w:r>
    </w:p>
    <w:p>
      <w:pPr>
        <w:pStyle w:val="TextBody"/>
        <w:bidi w:val="0"/>
        <w:spacing w:before="0" w:after="0"/>
        <w:jc w:val="left"/>
        <w:rPr>
          <w:rFonts w:ascii="Times New Roman" w:hAnsi="Times New Roman"/>
          <w:sz w:val="20"/>
        </w:rPr>
      </w:pPr>
      <w:r>
        <w:rPr>
          <w:rFonts w:ascii="Times New Roman" w:hAnsi="Times New Roman"/>
          <w:sz w:val="20"/>
        </w:rPr>
        <w:t xml:space="preserve">Magnachip Semiconductor Corporation </w:t>
      </w:r>
    </w:p>
    <w:p>
      <w:pPr>
        <w:pStyle w:val="TextBody"/>
        <w:bidi w:val="0"/>
        <w:spacing w:before="0" w:after="0"/>
        <w:jc w:val="left"/>
        <w:rPr>
          <w:rFonts w:ascii="Times New Roman" w:hAnsi="Times New Roman"/>
          <w:sz w:val="20"/>
        </w:rPr>
      </w:pPr>
      <w:r>
        <w:rPr>
          <w:rFonts w:ascii="Times New Roman" w:hAnsi="Times New Roman"/>
          <w:sz w:val="20"/>
        </w:rPr>
        <w:t xml:space="preserve">c/o Magnachip Semiconductor, Ltd. </w:t>
      </w:r>
    </w:p>
    <w:p>
      <w:pPr>
        <w:pStyle w:val="TextBody"/>
        <w:bidi w:val="0"/>
        <w:spacing w:before="0" w:after="0"/>
        <w:jc w:val="left"/>
        <w:rPr>
          <w:rFonts w:ascii="Times New Roman" w:hAnsi="Times New Roman"/>
          <w:sz w:val="20"/>
        </w:rPr>
      </w:pPr>
      <w:r>
        <w:rPr>
          <w:rFonts w:ascii="Times New Roman" w:hAnsi="Times New Roman"/>
          <w:sz w:val="20"/>
        </w:rPr>
        <w:t xml:space="preserve">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15F, 76 Jikji-daero 436beon-gil, Heungdeok-gu </w:t>
      </w:r>
    </w:p>
    <w:p>
      <w:pPr>
        <w:pStyle w:val="TextBody"/>
        <w:bidi w:val="0"/>
        <w:spacing w:before="0" w:after="0"/>
        <w:jc w:val="left"/>
        <w:rPr>
          <w:rFonts w:ascii="Times New Roman" w:hAnsi="Times New Roman"/>
          <w:sz w:val="20"/>
        </w:rPr>
      </w:pPr>
      <w:r>
        <w:rPr>
          <w:rFonts w:ascii="Times New Roman" w:hAnsi="Times New Roman"/>
          <w:sz w:val="20"/>
        </w:rPr>
        <w:t xml:space="preserve">Cheongju-si, Chungcheongbuk-do, Republic of Korea 28581 </w:t>
      </w:r>
    </w:p>
    <w:p>
      <w:pPr>
        <w:pStyle w:val="TextBody"/>
        <w:bidi w:val="0"/>
        <w:spacing w:before="240" w:after="0"/>
        <w:jc w:val="left"/>
        <w:rPr>
          <w:rFonts w:ascii="Times New Roman" w:hAnsi="Times New Roman"/>
          <w:sz w:val="20"/>
        </w:rPr>
      </w:pPr>
      <w:r>
        <w:rPr>
          <w:rFonts w:ascii="Times New Roman" w:hAnsi="Times New Roman"/>
          <w:sz w:val="20"/>
        </w:rPr>
        <w:t xml:space="preserve">We will forward all stockholder and other interested party correspondence about the Company to the Board, a committee of the Board, the non-management or independent directors as a group, or an individual director, as appropriate. Please note that we will not forward communications that are spam, junk mail or mass mailings, resumes and other forms of job inquiries, surveys and business solicitations or advertisements. </w:t>
      </w:r>
    </w:p>
    <w:p>
      <w:pPr>
        <w:pStyle w:val="TextBody"/>
        <w:bidi w:val="0"/>
        <w:spacing w:before="360" w:after="0"/>
        <w:jc w:val="left"/>
        <w:rPr>
          <w:rFonts w:ascii="Times New Roman" w:hAnsi="Times New Roman"/>
          <w:b/>
          <w:sz w:val="20"/>
        </w:rPr>
      </w:pPr>
      <w:bookmarkStart w:id="16" w:name="toc784802_14"/>
      <w:bookmarkEnd w:id="16"/>
      <w:r>
        <w:rPr>
          <w:rFonts w:ascii="Times New Roman" w:hAnsi="Times New Roman"/>
          <w:b/>
          <w:sz w:val="20"/>
        </w:rPr>
        <w:t xml:space="preserve">Corporate Responsibilities and ESG Highlights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information contained in this Proxy Statement, we provide further information regarding our Corporate Responsibility on our website, www.magnachip.com, detailing our approach on environmental, social and governance initiatives, accomplishments and objectives. Our website and the Corporate Responsibility disclosures contained therein are not incorporated by reference in, and are not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investing in a better future for ourselves, our customers and the planet. We value environmental, social and governance (“ESG”) criteria as a fundamental aspect of our strategy, covering product design, material sourcing, manufacturing, operations, human capital and supply chain management. Consequently, to ensure a comprehensive approach to sustainability, ethics and corporate citizenship, we have integrated the following ESG considerations into our governance structure: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405" cy="3282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405" cy="3282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Below are a few of the highlights of our social and sustainability practices and policies: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GHG reduction efforts: </w:t>
            </w:r>
            <w:r>
              <w:rPr>
                <w:rFonts w:ascii="Times New Roman" w:hAnsi="Times New Roman"/>
                <w:sz w:val="20"/>
              </w:rPr>
              <w:t xml:space="preserve">Aligned with targets set by the Korean government, we aim to reduce greenhouse gas (GHG) emissions by 40% from a 2018 baseline by 2030 and achieve carbon neutrality by 2050. Our GHG emissions data are submitted annually to Korea’s Ministry of Environment, following third-party verification.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Our products’ impact:</w:t>
            </w:r>
            <w:r>
              <w:rPr>
                <w:rFonts w:ascii="Times New Roman" w:hAnsi="Times New Roman"/>
                <w:sz w:val="20"/>
              </w:rPr>
              <w:t xml:space="preserve"> Our semiconductor products are used in a wide range of high-tech consumer and industrial technologies. Our products have enabled gadgets to become slimmer, with longer-lasting batteries and better performance, thereby reducing energy consumption for end-users and alleviating the burden on our planet’s resources. We have created the “Green Manufacturing Management Rule”, which we apply to all the products we design, build and deliver to our customers. This rule enables product traceability through the setting of continuous indicators and goals. It also ensures that sustainability remains a top priority throughout all stages of the product lifecycle. All our products are Pb-free (lead-free) and have obtained RoHs (Restricted Hazardous Substances) certification.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Our environmental, health and safety, and quality standards: </w:t>
            </w:r>
            <w:r>
              <w:rPr>
                <w:rFonts w:ascii="Times New Roman" w:hAnsi="Times New Roman"/>
                <w:sz w:val="20"/>
              </w:rPr>
              <w:t xml:space="preserve">We comply with a range of internationally recognized standards. We have adopted ISO 14001 and ISO 45001 since 2004. We also maintain compliance with applicable local and international laws, including the Occupational Safety and Health Act of Korea, as well as customer requirements such as those relating to hazardous chemicals. We also focus on continuous improvement through quality management systems, including compliance with IATF 16949 and ISO 9001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Human rights and labor standards</w:t>
            </w:r>
            <w:r>
              <w:rPr>
                <w:rFonts w:ascii="Times New Roman" w:hAnsi="Times New Roman"/>
                <w:sz w:val="20"/>
              </w:rPr>
              <w:t xml:space="preserve">: We adhere to international human rights and labor standards as agreed to by the United Nations and the International Labor Organization. We prohibit all forms of discrimination based on gender, race, nationality, religion and age to ensure that all employees work in a safe and fair environment. These values are embedded in our policies, including our Labor &amp; Ethical Management Policy, Equal Employment Policy and Code of Business Conduct and Ethics.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Supply chain management</w:t>
            </w:r>
            <w:r>
              <w:rPr>
                <w:rFonts w:ascii="Times New Roman" w:hAnsi="Times New Roman"/>
                <w:sz w:val="20"/>
              </w:rPr>
              <w:t xml:space="preserve">: We prioritize responsible sourcing and supply chain management. Through our Supplier Approval Assessment and Supplier Evaluation procedures, we ensure our suppliers adhere to the same ethical, social and environmental principles under which we operate. We share our Environment, Safety and Health Policy with our suppliers and request that they implement 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Conflict minerals</w:t>
            </w:r>
            <w:r>
              <w:rPr>
                <w:rFonts w:ascii="Times New Roman" w:hAnsi="Times New Roman"/>
                <w:sz w:val="20"/>
              </w:rPr>
              <w:t xml:space="preserve">: We support and comply with Section 1502 of the U.S. Dodd-Frank Wall Street Reform and Consumer Protection Act. For more information on our conflict minerals, please refer to our Conflict Minerals Reports on our website.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Cybersecurity and data privacy</w:t>
            </w:r>
            <w:r>
              <w:rPr>
                <w:rFonts w:ascii="Times New Roman" w:hAnsi="Times New Roman"/>
                <w:sz w:val="20"/>
              </w:rPr>
              <w:t xml:space="preserve">: Cybersecurity risks and data protection are integrated into our overall risk management systems. We maintain processes for assessing, identifying and managing material risks from cybersecurity threats, and we routinely invest in developing and implementing numerous cybersecurity programs and processes. Management is responsible for the day-to-day management of cybersecurity risks while the Company’s Board of Directors and its Risk Committee actively and continuously provide oversight. Our information security management system is ISO 27001 certified.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Whistleblower policy and reporting: </w:t>
            </w:r>
            <w:r>
              <w:rPr>
                <w:rFonts w:ascii="Times New Roman" w:hAnsi="Times New Roman"/>
                <w:sz w:val="20"/>
              </w:rPr>
              <w:t xml:space="preserve">We take whistleblowing seriously and have created robust structures to encourage the reporting of malpractice and protect individuals who may come forward. Our reporting system allows anonymous reporting and is accessible to our partners, suppliers and customers. We also adhere to our non-retaliation policy contained in our Code of Business Conduct and Ethics to encourage and protect “good faith” reporters. </w:t>
            </w:r>
          </w:p>
        </w:tc>
      </w:tr>
    </w:tbl>
    <w:p>
      <w:pPr>
        <w:pStyle w:val="TextBody"/>
        <w:bidi w:val="0"/>
        <w:spacing w:before="360" w:after="0"/>
        <w:jc w:val="left"/>
        <w:rPr>
          <w:rFonts w:ascii="Times New Roman" w:hAnsi="Times New Roman"/>
          <w:b/>
          <w:sz w:val="20"/>
        </w:rPr>
      </w:pPr>
      <w:bookmarkStart w:id="17" w:name="toc784802_15"/>
      <w:bookmarkEnd w:id="17"/>
      <w:r>
        <w:rPr>
          <w:rFonts w:ascii="Times New Roman" w:hAnsi="Times New Roman"/>
          <w:b/>
          <w:sz w:val="20"/>
        </w:rPr>
        <w:t xml:space="preserve">Human 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maintains policies relating to upholding ethical practices and a strong sense of integrity. Across all our activities, we aim to achieve a dynamic and inclusive workplace that supports creativity, diversity and open communication, where all our employees feel safe, valued and respected. More information on these policies can be found in the “About Us” section of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our total global workforce (full- and part-time) numbered 891, with 857 of these individuals based in Korea, in the roles represented in the following table. In 2023, our employee turnover rate was 14.2%.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3680"/>
        <w:gridCol w:w="120"/>
        <w:gridCol w:w="1865"/>
      </w:tblGrid>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Role type</w:t>
            </w:r>
          </w:p>
        </w:tc>
        <w:tc>
          <w:tcPr>
            <w:tcW w:w="12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center"/>
              <w:rPr>
                <w:b/>
              </w:rPr>
            </w:pPr>
            <w:r>
              <w:rPr>
                <w:b/>
              </w:rPr>
              <w:t>Number of people</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marketing, general, and administration</w:t>
            </w:r>
          </w:p>
        </w:tc>
        <w:tc>
          <w:tcPr>
            <w:tcW w:w="12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pPr>
            <w:r>
              <w:rPr/>
              <w:t>201</w:t>
            </w:r>
          </w:p>
        </w:tc>
      </w:tr>
      <w:tr>
        <w:trPr/>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228</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o   With advanced degrees</w:t>
            </w:r>
          </w:p>
        </w:tc>
        <w:tc>
          <w:tcPr>
            <w:tcW w:w="12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pPr>
            <w:r>
              <w:rPr/>
              <w:t>78</w:t>
            </w:r>
          </w:p>
        </w:tc>
      </w:tr>
      <w:tr>
        <w:trPr/>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Quality, reliability, and assurance</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40</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w:t>
            </w:r>
          </w:p>
        </w:tc>
        <w:tc>
          <w:tcPr>
            <w:tcW w:w="12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pPr>
            <w:r>
              <w:rPr/>
              <w:t>422</w:t>
            </w:r>
          </w:p>
        </w:tc>
      </w:tr>
      <w:tr>
        <w:trPr/>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o   Engineering</w:t>
            </w:r>
          </w:p>
        </w:tc>
        <w:tc>
          <w:tcPr>
            <w:tcW w:w="12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40</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o   Operations, maintenance and others</w:t>
            </w:r>
          </w:p>
        </w:tc>
        <w:tc>
          <w:tcPr>
            <w:tcW w:w="12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pPr>
            <w:r>
              <w:rPr/>
              <w:t>382</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Diversity, Equity &amp; Inclusion </w:t>
      </w:r>
    </w:p>
    <w:p>
      <w:pPr>
        <w:pStyle w:val="TextBody"/>
        <w:bidi w:val="0"/>
        <w:spacing w:before="120" w:after="0"/>
        <w:jc w:val="left"/>
        <w:rPr>
          <w:rFonts w:ascii="Times New Roman" w:hAnsi="Times New Roman"/>
          <w:sz w:val="20"/>
        </w:rPr>
      </w:pPr>
      <w:r>
        <w:rPr>
          <w:rFonts w:ascii="Times New Roman" w:hAnsi="Times New Roman"/>
          <w:sz w:val="20"/>
        </w:rPr>
        <w:t xml:space="preserve">As a semiconductor company based in the Republic of Korea, a country with a highly homogeneous population where the vast majority is ethnically Korean, our workforce reflects the demographic composition of the wider population. </w:t>
      </w:r>
    </w:p>
    <w:p>
      <w:pPr>
        <w:pStyle w:val="TextBody"/>
        <w:bidi w:val="0"/>
        <w:spacing w:before="240" w:after="0"/>
        <w:jc w:val="left"/>
        <w:rPr>
          <w:rFonts w:ascii="Times New Roman" w:hAnsi="Times New Roman"/>
          <w:sz w:val="20"/>
        </w:rPr>
      </w:pPr>
      <w:r>
        <w:rPr>
          <w:rFonts w:ascii="Times New Roman" w:hAnsi="Times New Roman"/>
          <w:sz w:val="20"/>
        </w:rPr>
        <w:t xml:space="preserve">We have established a management and oversight structure to ensure compliance with anti-harassment and non-discrimination legislation. This involves the Board of Directors, senior management, and legal, compliance and HR teams working together to maintain a respectful and inclusive workplace. We operate a number of initiatives to encourage diversity and inclusion in our workplace, in accordance with our Employment Rules, Labor and Ethical Management Policy, and Code of Business Conduct and Ethics. Our gender distribution as of December 31, 2023, is represented in the following table. </w:t>
      </w:r>
    </w:p>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1325"/>
        <w:gridCol w:w="120"/>
        <w:gridCol w:w="317"/>
        <w:gridCol w:w="2328"/>
        <w:gridCol w:w="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Area</w:t>
            </w:r>
          </w:p>
        </w:tc>
        <w:tc>
          <w:tcPr>
            <w:tcW w:w="120" w:type="dxa"/>
            <w:tcBorders/>
            <w:vAlign w:val="center"/>
          </w:tcPr>
          <w:p>
            <w:pPr>
              <w:pStyle w:val="TableContents"/>
              <w:bidi w:val="0"/>
              <w:spacing w:before="0" w:after="283"/>
              <w:jc w:val="left"/>
              <w:rPr/>
            </w:pPr>
            <w:r>
              <w:rPr/>
              <w:t>  </w:t>
            </w:r>
          </w:p>
        </w:tc>
        <w:tc>
          <w:tcPr>
            <w:tcW w:w="26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Proportion of women (%)</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workforce</w:t>
            </w:r>
          </w:p>
        </w:tc>
        <w:tc>
          <w:tcPr>
            <w:tcW w:w="12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2328" w:type="dxa"/>
            <w:tcBorders/>
            <w:shd w:fill="CCEEFF" w:val="clear"/>
            <w:vAlign w:val="center"/>
          </w:tcPr>
          <w:p>
            <w:pPr>
              <w:pStyle w:val="TableContents"/>
              <w:bidi w:val="0"/>
              <w:spacing w:before="0" w:after="283"/>
              <w:jc w:val="center"/>
              <w:rPr/>
            </w:pPr>
            <w:r>
              <w:rPr/>
              <w:t>32.8</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roles</w:t>
            </w:r>
          </w:p>
        </w:tc>
        <w:tc>
          <w:tcPr>
            <w:tcW w:w="12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2328" w:type="dxa"/>
            <w:tcBorders/>
            <w:vAlign w:val="center"/>
          </w:tcPr>
          <w:p>
            <w:pPr>
              <w:pStyle w:val="TableContents"/>
              <w:bidi w:val="0"/>
              <w:spacing w:before="0" w:after="283"/>
              <w:jc w:val="center"/>
              <w:rPr/>
            </w:pPr>
            <w:r>
              <w:rPr/>
              <w:t>25.0</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Technical roles</w:t>
            </w:r>
          </w:p>
        </w:tc>
        <w:tc>
          <w:tcPr>
            <w:tcW w:w="12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2328" w:type="dxa"/>
            <w:tcBorders/>
            <w:shd w:fill="CCEEFF" w:val="clear"/>
            <w:vAlign w:val="center"/>
          </w:tcPr>
          <w:p>
            <w:pPr>
              <w:pStyle w:val="TableContents"/>
              <w:bidi w:val="0"/>
              <w:spacing w:before="0" w:after="283"/>
              <w:jc w:val="right"/>
              <w:rPr/>
            </w:pPr>
            <w:r>
              <w:rPr/>
              <w:t>14.5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Competitive Compensation and Pay Equity </w:t>
      </w:r>
    </w:p>
    <w:p>
      <w:pPr>
        <w:pStyle w:val="TextBody"/>
        <w:bidi w:val="0"/>
        <w:spacing w:before="120" w:after="0"/>
        <w:jc w:val="left"/>
        <w:rPr>
          <w:rFonts w:ascii="Times New Roman" w:hAnsi="Times New Roman"/>
          <w:sz w:val="20"/>
        </w:rPr>
      </w:pPr>
      <w:r>
        <w:rPr>
          <w:rFonts w:ascii="Times New Roman" w:hAnsi="Times New Roman"/>
          <w:sz w:val="20"/>
        </w:rPr>
        <w:t xml:space="preserve">Our HR team remains current on employee benefits detailed in the following table and conducts regular reviews of compensation levels and distribution methods to ensure fairness and equity.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97"/>
        <w:gridCol w:w="120"/>
        <w:gridCol w:w="2988"/>
      </w:tblGrid>
      <w:tr>
        <w:trPr/>
        <w:tc>
          <w:tcPr>
            <w:tcW w:w="70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r>
      <w:tr>
        <w:trPr/>
        <w:tc>
          <w:tcPr>
            <w:tcW w:w="709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Financial benefits</w:t>
            </w:r>
          </w:p>
        </w:tc>
        <w:tc>
          <w:tcPr>
            <w:tcW w:w="120" w:type="dxa"/>
            <w:tcBorders/>
            <w:vAlign w:val="center"/>
          </w:tcPr>
          <w:p>
            <w:pPr>
              <w:pStyle w:val="TableContents"/>
              <w:bidi w:val="0"/>
              <w:spacing w:before="0" w:after="283"/>
              <w:jc w:val="left"/>
              <w:rPr/>
            </w:pPr>
            <w:r>
              <w:rPr/>
              <w:t>  </w:t>
            </w:r>
          </w:p>
        </w:tc>
        <w:tc>
          <w:tcPr>
            <w:tcW w:w="298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Non-financial benefits</w:t>
            </w:r>
          </w:p>
        </w:tc>
      </w:tr>
      <w:tr>
        <w:trPr/>
        <w:tc>
          <w:tcPr>
            <w:tcW w:w="7097" w:type="dxa"/>
            <w:tcBorders/>
            <w:vAlign w:val="center"/>
          </w:tcPr>
          <w:p>
            <w:pPr>
              <w:pStyle w:val="TableContents"/>
              <w:bidi w:val="0"/>
              <w:spacing w:before="0" w:after="0"/>
              <w:jc w:val="left"/>
              <w:rPr/>
            </w:pPr>
            <w:r>
              <w:rPr/>
              <w:t>•   </w:t>
            </w:r>
            <w:r>
              <w:rPr>
                <w:rFonts w:ascii="Times New Roman" w:hAnsi="Times New Roman"/>
                <w:sz w:val="20"/>
              </w:rPr>
              <w:t>Cash and equity-based compensation programs for certain employees to incentivize achievement</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Industry-benchmarked salaries and remuneration packages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Regularly reviewed compensation levels to ensure fairness</w:t>
            </w:r>
          </w:p>
        </w:tc>
        <w:tc>
          <w:tcPr>
            <w:tcW w:w="120" w:type="dxa"/>
            <w:tcBorders/>
            <w:vAlign w:val="center"/>
          </w:tcPr>
          <w:p>
            <w:pPr>
              <w:pStyle w:val="TableContents"/>
              <w:bidi w:val="0"/>
              <w:spacing w:before="0" w:after="283"/>
              <w:jc w:val="left"/>
              <w:rPr/>
            </w:pPr>
            <w:r>
              <w:rPr/>
              <w:t>  </w:t>
            </w:r>
          </w:p>
        </w:tc>
        <w:tc>
          <w:tcPr>
            <w:tcW w:w="2988" w:type="dxa"/>
            <w:tcBorders/>
            <w:vAlign w:val="center"/>
          </w:tcPr>
          <w:p>
            <w:pPr>
              <w:pStyle w:val="TableContents"/>
              <w:bidi w:val="0"/>
              <w:spacing w:before="0" w:after="0"/>
              <w:jc w:val="left"/>
              <w:rPr/>
            </w:pPr>
            <w:r>
              <w:rPr/>
              <w:t>•   </w:t>
            </w:r>
            <w:r>
              <w:rPr>
                <w:rFonts w:ascii="Times New Roman" w:hAnsi="Times New Roman"/>
                <w:sz w:val="20"/>
              </w:rPr>
              <w:t>Health and wellness programs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Access to annual health examination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Health examinations for spouses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Medical reimbursement plans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Personal pensions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Housing assistance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Educational assistance programs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Workplace environment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o   Comfortable employee lounge areas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Recruitment and Talent Pipeline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structured approach to identifying, training, mentoring and developing talent within Magnachip, aiming to secure a steady supply of skilled and competent employees. To ensure that we attract the best talent, we regularly review and update our recruitment processes, incorporating feedback from both candidates and hiring managers. </w:t>
      </w:r>
    </w:p>
    <w:p>
      <w:pPr>
        <w:pStyle w:val="TextBody"/>
        <w:bidi w:val="0"/>
        <w:spacing w:before="240" w:after="0"/>
        <w:jc w:val="left"/>
        <w:rPr>
          <w:rFonts w:ascii="Times New Roman" w:hAnsi="Times New Roman"/>
          <w:sz w:val="20"/>
        </w:rPr>
      </w:pPr>
      <w:r>
        <w:rPr>
          <w:rFonts w:ascii="Times New Roman" w:hAnsi="Times New Roman"/>
          <w:sz w:val="20"/>
        </w:rPr>
        <w:t xml:space="preserve">Since 2018, we have operated a scholarship program designed for recent university graduates in partnership with a local university, aiming to develop and recruit local talent for the semiconductor industry. Every year, several students are selected to receive scholarships, which include a monthly tuition subsidy during the school year and a job offer upon graduation. In 2023, more than 50% of our new hires were recent graduates or graduating seniors from universities near our operational sites. Offering work-related training and employment opportunities for local students not only grants us access to top emerging talent but also enhances our reputation within the community and strengthens our community connections.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Training Programs and Continuing Education </w:t>
      </w:r>
    </w:p>
    <w:p>
      <w:pPr>
        <w:pStyle w:val="TextBody"/>
        <w:bidi w:val="0"/>
        <w:spacing w:before="120" w:after="0"/>
        <w:jc w:val="left"/>
        <w:rPr>
          <w:rFonts w:ascii="Times New Roman" w:hAnsi="Times New Roman"/>
          <w:sz w:val="20"/>
        </w:rPr>
      </w:pPr>
      <w:r>
        <w:rPr>
          <w:rFonts w:ascii="Times New Roman" w:hAnsi="Times New Roman"/>
          <w:sz w:val="20"/>
        </w:rPr>
        <w:t xml:space="preserve">We provide a wide range of training initiatives covering fundamental skills as well as more advanced competencies. We have a comprehensive training system tailored for new employees, engineers and other functions, as well as leaders, to ensure a seamless onboarding and ongoing development process. We also allocate funds for employees seeking to enhance their skills through workshops, conferences and industry-specific courses to encourage a culture of continuous learning and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Evaluation and Career Development </w:t>
      </w:r>
    </w:p>
    <w:p>
      <w:pPr>
        <w:pStyle w:val="TextBody"/>
        <w:bidi w:val="0"/>
        <w:spacing w:before="120" w:after="0"/>
        <w:jc w:val="left"/>
        <w:rPr>
          <w:rFonts w:ascii="Times New Roman" w:hAnsi="Times New Roman"/>
          <w:sz w:val="20"/>
        </w:rPr>
      </w:pPr>
      <w:r>
        <w:rPr>
          <w:rFonts w:ascii="Times New Roman" w:hAnsi="Times New Roman"/>
          <w:sz w:val="20"/>
        </w:rPr>
        <w:t xml:space="preserve">We foster a culture of personal and professional growth by aligning individual goals with organizational objectives, helping employees identify and expand upon their strengths, and identifying areas for improvement. We evaluate all of our full-time employees and executives through an annual performance review process, using the management by objectives (MBO) method, which involves setting goals collaboratively, continuous monitoring and regular feedback. This approach allows us to establish clear career paths for our employees and uncover talent and potential for internal promotion.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Engagement and Satisfaction </w:t>
      </w:r>
    </w:p>
    <w:p>
      <w:pPr>
        <w:pStyle w:val="TextBody"/>
        <w:bidi w:val="0"/>
        <w:spacing w:before="120" w:after="0"/>
        <w:jc w:val="left"/>
        <w:rPr>
          <w:rFonts w:ascii="Times New Roman" w:hAnsi="Times New Roman"/>
          <w:sz w:val="20"/>
        </w:rPr>
      </w:pPr>
      <w:r>
        <w:rPr>
          <w:rFonts w:ascii="Times New Roman" w:hAnsi="Times New Roman"/>
          <w:sz w:val="20"/>
        </w:rPr>
        <w:t xml:space="preserve">Every two years, we conduct a satisfaction survey to gain insight into how employees feel about their jobs, working environment and the Company as a whole. The results are communicated to our management team and employees, and we develop action plans to address any areas identified as needing improvement. We also track both the cadence of these assessments and the associated response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 and Safety of our Employees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2021, the Korean legislature enacted the Serious Accident Punishment Act (“SAPA”), which imposes criminal liability on individuals and entities responsible for serious accidents, including industrial accidents that cause death, serious injury or occupational illness. We appointed Mr. Seunghoon Lee, our Chief of Manufacturing to serve as the Chief Safety Officer (“CSO”) of our Korean operating subsidiary. Mr. Lee has more than 35 years of manufacturing and industrial experience at Magnachip in the area of environment, health and safety. On appointment, Mr. Lee formed a dedicated team to evaluate, improve and monitor the policies, practices, standards and systems relating to environment, health and safety. </w:t>
      </w:r>
    </w:p>
    <w:p>
      <w:pPr>
        <w:pStyle w:val="TextBody"/>
        <w:bidi w:val="0"/>
        <w:spacing w:before="240" w:after="0"/>
        <w:jc w:val="left"/>
        <w:rPr>
          <w:rFonts w:ascii="Times New Roman" w:hAnsi="Times New Roman"/>
          <w:sz w:val="20"/>
        </w:rPr>
      </w:pPr>
      <w:r>
        <w:rPr>
          <w:rFonts w:ascii="Times New Roman" w:hAnsi="Times New Roman"/>
          <w:sz w:val="20"/>
        </w:rPr>
        <w:t xml:space="preserve">We aspire to become a “zero-accident, zero-disease” workplace. Under this plan, we set specific goals, analyze our progress towards these goals on a quarterly basis, and conduct a biannual workplace environment measurement to assess, monitor, and reduce the exposure of our employees to human health hazards. We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employees with 12 training courses related to environmental health and safety every year, conducted both in-house and through external providers.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no record of monetary losses as a result of legal proceedings associated with employee health and safety violations. </w:t>
      </w:r>
    </w:p>
    <w:p>
      <w:pPr>
        <w:pStyle w:val="TextBody"/>
        <w:bidi w:val="0"/>
        <w:spacing w:before="360" w:after="0"/>
        <w:jc w:val="left"/>
        <w:rPr>
          <w:rFonts w:ascii="Times New Roman" w:hAnsi="Times New Roman"/>
          <w:b/>
          <w:sz w:val="20"/>
        </w:rPr>
      </w:pPr>
      <w:bookmarkStart w:id="18" w:name="toc784802_16"/>
      <w:bookmarkEnd w:id="18"/>
      <w:r>
        <w:rPr>
          <w:rFonts w:ascii="Times New Roman" w:hAnsi="Times New Roman"/>
          <w:b/>
          <w:sz w:val="20"/>
        </w:rPr>
        <w:t xml:space="preserve">2023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Each of our non-employee directors was eligible to earn a quarterly cash retainer, additional fees based on committee service and equity awards in 2023 pursuant to our Non-Employee Director Compensation Policy, which is described in further detail below. All such cash fees are paid quarterly in advance. A non-employee director who joins the Board after the beginning of a quarter receives a prorated cash retainer reflecting the actual period the non-employee director provided services on the Board and the applicable committee for such quarter and a non-employee director who joins the Board after the beginning of the Company’s annual director service period receives a pro-rated equity award reflecting the period the non-employee director provided services on the Board and the applicable committee during such annual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depicts the Non-Employee Director Compensation Policy: </w:t>
      </w:r>
    </w:p>
    <w:p>
      <w:pPr>
        <w:pStyle w:val="TextBody"/>
        <w:bidi w:val="0"/>
        <w:spacing w:before="0" w:after="0"/>
        <w:jc w:val="left"/>
        <w:rPr/>
      </w:pPr>
      <w:r>
        <w:rPr/>
        <w:t> </w:t>
      </w:r>
    </w:p>
    <w:tbl>
      <w:tblPr>
        <w:tblW w:w="6413" w:type="dxa"/>
        <w:jc w:val="left"/>
        <w:tblInd w:w="0" w:type="dxa"/>
        <w:tblLayout w:type="fixed"/>
        <w:tblCellMar>
          <w:top w:w="0" w:type="dxa"/>
          <w:left w:w="0" w:type="dxa"/>
          <w:bottom w:w="0" w:type="dxa"/>
          <w:right w:w="0" w:type="dxa"/>
        </w:tblCellMar>
      </w:tblPr>
      <w:tblGrid>
        <w:gridCol w:w="4634"/>
        <w:gridCol w:w="160"/>
        <w:gridCol w:w="186"/>
        <w:gridCol w:w="1068"/>
        <w:gridCol w:w="365"/>
      </w:tblGrid>
      <w:tr>
        <w:trPr/>
        <w:tc>
          <w:tcPr>
            <w:tcW w:w="46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6048" w:type="dxa"/>
            <w:gridSpan w:val="4"/>
            <w:tcBorders>
              <w:bottom w:val="single" w:sz="6" w:space="0" w:color="000000"/>
            </w:tcBorders>
            <w:tcMar>
              <w:bottom w:w="28" w:type="dxa"/>
            </w:tcMar>
            <w:vAlign w:val="center"/>
          </w:tcPr>
          <w:p>
            <w:pPr>
              <w:pStyle w:val="TableContents"/>
              <w:bidi w:val="0"/>
              <w:spacing w:before="0" w:after="283"/>
              <w:jc w:val="center"/>
              <w:rPr>
                <w:b/>
                <w:sz w:val="20"/>
              </w:rPr>
            </w:pPr>
            <w:r>
              <w:rPr>
                <w:b/>
                <w:sz w:val="20"/>
              </w:rPr>
              <w:t>Compensation Elements: Non-Employee Director Compensation Policy</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63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6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Quarterly Cash Retainer</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18,750</w:t>
            </w:r>
          </w:p>
        </w:tc>
        <w:tc>
          <w:tcPr>
            <w:tcW w:w="365" w:type="dxa"/>
            <w:tcBorders/>
            <w:vAlign w:val="center"/>
          </w:tcPr>
          <w:p>
            <w:pPr>
              <w:pStyle w:val="TableContents"/>
              <w:bidi w:val="0"/>
              <w:spacing w:before="0" w:after="283"/>
              <w:jc w:val="left"/>
              <w:rPr/>
            </w:pPr>
            <w:r>
              <w:rPr/>
              <w:t> </w:t>
            </w:r>
          </w:p>
        </w:tc>
      </w:tr>
      <w:tr>
        <w:trPr/>
        <w:tc>
          <w:tcPr>
            <w:tcW w:w="4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Quarterly Lead Director Cash Retainer*</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11,250</w:t>
            </w:r>
          </w:p>
        </w:tc>
        <w:tc>
          <w:tcPr>
            <w:tcW w:w="365" w:type="dxa"/>
            <w:tcBorders/>
            <w:shd w:fill="CCEEFF" w:val="clear"/>
            <w:vAlign w:val="center"/>
          </w:tcPr>
          <w:p>
            <w:pPr>
              <w:pStyle w:val="TableContents"/>
              <w:bidi w:val="0"/>
              <w:spacing w:before="0" w:after="283"/>
              <w:jc w:val="left"/>
              <w:rPr/>
            </w:pPr>
            <w:r>
              <w:rPr/>
              <w:t> </w:t>
            </w:r>
          </w:p>
        </w:tc>
      </w:tr>
      <w:tr>
        <w:trPr/>
        <w:tc>
          <w:tcPr>
            <w:tcW w:w="463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Quarterly Committee Chair Retainers</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18,750</w:t>
            </w:r>
          </w:p>
        </w:tc>
        <w:tc>
          <w:tcPr>
            <w:tcW w:w="365" w:type="dxa"/>
            <w:tcBorders/>
            <w:shd w:fill="CCEEFF" w:val="clear"/>
            <w:vAlign w:val="center"/>
          </w:tcPr>
          <w:p>
            <w:pPr>
              <w:pStyle w:val="TableContents"/>
              <w:bidi w:val="0"/>
              <w:spacing w:before="0" w:after="283"/>
              <w:jc w:val="left"/>
              <w:rPr/>
            </w:pPr>
            <w:r>
              <w:rPr/>
              <w:t> </w:t>
            </w:r>
          </w:p>
        </w:tc>
      </w:tr>
      <w:tr>
        <w:trPr/>
        <w:tc>
          <w:tcPr>
            <w:tcW w:w="46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6,250</w:t>
            </w:r>
          </w:p>
        </w:tc>
        <w:tc>
          <w:tcPr>
            <w:tcW w:w="365" w:type="dxa"/>
            <w:tcBorders/>
            <w:vAlign w:val="center"/>
          </w:tcPr>
          <w:p>
            <w:pPr>
              <w:pStyle w:val="TableContents"/>
              <w:bidi w:val="0"/>
              <w:spacing w:before="0" w:after="283"/>
              <w:jc w:val="left"/>
              <w:rPr/>
            </w:pPr>
            <w:r>
              <w:rPr/>
              <w:t> </w:t>
            </w:r>
          </w:p>
        </w:tc>
      </w:tr>
      <w:tr>
        <w:trPr/>
        <w:tc>
          <w:tcPr>
            <w:tcW w:w="4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3,750</w:t>
            </w:r>
          </w:p>
        </w:tc>
        <w:tc>
          <w:tcPr>
            <w:tcW w:w="365" w:type="dxa"/>
            <w:tcBorders/>
            <w:shd w:fill="CCEEFF" w:val="clear"/>
            <w:vAlign w:val="center"/>
          </w:tcPr>
          <w:p>
            <w:pPr>
              <w:pStyle w:val="TableContents"/>
              <w:bidi w:val="0"/>
              <w:spacing w:before="0" w:after="283"/>
              <w:jc w:val="left"/>
              <w:rPr/>
            </w:pPr>
            <w:r>
              <w:rPr/>
              <w:t> </w:t>
            </w:r>
          </w:p>
        </w:tc>
      </w:tr>
      <w:tr>
        <w:trPr/>
        <w:tc>
          <w:tcPr>
            <w:tcW w:w="46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2,500</w:t>
            </w:r>
          </w:p>
        </w:tc>
        <w:tc>
          <w:tcPr>
            <w:tcW w:w="365" w:type="dxa"/>
            <w:tcBorders/>
            <w:vAlign w:val="center"/>
          </w:tcPr>
          <w:p>
            <w:pPr>
              <w:pStyle w:val="TableContents"/>
              <w:bidi w:val="0"/>
              <w:spacing w:before="0" w:after="283"/>
              <w:jc w:val="left"/>
              <w:rPr/>
            </w:pPr>
            <w:r>
              <w:rPr/>
              <w:t> </w:t>
            </w:r>
          </w:p>
        </w:tc>
      </w:tr>
      <w:tr>
        <w:trPr/>
        <w:tc>
          <w:tcPr>
            <w:tcW w:w="4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2,500</w:t>
            </w:r>
          </w:p>
        </w:tc>
        <w:tc>
          <w:tcPr>
            <w:tcW w:w="365" w:type="dxa"/>
            <w:tcBorders/>
            <w:shd w:fill="CCEEFF" w:val="clear"/>
            <w:vAlign w:val="center"/>
          </w:tcPr>
          <w:p>
            <w:pPr>
              <w:pStyle w:val="TableContents"/>
              <w:bidi w:val="0"/>
              <w:spacing w:before="0" w:after="283"/>
              <w:jc w:val="left"/>
              <w:rPr/>
            </w:pPr>
            <w:r>
              <w:rPr/>
              <w:t> </w:t>
            </w:r>
          </w:p>
        </w:tc>
      </w:tr>
      <w:tr>
        <w:trPr/>
        <w:tc>
          <w:tcPr>
            <w:tcW w:w="463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Committee Member Retainers</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3,750</w:t>
            </w:r>
          </w:p>
        </w:tc>
        <w:tc>
          <w:tcPr>
            <w:tcW w:w="365" w:type="dxa"/>
            <w:tcBorders/>
            <w:shd w:fill="CCEEFF" w:val="clear"/>
            <w:vAlign w:val="center"/>
          </w:tcPr>
          <w:p>
            <w:pPr>
              <w:pStyle w:val="TableContents"/>
              <w:bidi w:val="0"/>
              <w:spacing w:before="0" w:after="283"/>
              <w:jc w:val="left"/>
              <w:rPr/>
            </w:pPr>
            <w:r>
              <w:rPr/>
              <w:t> </w:t>
            </w:r>
          </w:p>
        </w:tc>
      </w:tr>
      <w:tr>
        <w:trPr/>
        <w:tc>
          <w:tcPr>
            <w:tcW w:w="46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2,500</w:t>
            </w:r>
          </w:p>
        </w:tc>
        <w:tc>
          <w:tcPr>
            <w:tcW w:w="365" w:type="dxa"/>
            <w:tcBorders/>
            <w:vAlign w:val="center"/>
          </w:tcPr>
          <w:p>
            <w:pPr>
              <w:pStyle w:val="TableContents"/>
              <w:bidi w:val="0"/>
              <w:spacing w:before="0" w:after="283"/>
              <w:jc w:val="left"/>
              <w:rPr/>
            </w:pPr>
            <w:r>
              <w:rPr/>
              <w:t> </w:t>
            </w:r>
          </w:p>
        </w:tc>
      </w:tr>
      <w:tr>
        <w:trPr/>
        <w:tc>
          <w:tcPr>
            <w:tcW w:w="4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1,250</w:t>
            </w:r>
          </w:p>
        </w:tc>
        <w:tc>
          <w:tcPr>
            <w:tcW w:w="365" w:type="dxa"/>
            <w:tcBorders/>
            <w:shd w:fill="CCEEFF" w:val="clear"/>
            <w:vAlign w:val="center"/>
          </w:tcPr>
          <w:p>
            <w:pPr>
              <w:pStyle w:val="TableContents"/>
              <w:bidi w:val="0"/>
              <w:spacing w:before="0" w:after="283"/>
              <w:jc w:val="left"/>
              <w:rPr/>
            </w:pPr>
            <w:r>
              <w:rPr/>
              <w:t> </w:t>
            </w:r>
          </w:p>
        </w:tc>
      </w:tr>
      <w:tr>
        <w:trPr/>
        <w:tc>
          <w:tcPr>
            <w:tcW w:w="46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1,250</w:t>
            </w:r>
          </w:p>
        </w:tc>
        <w:tc>
          <w:tcPr>
            <w:tcW w:w="365" w:type="dxa"/>
            <w:tcBorders/>
            <w:vAlign w:val="center"/>
          </w:tcPr>
          <w:p>
            <w:pPr>
              <w:pStyle w:val="TableContents"/>
              <w:bidi w:val="0"/>
              <w:spacing w:before="0" w:after="283"/>
              <w:jc w:val="left"/>
              <w:rPr/>
            </w:pPr>
            <w:r>
              <w:rPr/>
              <w:t> </w:t>
            </w:r>
          </w:p>
        </w:tc>
      </w:tr>
      <w:tr>
        <w:trPr/>
        <w:tc>
          <w:tcPr>
            <w:tcW w:w="463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46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Equity Grant</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165,000</w:t>
            </w:r>
          </w:p>
        </w:tc>
        <w:tc>
          <w:tcPr>
            <w:tcW w:w="365" w:type="dxa"/>
            <w:tcBorders/>
            <w:vAlign w:val="center"/>
          </w:tcPr>
          <w:p>
            <w:pPr>
              <w:pStyle w:val="TableContents"/>
              <w:bidi w:val="0"/>
              <w:spacing w:before="0" w:after="283"/>
              <w:jc w:val="left"/>
              <w:rPr/>
            </w:pPr>
            <w:r>
              <w:rPr/>
              <w:t>(1) </w:t>
            </w:r>
          </w:p>
        </w:tc>
      </w:tr>
      <w:tr>
        <w:trPr/>
        <w:tc>
          <w:tcPr>
            <w:tcW w:w="4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Annual Equity Grant</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165,000</w:t>
            </w:r>
          </w:p>
        </w:tc>
        <w:tc>
          <w:tcPr>
            <w:tcW w:w="365" w:type="dxa"/>
            <w:tcBorders/>
            <w:shd w:fill="CCEEFF" w:val="clear"/>
            <w:vAlign w:val="center"/>
          </w:tcPr>
          <w:p>
            <w:pPr>
              <w:pStyle w:val="TableContents"/>
              <w:bidi w:val="0"/>
              <w:spacing w:before="0" w:after="283"/>
              <w:jc w:val="left"/>
              <w:rPr/>
            </w:pPr>
            <w:r>
              <w:rPr/>
              <w:t>(2) </w:t>
            </w:r>
          </w:p>
        </w:tc>
      </w:tr>
      <w:tr>
        <w:trPr/>
        <w:tc>
          <w:tcPr>
            <w:tcW w:w="46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Committee Chair Grant (per committee)</w:t>
            </w:r>
          </w:p>
        </w:tc>
        <w:tc>
          <w:tcPr>
            <w:tcW w:w="1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20,000</w:t>
            </w:r>
          </w:p>
        </w:tc>
        <w:tc>
          <w:tcPr>
            <w:tcW w:w="365" w:type="dxa"/>
            <w:tcBorders/>
            <w:vAlign w:val="center"/>
          </w:tcPr>
          <w:p>
            <w:pPr>
              <w:pStyle w:val="TableContents"/>
              <w:bidi w:val="0"/>
              <w:spacing w:before="0" w:after="283"/>
              <w:jc w:val="left"/>
              <w:rPr/>
            </w:pPr>
            <w:r>
              <w:rPr/>
              <w:t>(2) </w:t>
            </w:r>
          </w:p>
        </w:tc>
      </w:tr>
      <w:tr>
        <w:trPr/>
        <w:tc>
          <w:tcPr>
            <w:tcW w:w="46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Committee Member Grant (per committee)</w:t>
            </w:r>
          </w:p>
        </w:tc>
        <w:tc>
          <w:tcPr>
            <w:tcW w:w="1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10,000</w:t>
            </w:r>
          </w:p>
        </w:tc>
        <w:tc>
          <w:tcPr>
            <w:tcW w:w="365" w:type="dxa"/>
            <w:tcBorders/>
            <w:shd w:fill="CCEEFF" w:val="clear"/>
            <w:vAlign w:val="center"/>
          </w:tcPr>
          <w:p>
            <w:pPr>
              <w:pStyle w:val="TableContents"/>
              <w:bidi w:val="0"/>
              <w:spacing w:before="0" w:after="283"/>
              <w:jc w:val="left"/>
              <w:rPr/>
            </w:pPr>
            <w:r>
              <w:rPr/>
              <w:t>(2) </w:t>
            </w:r>
          </w:p>
        </w:tc>
      </w:tr>
    </w:tbl>
    <w:p>
      <w:pPr>
        <w:pStyle w:val="TextBody"/>
        <w:pBdr>
          <w:bottom w:val="single" w:sz="2" w:space="1" w:color="000000"/>
        </w:pBdr>
        <w:bidi w:val="0"/>
        <w:spacing w:lineRule="atLeast" w:line="160" w:before="0" w:after="40"/>
        <w:jc w:val="left"/>
        <w:rPr/>
      </w:pPr>
      <w:r>
        <w:rPr/>
        <w:t> </w:t>
      </w:r>
    </w:p>
    <w:tbl>
      <w:tblPr>
        <w:tblW w:w="3625" w:type="dxa"/>
        <w:jc w:val="left"/>
        <w:tblInd w:w="0" w:type="dxa"/>
        <w:tblLayout w:type="fixed"/>
        <w:tblCellMar>
          <w:top w:w="0" w:type="dxa"/>
          <w:left w:w="0" w:type="dxa"/>
          <w:bottom w:w="0" w:type="dxa"/>
          <w:right w:w="0" w:type="dxa"/>
        </w:tblCellMar>
      </w:tblPr>
      <w:tblGrid>
        <w:gridCol w:w="155"/>
        <w:gridCol w:w="3470"/>
      </w:tblGrid>
      <w:tr>
        <w:trPr/>
        <w:tc>
          <w:tcPr>
            <w:tcW w:w="155"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Lead Director was appointed for 2023.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Initial Equity Awards</w:t>
            </w:r>
            <w:r>
              <w:rPr>
                <w:rFonts w:ascii="Times New Roman" w:hAnsi="Times New Roman"/>
                <w:sz w:val="20"/>
              </w:rPr>
              <w:t xml:space="preserve">: If a non-employee director’s initial appointment to the Board or a Board committee occurs other than at an Annual Meeting of Stockholders, such director will be granted pro-rated RSU awards having a dollar value equal to (x) the applicable dollar value amount for applicable Board or committee membership described above, multiplied by (y) the quotient obtained by dividing the number of days elapsed from the date of initial appointment to the date of the Company’s next Annual Meeting of Stockholders (or, if earlier, August 31 of such year), by 365, with such grants to vest in full on the date of the Company’s next Annual Meeting of Stockholders (or, if earlier, August 31 of such year).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Annual Equity Awards</w:t>
            </w:r>
            <w:r>
              <w:rPr>
                <w:rFonts w:ascii="Times New Roman" w:hAnsi="Times New Roman"/>
                <w:sz w:val="20"/>
              </w:rPr>
              <w:t xml:space="preserve">: Each non-employee director was eligible to receive a time-based restricted stock unit (“RSU”) award having a dollar value equal to $165,000. In addition, each non-employee director was eligible to receive an RSU award having a dollar value equal to $20,000 for such director’s service as the Chair of the Board’s Audit Committee, Compensation Committee, Nominating and Corporate Governance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Committee or Risk Committee, as applicable; and an RSU award having a dollar value equal to $10,000 for such director’s service as a non-Chair member of the Board’s Audit Committee, Compensation Committee, Nominating and Corporate Governance Committee or Risk Committee, as applicable. The number of shares subject to such RSU awards is calculated by dividing the applicable dollar value of the approved award by the volume-weighted average closing market price on the NYSE of one share of the Company’s Common stock over the trailing 30-day period ending on the last day immediately prior to the grant date. Each RSU award vests in full on the earlier of (x) the first anniversary of the date of grant, and (y) the meeting date of the Annual Meeting of Stockholders that occurs in the year following the year in which the RSU is granted, with such grants being made on the earlier of (A) the meeting date of the Company’s Annual Meeting of Stockholders for such year and (B) August 31 of such year. Vested RSUs settle as soon as administratively practicable following the date the non-employee director’s service terminates for any reason.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non-employee director equity awards will be granted under the Company’s 2020 Equity and Incentive Compensation Plan, as amended. Non-employee directors are subject to our Stock Ownership Policy, as described under the heading “Stock Ownership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total compensation earned by our non-employee directors during the year ended December 31, 2023. Mr. YJ Kim, our Chief Executive Officer, does not earn any fees for his service on the Board. </w:t>
      </w:r>
    </w:p>
    <w:p>
      <w:pPr>
        <w:pStyle w:val="TextBody"/>
        <w:bidi w:val="0"/>
        <w:spacing w:before="480" w:after="0"/>
        <w:jc w:val="center"/>
        <w:rPr>
          <w:rFonts w:ascii="Times New Roman" w:hAnsi="Times New Roman"/>
          <w:b/>
          <w:sz w:val="20"/>
        </w:rPr>
      </w:pPr>
      <w:r>
        <w:rPr>
          <w:rFonts w:ascii="Times New Roman" w:hAnsi="Times New Roman"/>
          <w:b/>
          <w:sz w:val="20"/>
        </w:rPr>
        <w:t xml:space="preserve">2023 Director Compensation Table </w:t>
      </w:r>
    </w:p>
    <w:p>
      <w:pPr>
        <w:pStyle w:val="TextBody"/>
        <w:bidi w:val="0"/>
        <w:spacing w:before="0" w:after="0"/>
        <w:jc w:val="left"/>
        <w:rPr/>
      </w:pPr>
      <w:r>
        <w:rPr/>
        <w:t> </w:t>
      </w:r>
    </w:p>
    <w:tbl>
      <w:tblPr>
        <w:tblW w:w="6435" w:type="dxa"/>
        <w:jc w:val="left"/>
        <w:tblInd w:w="0" w:type="dxa"/>
        <w:tblLayout w:type="fixed"/>
        <w:tblCellMar>
          <w:top w:w="0" w:type="dxa"/>
          <w:left w:w="0" w:type="dxa"/>
          <w:bottom w:w="0" w:type="dxa"/>
          <w:right w:w="0" w:type="dxa"/>
        </w:tblCellMar>
      </w:tblPr>
      <w:tblGrid>
        <w:gridCol w:w="1400"/>
        <w:gridCol w:w="120"/>
        <w:gridCol w:w="60"/>
        <w:gridCol w:w="800"/>
        <w:gridCol w:w="60"/>
        <w:gridCol w:w="120"/>
        <w:gridCol w:w="60"/>
        <w:gridCol w:w="800"/>
        <w:gridCol w:w="60"/>
        <w:gridCol w:w="120"/>
        <w:gridCol w:w="103"/>
        <w:gridCol w:w="1387"/>
        <w:gridCol w:w="350"/>
        <w:gridCol w:w="60"/>
        <w:gridCol w:w="60"/>
        <w:gridCol w:w="800"/>
        <w:gridCol w:w="7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w:t>
              <w:br/>
              <w:t>Earned</w:t>
              <w:br/>
              <w:t>or Paid</w:t>
              <w:br/>
              <w:t>in Cash</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Liz Chung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190,210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275,210</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Ilbok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97,066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226,688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323,754</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Camillo Martino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222,816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407,816</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Gilbert Nathan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202,211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261,003</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Melvin Keating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211,941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128,750</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419,441</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Gary Tanner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222,816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160,000</w:t>
            </w:r>
          </w:p>
        </w:tc>
        <w:tc>
          <w:tcPr>
            <w:tcW w:w="35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437,816</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aggregate dollar amount of cash fees earned in 2023 for Board service and committee service as described in the table below. </w:t>
            </w:r>
          </w:p>
        </w:tc>
      </w:tr>
    </w:tbl>
    <w:p>
      <w:pPr>
        <w:pStyle w:val="TextBody"/>
        <w:bidi w:val="0"/>
        <w:spacing w:before="0" w:after="0"/>
        <w:jc w:val="left"/>
        <w:rPr/>
      </w:pPr>
      <w:r>
        <w:rPr/>
        <w:t> </w:t>
      </w:r>
    </w:p>
    <w:tbl>
      <w:tblPr>
        <w:tblW w:w="5859" w:type="dxa"/>
        <w:jc w:val="left"/>
        <w:tblInd w:w="0" w:type="dxa"/>
        <w:tblLayout w:type="fixed"/>
        <w:tblCellMar>
          <w:top w:w="0" w:type="dxa"/>
          <w:left w:w="0" w:type="dxa"/>
          <w:bottom w:w="0" w:type="dxa"/>
          <w:right w:w="0" w:type="dxa"/>
        </w:tblCellMar>
      </w:tblPr>
      <w:tblGrid>
        <w:gridCol w:w="1400"/>
        <w:gridCol w:w="120"/>
        <w:gridCol w:w="73"/>
        <w:gridCol w:w="832"/>
        <w:gridCol w:w="60"/>
        <w:gridCol w:w="120"/>
        <w:gridCol w:w="64"/>
        <w:gridCol w:w="736"/>
        <w:gridCol w:w="60"/>
        <w:gridCol w:w="120"/>
        <w:gridCol w:w="91"/>
        <w:gridCol w:w="1039"/>
        <w:gridCol w:w="60"/>
        <w:gridCol w:w="120"/>
        <w:gridCol w:w="62"/>
        <w:gridCol w:w="827"/>
        <w:gridCol w:w="7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Board</w:t>
              <w:br/>
              <w:t>Retainer</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Chair</w:t>
              <w:br/>
              <w:t>Service</w:t>
              <w:br/>
              <w:t>Fees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Committee</w:t>
              <w:br/>
              <w:t>Service</w:t>
              <w:br/>
              <w:t>Fees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Liz Chung</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85,000</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Ilbok Lee</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14,511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7,555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97,066</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Camillo Martino</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90,000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185,000</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Gilbert Nathan</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46,360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8,017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4,415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58,792</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Melvin Keating</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56,250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18,750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78,750</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Gary Tanner</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55,000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RSUs awarded to the directors, calculated in accordance with FASB ASC Topic 718. Such aggregate grant date fair values do not take into account any estimated forfeitures related to service vesting conditions. The amounts reported in this column reflect the accounting cost for these RSUs and do not correspond to the actual economic value that may be received by the directors upon vesting and/or settlement of the RSUs.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the number of outstanding stock options and RSU awards held by our non-employee directors who served during 2023 were as follows: </w:t>
            </w:r>
          </w:p>
        </w:tc>
      </w:tr>
    </w:tbl>
    <w:p>
      <w:pPr>
        <w:pStyle w:val="TextBody"/>
        <w:bidi w:val="0"/>
        <w:spacing w:before="0" w:after="0"/>
        <w:jc w:val="left"/>
        <w:rPr/>
      </w:pPr>
      <w:r>
        <w:rPr/>
        <w:t> </w:t>
      </w:r>
    </w:p>
    <w:tbl>
      <w:tblPr>
        <w:tblW w:w="4485" w:type="dxa"/>
        <w:jc w:val="left"/>
        <w:tblInd w:w="0" w:type="dxa"/>
        <w:tblLayout w:type="fixed"/>
        <w:tblCellMar>
          <w:top w:w="0" w:type="dxa"/>
          <w:left w:w="0" w:type="dxa"/>
          <w:bottom w:w="0" w:type="dxa"/>
          <w:right w:w="0" w:type="dxa"/>
        </w:tblCellMar>
      </w:tblPr>
      <w:tblGrid>
        <w:gridCol w:w="1400"/>
        <w:gridCol w:w="120"/>
        <w:gridCol w:w="65"/>
        <w:gridCol w:w="870"/>
        <w:gridCol w:w="60"/>
        <w:gridCol w:w="120"/>
        <w:gridCol w:w="123"/>
        <w:gridCol w:w="1652"/>
        <w:gridCol w:w="7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Options (#)</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Liz Chung</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38,244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Ilbok Lee</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122,736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149,593</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Camillo Martino</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116,715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49,737</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Gilbert Nathan</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20,701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Melvin Keating</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34,351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49,737</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Gary Tanner</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93,117</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following number of RSUs included in the table above were vested but not yet settled under the terms of the applicable RSU agreements: Ms. Chung—19,705 RSUs; Mr. Keating—34,351 RSUs; Dr. Lee—100,002 RSUs; and Mr. Martino—94,998 RSUs. Stock options were last granted to our non-employee directors under our Non-Employee Director Compensation Policy in effect since 2017. Please see the section entitled “Security Ownership of Certain Beneficial Owners and Management” for additional information regarding all shares of Common Stock beneficially owned by our non-employee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in this column represents the payment Mr. Keating received in connection with his resignation from the Company in the amount of $78,750 and the payment Mr. Keating received as his consulting fee in the amount of $50,000.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in this column represents the payment Mr. Tanner received in connection with his services as a director in the amount of $110,000 and the payment Mr. Tanner received as his consulting fee in the amount of $50,000. </w:t>
            </w:r>
          </w:p>
        </w:tc>
      </w:tr>
    </w:tbl>
    <w:p>
      <w:pPr>
        <w:pStyle w:val="TextBody"/>
        <w:bidi w:val="0"/>
        <w:spacing w:before="360" w:after="0"/>
        <w:jc w:val="left"/>
        <w:rPr>
          <w:rFonts w:ascii="Times New Roman" w:hAnsi="Times New Roman"/>
          <w:b/>
          <w:sz w:val="20"/>
        </w:rPr>
      </w:pPr>
      <w:bookmarkStart w:id="19" w:name="toc784802_17"/>
      <w:bookmarkEnd w:id="19"/>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the Compensation Committee has been an officer or employee of our Company during the last fiscal year. During 2023, decisions regarding executive officer compensation were made by our Compensation Committee. Mr. YJ Kim, our Chief Executive Officer, participated in the deliberations of our Compensation Committee regarding the determination of the compensation of our executive officers other than himself for 2023 and prior periods. None of our executive officers currently serves, or in the past has served, as a member of the Board or the compensation committee of another entity that has one or more executive officers serving on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784802_18"/>
      <w:bookmarkEnd w:id="20"/>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21" w:name="toc784802_19"/>
      <w:bookmarkEnd w:id="21"/>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This Compensation Discussion and Analysis describes and analyzes our executive compensation program for the following executive officers who served the Company in 2023 (collectively, our “named executive officers”): </w:t>
      </w:r>
    </w:p>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110"/>
        <w:gridCol w:w="60"/>
        <w:gridCol w:w="4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Young-Joon Kim, our Chief Executive Officer (“CEO”);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Shin Young Park, our Chief Financial Officer (“CFO”);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110"/>
        <w:gridCol w:w="6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Theodore Kim, our Chief Compliance Officer, Executive Vice President, General Counsel and Secretary (“CCO”);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Woung Moo Lee, our Executive Vice President and General Manager of Mixed-Signal Solutions (“GM of Mixed-Signal Solutions”); and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 Ho Park, our Co-General Manager of Power Analog Solutions (“Co-GM of Power Analog Solutions”).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of our Board has primary responsibility for developing and maintaining a compensation program for our senior management, including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believes that our executive compensation program should play a key role in our operating and financial success, and has worked with outside legal counsel and Compensia Inc. (“Compensia”), a national compensation consulting firm, to develop a comprehensive executive compensation program that is intended to attract and retain talent with competitive compensation, and further align the interests of our executive officers with our stockholders by linking a significant component of executive compensation to variable cash-based compensation tied to the achievement of our short-term financial, operational and strategic goals, as well as equity-based compensation tied to the achievement of our long-term strategic goals that in turn lead to stockholder value creation. As part of our “Pay for Performance” philosophy described below, the Committee believes it is important to maintain a compensation program that includes significant “at risk” compensation and performance-focused equity awards. In 2023, approximately 90% of our CEO’s target total direct compensation and approximately 75% of the average target total direct compensation of our other named executive officers was delivered in the form of variable or “at risk” compensation tied to Company or stock price performance.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highly competitive market in which we compete for business, and our dependence on the highly skilled workforce that is necessary in order to innovate and compete in that market, the Compensation Committee believes that our ability to attract and retain talent at all levels of the Company is critical to our long-term success. In view of our unique situation in that all of our senior executives live and work in South Korea (herein referred to as “Korea”), we offer competitive expatriate benefits intended to minimize adverse tax and financial impacts associated with our CEO’s and CCO’s expatriate assignments, because they are subject to taxation in both the U.S. and Korea. More information about our human capital management strategy and approach can be found under the heading “Human Capital Management” on page 16. </w:t>
      </w:r>
    </w:p>
    <w:p>
      <w:pPr>
        <w:pStyle w:val="TextBody"/>
        <w:bidi w:val="0"/>
        <w:spacing w:before="360" w:after="0"/>
        <w:jc w:val="left"/>
        <w:rPr>
          <w:rFonts w:ascii="Times New Roman" w:hAnsi="Times New Roman"/>
          <w:b/>
          <w:i/>
          <w:sz w:val="20"/>
        </w:rPr>
      </w:pPr>
      <w:r>
        <w:rPr>
          <w:rFonts w:ascii="Times New Roman" w:hAnsi="Times New Roman"/>
          <w:b/>
          <w:i/>
          <w:sz w:val="20"/>
        </w:rPr>
        <w:t xml:space="preserve">Key 2023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made the following key compensation decision in respect of fiscal year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Granted annual equity awards to our key executives using a combination of performance-based stock units (“PSUs”) (based on both relative total stockholder return (“TSR”) and financial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goals) and RSUs, consistent with our practice in prior years. However, the maximum payout level for the TSR PSUs was reduced from 200% to 150%, which is earned for performance at or above the market 75th percentile.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the target grant value of CEO and CCO equity grants as compared to prior years in order to enhance our overall retention hold for them.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Accepted our CEO’s offer to reduce his base salary by 10% and determined that base salaries for our other named executive officers would remain unchanged for the 2023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the target annual incentive as a percentage of base salary for our CFO from 50% to 75% of base salary, reflecting alignment with the market data and internal parity between our top executives. </w:t>
            </w:r>
          </w:p>
        </w:tc>
      </w:tr>
    </w:tbl>
    <w:p>
      <w:pPr>
        <w:pStyle w:val="TextBody"/>
        <w:bidi w:val="0"/>
        <w:spacing w:before="360" w:after="0"/>
        <w:jc w:val="left"/>
        <w:rPr/>
      </w:pPr>
      <w:r>
        <w:rPr/>
        <w:t>“</w:t>
      </w:r>
      <w:r>
        <w:rPr>
          <w:rFonts w:ascii="Times New Roman" w:hAnsi="Times New Roman"/>
          <w:i/>
          <w:sz w:val="20"/>
        </w:rPr>
        <w:t xml:space="preserve">Pay for Performance” Philosophy </w:t>
      </w:r>
    </w:p>
    <w:p>
      <w:pPr>
        <w:pStyle w:val="TextBody"/>
        <w:bidi w:val="0"/>
        <w:spacing w:before="120" w:after="0"/>
        <w:jc w:val="left"/>
        <w:rPr>
          <w:rFonts w:ascii="Times New Roman" w:hAnsi="Times New Roman"/>
          <w:sz w:val="20"/>
        </w:rPr>
      </w:pPr>
      <w:r>
        <w:rPr>
          <w:rFonts w:ascii="Times New Roman" w:hAnsi="Times New Roman"/>
          <w:sz w:val="20"/>
        </w:rPr>
        <w:t xml:space="preserve">As illustrated below, our target total direct compensation, which is the sum of base salary, target short-term cash incentive bonus opportunity and the aggregated target value of long-term equity awards granted under our 2020 Equity and Incentive Compensation Plan, was weighted heavily towards variable performance-based compensation.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3663950" cy="10877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63950" cy="108775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Approximately 90% of our Chief Executive Officer’s target total direct compensation and approximately 75% of the average target total direct compensation of our other named executive officers was delivered in the form of “at-risk” compensation tied to Company, individual, or stock price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equity awards (the ultimate value of which depends on our stock price) continued to be the largest element of compensation, representing approximately 79% of our Chief Executive Officer’s target total direct compensation and approximately 59% of the average target total direct compensation of our other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target annual (short-term) cash incentives payable to our named executive officers were tied to the pre-established performance goals and/or criteria under our short-term incentive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Executive Compensation-Related Policies and Practices </w:t>
      </w:r>
    </w:p>
    <w:p>
      <w:pPr>
        <w:pStyle w:val="TextBody"/>
        <w:bidi w:val="0"/>
        <w:spacing w:before="120" w:after="0"/>
        <w:jc w:val="left"/>
        <w:rPr>
          <w:rFonts w:ascii="Times New Roman" w:hAnsi="Times New Roman"/>
          <w:sz w:val="20"/>
        </w:rPr>
      </w:pPr>
      <w:r>
        <w:rPr>
          <w:rFonts w:ascii="Times New Roman" w:hAnsi="Times New Roman"/>
          <w:sz w:val="20"/>
        </w:rPr>
        <w:t xml:space="preserve">We endeavor to maintain sound executive compensation policies and practices, including compensation-related corporate governance standards, consistent with our pay for performance philosophy. The following summarizes our executive compensation and related governance policies and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1"/>
        <w:gridCol w:w="120"/>
        <w:gridCol w:w="7734"/>
      </w:tblGrid>
      <w:tr>
        <w:trPr/>
        <w:tc>
          <w:tcPr>
            <w:tcW w:w="23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34" w:type="dxa"/>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What We Do</w:t>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Pay-for-Performance Philosophy</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A significant portion of our named executive officers’ compensation is directly linked to corporate performance. We structure target total direct compensation with a significant long-term equity component in the form of RSUs and PSUs, thereby making a vast majority of each named executive officer’s target total direct compensation dependent upon our corporate performance, stock price and/or total shareholder return.</w:t>
            </w:r>
          </w:p>
        </w:tc>
      </w:tr>
      <w:tr>
        <w:trPr/>
        <w:tc>
          <w:tcPr>
            <w:tcW w:w="2351" w:type="dxa"/>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Performance-Based Equity Awards</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Our CEO and our other named executive officers receive performance-based equity awards in the form of PSUs that vest based on the achievement of financial goals and relative TSR performance.</w:t>
            </w:r>
          </w:p>
        </w:tc>
      </w:tr>
      <w:tr>
        <w:trPr/>
        <w:tc>
          <w:tcPr>
            <w:tcW w:w="2351" w:type="dxa"/>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Double Trigger” Change in Control Arrangements</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With the exception of our PSU awards that vest at target level upon a change in control, our change in control compensation arrangements include a “double trigger” provision that requires both a change in control of the Company plus a qualifying termination of employment before payments and benefits are paid. It is our expectation that all future RSUs and PSUs will be structured with the same format.</w:t>
            </w:r>
          </w:p>
        </w:tc>
      </w:tr>
      <w:tr>
        <w:trPr/>
        <w:tc>
          <w:tcPr>
            <w:tcW w:w="2351" w:type="dxa"/>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Human Capital Management and Succession Planning</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We provide opportunities for training and advancement to all employees as part of our human capital management program. Furthermore, we conduct succession planning and executive assessments for all key employees to ensure orderly succession plans are in place.</w:t>
            </w:r>
          </w:p>
        </w:tc>
      </w:tr>
      <w:tr>
        <w:trPr/>
        <w:tc>
          <w:tcPr>
            <w:tcW w:w="2351" w:type="dxa"/>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Independent Compensation Committee</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The Compensation Committee consists solely of independent directors.</w:t>
            </w:r>
          </w:p>
        </w:tc>
      </w:tr>
      <w:tr>
        <w:trPr/>
        <w:tc>
          <w:tcPr>
            <w:tcW w:w="2351" w:type="dxa"/>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Compensation Recovery Policy</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We have a policy providing for the recovery of certain cash incentive compensation and equity or equity-based awards from our CEO and other executive officers (including our other named executive officers).</w:t>
            </w:r>
          </w:p>
        </w:tc>
      </w:tr>
      <w:tr>
        <w:trPr/>
        <w:tc>
          <w:tcPr>
            <w:tcW w:w="2351" w:type="dxa"/>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Stock Ownership Guidelines</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We maintain stock ownership guidelines for our CEO, our other executive officers (including our other named executive officers) and the non-employee members of our Board.</w:t>
            </w:r>
          </w:p>
        </w:tc>
      </w:tr>
      <w:tr>
        <w:trPr/>
        <w:tc>
          <w:tcPr>
            <w:tcW w:w="2351" w:type="dxa"/>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Equity Award Grant Policy</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Equity awards are granted in accordance with our Equity Award Grant Policy. We do not have any program, practice or plan to time equity awards in coordination with the release of material non-public information.</w:t>
            </w:r>
          </w:p>
        </w:tc>
      </w:tr>
      <w:tr>
        <w:trPr/>
        <w:tc>
          <w:tcPr>
            <w:tcW w:w="2351" w:type="dxa"/>
            <w:tcBorders/>
            <w:vAlign w:val="center"/>
          </w:tcPr>
          <w:p>
            <w:pPr>
              <w:pStyle w:val="TableContents"/>
              <w:bidi w:val="0"/>
              <w:spacing w:before="0" w:after="283"/>
              <w:jc w:val="left"/>
              <w:rPr>
                <w:sz w:val="4"/>
                <w:szCs w:val="4"/>
              </w:rPr>
            </w:pPr>
            <w:r>
              <w:rPr>
                <w:sz w:val="4"/>
                <w:szCs w:val="4"/>
              </w:rPr>
            </w:r>
          </w:p>
        </w:tc>
        <w:tc>
          <w:tcPr>
            <w:tcW w:w="7854" w:type="dxa"/>
            <w:gridSpan w:val="2"/>
            <w:tcBorders/>
            <w:vAlign w:val="center"/>
          </w:tcPr>
          <w:p>
            <w:pPr>
              <w:pStyle w:val="TableContents"/>
              <w:bidi w:val="0"/>
              <w:spacing w:before="0" w:after="283"/>
              <w:jc w:val="left"/>
              <w:rPr>
                <w:sz w:val="4"/>
                <w:szCs w:val="4"/>
              </w:rPr>
            </w:pPr>
            <w:r>
              <w:rPr>
                <w:sz w:val="4"/>
                <w:szCs w:val="4"/>
              </w:rPr>
            </w:r>
          </w:p>
        </w:tc>
      </w:tr>
      <w:tr>
        <w:trPr/>
        <w:tc>
          <w:tcPr>
            <w:tcW w:w="2351" w:type="dxa"/>
            <w:tcBorders/>
            <w:vAlign w:val="center"/>
          </w:tcPr>
          <w:p>
            <w:pPr>
              <w:pStyle w:val="TableContents"/>
              <w:bidi w:val="0"/>
              <w:spacing w:before="0" w:after="0"/>
              <w:jc w:val="left"/>
              <w:rPr/>
            </w:pPr>
            <w:r>
              <w:rPr/>
              <w:t>•   </w:t>
            </w:r>
            <w:r>
              <w:rPr>
                <w:rFonts w:ascii="Times New Roman" w:hAnsi="Times New Roman"/>
                <w:b/>
                <w:sz w:val="20"/>
              </w:rPr>
              <w:t>Retain an Independent Compensation Advisor</w:t>
            </w:r>
          </w:p>
        </w:tc>
        <w:tc>
          <w:tcPr>
            <w:tcW w:w="120" w:type="dxa"/>
            <w:tcBorders/>
            <w:vAlign w:val="center"/>
          </w:tcPr>
          <w:p>
            <w:pPr>
              <w:pStyle w:val="TableContents"/>
              <w:bidi w:val="0"/>
              <w:spacing w:before="0" w:after="283"/>
              <w:jc w:val="left"/>
              <w:rPr/>
            </w:pPr>
            <w:r>
              <w:rPr/>
              <w:t>  </w:t>
            </w:r>
          </w:p>
        </w:tc>
        <w:tc>
          <w:tcPr>
            <w:tcW w:w="7734" w:type="dxa"/>
            <w:tcBorders/>
            <w:vAlign w:val="center"/>
          </w:tcPr>
          <w:p>
            <w:pPr>
              <w:pStyle w:val="TableContents"/>
              <w:bidi w:val="0"/>
              <w:spacing w:before="0" w:after="283"/>
              <w:jc w:val="left"/>
              <w:rPr/>
            </w:pPr>
            <w:r>
              <w:rPr/>
              <w:t>The Compensation Committee has engaged its own independent compensation advisor to provide information, analysis and other advice on executive compensation independent of management.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431"/>
        <w:gridCol w:w="120"/>
        <w:gridCol w:w="7654"/>
      </w:tblGrid>
      <w:tr>
        <w:trPr/>
        <w:tc>
          <w:tcPr>
            <w:tcW w:w="24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54"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5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What We Do</w:t>
            </w:r>
          </w:p>
        </w:tc>
      </w:tr>
      <w:tr>
        <w:trPr/>
        <w:tc>
          <w:tcPr>
            <w:tcW w:w="2431" w:type="dxa"/>
            <w:tcBorders/>
            <w:vAlign w:val="center"/>
          </w:tcPr>
          <w:p>
            <w:pPr>
              <w:pStyle w:val="TableContents"/>
              <w:bidi w:val="0"/>
              <w:spacing w:before="0" w:after="0"/>
              <w:jc w:val="left"/>
              <w:rPr/>
            </w:pPr>
            <w:r>
              <w:rPr/>
              <w:t>•   </w:t>
            </w:r>
            <w:r>
              <w:rPr>
                <w:rFonts w:ascii="Times New Roman" w:hAnsi="Times New Roman"/>
                <w:b/>
                <w:sz w:val="20"/>
              </w:rPr>
              <w:t>Annual Executive Compensation Review</w:t>
            </w:r>
          </w:p>
        </w:tc>
        <w:tc>
          <w:tcPr>
            <w:tcW w:w="120" w:type="dxa"/>
            <w:tcBorders/>
            <w:vAlign w:val="center"/>
          </w:tcPr>
          <w:p>
            <w:pPr>
              <w:pStyle w:val="TableContents"/>
              <w:bidi w:val="0"/>
              <w:spacing w:before="0" w:after="283"/>
              <w:jc w:val="left"/>
              <w:rPr/>
            </w:pPr>
            <w:r>
              <w:rPr/>
              <w:t>  </w:t>
            </w:r>
          </w:p>
        </w:tc>
        <w:tc>
          <w:tcPr>
            <w:tcW w:w="7654" w:type="dxa"/>
            <w:tcBorders/>
            <w:vAlign w:val="center"/>
          </w:tcPr>
          <w:p>
            <w:pPr>
              <w:pStyle w:val="TableContents"/>
              <w:bidi w:val="0"/>
              <w:spacing w:before="0" w:after="283"/>
              <w:jc w:val="left"/>
              <w:rPr/>
            </w:pPr>
            <w:r>
              <w:rPr/>
              <w:t>The Compensation Committee conducts an annual review of our compensation strategy, including a review of our compensation used for comparative purposes.</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7774" w:type="dxa"/>
            <w:gridSpan w:val="2"/>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jc w:val="left"/>
              <w:rPr/>
            </w:pPr>
            <w:r>
              <w:rPr/>
              <w:t>•   </w:t>
            </w:r>
            <w:r>
              <w:rPr>
                <w:rFonts w:ascii="Times New Roman" w:hAnsi="Times New Roman"/>
                <w:b/>
                <w:sz w:val="20"/>
              </w:rPr>
              <w:t>Balanced Time Horizon for Incentive Compensation</w:t>
            </w:r>
          </w:p>
        </w:tc>
        <w:tc>
          <w:tcPr>
            <w:tcW w:w="120" w:type="dxa"/>
            <w:tcBorders/>
            <w:vAlign w:val="center"/>
          </w:tcPr>
          <w:p>
            <w:pPr>
              <w:pStyle w:val="TableContents"/>
              <w:bidi w:val="0"/>
              <w:spacing w:before="0" w:after="283"/>
              <w:jc w:val="left"/>
              <w:rPr/>
            </w:pPr>
            <w:r>
              <w:rPr/>
              <w:t>  </w:t>
            </w:r>
          </w:p>
        </w:tc>
        <w:tc>
          <w:tcPr>
            <w:tcW w:w="7654" w:type="dxa"/>
            <w:tcBorders/>
            <w:vAlign w:val="center"/>
          </w:tcPr>
          <w:p>
            <w:pPr>
              <w:pStyle w:val="TableContents"/>
              <w:bidi w:val="0"/>
              <w:spacing w:before="0" w:after="283"/>
              <w:jc w:val="left"/>
              <w:rPr/>
            </w:pPr>
            <w:r>
              <w:rPr/>
              <w:t>We have a balance of time horizons for our incentive awards, including an annual cash incentive plan, a three-year performance period for our TSR PSUs and a three-year vesting period for our RSUs and Financial PSUs.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4"/>
        <w:gridCol w:w="120"/>
        <w:gridCol w:w="7591"/>
      </w:tblGrid>
      <w:tr>
        <w:trPr/>
        <w:tc>
          <w:tcPr>
            <w:tcW w:w="24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249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9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What We Don’t Do</w:t>
            </w:r>
          </w:p>
        </w:tc>
      </w:tr>
      <w:tr>
        <w:trPr/>
        <w:tc>
          <w:tcPr>
            <w:tcW w:w="2494" w:type="dxa"/>
            <w:tcBorders/>
            <w:vAlign w:val="center"/>
          </w:tcPr>
          <w:p>
            <w:pPr>
              <w:pStyle w:val="TableContents"/>
              <w:bidi w:val="0"/>
              <w:spacing w:before="0" w:after="0"/>
              <w:jc w:val="left"/>
              <w:rPr/>
            </w:pPr>
            <w:r>
              <w:rPr/>
              <w:t>•   </w:t>
            </w:r>
            <w:r>
              <w:rPr>
                <w:rFonts w:ascii="Times New Roman" w:hAnsi="Times New Roman"/>
                <w:b/>
                <w:sz w:val="20"/>
              </w:rPr>
              <w:t>No Special Retirement Plans</w:t>
            </w:r>
          </w:p>
        </w:tc>
        <w:tc>
          <w:tcPr>
            <w:tcW w:w="120"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left"/>
              <w:rPr/>
            </w:pPr>
            <w:r>
              <w:rPr/>
              <w:t>We do not currently offer pension arrangements or retirement plans to our executive officers other than statutory severance benefits required under the Employee Retirement Benefit Security Act of Korea.</w:t>
            </w:r>
          </w:p>
        </w:tc>
      </w:tr>
      <w:tr>
        <w:trPr/>
        <w:tc>
          <w:tcPr>
            <w:tcW w:w="2494" w:type="dxa"/>
            <w:tcBorders/>
            <w:vAlign w:val="center"/>
          </w:tcPr>
          <w:p>
            <w:pPr>
              <w:pStyle w:val="TableContents"/>
              <w:bidi w:val="0"/>
              <w:spacing w:before="0" w:after="283"/>
              <w:jc w:val="left"/>
              <w:rPr>
                <w:sz w:val="4"/>
                <w:szCs w:val="4"/>
              </w:rPr>
            </w:pPr>
            <w:r>
              <w:rPr>
                <w:sz w:val="4"/>
                <w:szCs w:val="4"/>
              </w:rPr>
            </w:r>
          </w:p>
        </w:tc>
        <w:tc>
          <w:tcPr>
            <w:tcW w:w="7711" w:type="dxa"/>
            <w:gridSpan w:val="2"/>
            <w:tcBorders/>
            <w:vAlign w:val="center"/>
          </w:tcPr>
          <w:p>
            <w:pPr>
              <w:pStyle w:val="TableContents"/>
              <w:bidi w:val="0"/>
              <w:spacing w:before="0" w:after="283"/>
              <w:jc w:val="left"/>
              <w:rPr>
                <w:sz w:val="4"/>
                <w:szCs w:val="4"/>
              </w:rPr>
            </w:pPr>
            <w:r>
              <w:rPr>
                <w:sz w:val="4"/>
                <w:szCs w:val="4"/>
              </w:rPr>
            </w:r>
          </w:p>
        </w:tc>
      </w:tr>
      <w:tr>
        <w:trPr/>
        <w:tc>
          <w:tcPr>
            <w:tcW w:w="2494" w:type="dxa"/>
            <w:tcBorders/>
            <w:vAlign w:val="center"/>
          </w:tcPr>
          <w:p>
            <w:pPr>
              <w:pStyle w:val="TableContents"/>
              <w:bidi w:val="0"/>
              <w:spacing w:before="0" w:after="0"/>
              <w:jc w:val="left"/>
              <w:rPr/>
            </w:pPr>
            <w:r>
              <w:rPr/>
              <w:t>•   </w:t>
            </w:r>
            <w:r>
              <w:rPr>
                <w:rFonts w:ascii="Times New Roman" w:hAnsi="Times New Roman"/>
                <w:b/>
                <w:sz w:val="20"/>
              </w:rPr>
              <w:t>No Stock Option Re-Pricing</w:t>
            </w:r>
          </w:p>
        </w:tc>
        <w:tc>
          <w:tcPr>
            <w:tcW w:w="120"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left"/>
              <w:rPr/>
            </w:pPr>
            <w:r>
              <w:rPr/>
              <w:t>Our equity compensation plan does not permit stock options or stock appreciation rights (“SARs”) to be repriced to a lower exercise or strike price without the approval of our stockholders.</w:t>
            </w:r>
          </w:p>
        </w:tc>
      </w:tr>
      <w:tr>
        <w:trPr/>
        <w:tc>
          <w:tcPr>
            <w:tcW w:w="2494" w:type="dxa"/>
            <w:tcBorders/>
            <w:vAlign w:val="center"/>
          </w:tcPr>
          <w:p>
            <w:pPr>
              <w:pStyle w:val="TableContents"/>
              <w:bidi w:val="0"/>
              <w:spacing w:before="0" w:after="283"/>
              <w:jc w:val="left"/>
              <w:rPr>
                <w:sz w:val="4"/>
                <w:szCs w:val="4"/>
              </w:rPr>
            </w:pPr>
            <w:r>
              <w:rPr>
                <w:sz w:val="4"/>
                <w:szCs w:val="4"/>
              </w:rPr>
            </w:r>
          </w:p>
        </w:tc>
        <w:tc>
          <w:tcPr>
            <w:tcW w:w="7711" w:type="dxa"/>
            <w:gridSpan w:val="2"/>
            <w:tcBorders/>
            <w:vAlign w:val="center"/>
          </w:tcPr>
          <w:p>
            <w:pPr>
              <w:pStyle w:val="TableContents"/>
              <w:bidi w:val="0"/>
              <w:spacing w:before="0" w:after="283"/>
              <w:jc w:val="left"/>
              <w:rPr>
                <w:sz w:val="4"/>
                <w:szCs w:val="4"/>
              </w:rPr>
            </w:pPr>
            <w:r>
              <w:rPr>
                <w:sz w:val="4"/>
                <w:szCs w:val="4"/>
              </w:rPr>
            </w:r>
          </w:p>
        </w:tc>
      </w:tr>
      <w:tr>
        <w:trPr/>
        <w:tc>
          <w:tcPr>
            <w:tcW w:w="2494" w:type="dxa"/>
            <w:tcBorders/>
            <w:vAlign w:val="center"/>
          </w:tcPr>
          <w:p>
            <w:pPr>
              <w:pStyle w:val="TableContents"/>
              <w:bidi w:val="0"/>
              <w:spacing w:before="0" w:after="0"/>
              <w:jc w:val="left"/>
              <w:rPr/>
            </w:pPr>
            <w:r>
              <w:rPr/>
              <w:t>•   </w:t>
            </w:r>
            <w:r>
              <w:rPr>
                <w:rFonts w:ascii="Times New Roman" w:hAnsi="Times New Roman"/>
                <w:b/>
                <w:sz w:val="20"/>
              </w:rPr>
              <w:t>No Excise Tax Payments on Future Post-Employment Compensation Arrangements</w:t>
            </w:r>
          </w:p>
        </w:tc>
        <w:tc>
          <w:tcPr>
            <w:tcW w:w="120"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left"/>
              <w:rPr/>
            </w:pPr>
            <w:r>
              <w:rPr/>
              <w:t>We do not provide any excise tax reimbursement payments (including “gross-ups”) with respect to payments or benefits contingent upon a change in control of the Company. The Company does, however, have the obligation to provide tax equalization to the CEO and the CCO with respect to such payments and benefits, as a part of their expatriate benefit package because they are subject to taxation in both the U.S. and Korea.</w:t>
            </w:r>
          </w:p>
        </w:tc>
      </w:tr>
      <w:tr>
        <w:trPr/>
        <w:tc>
          <w:tcPr>
            <w:tcW w:w="2494" w:type="dxa"/>
            <w:tcBorders/>
            <w:vAlign w:val="center"/>
          </w:tcPr>
          <w:p>
            <w:pPr>
              <w:pStyle w:val="TableContents"/>
              <w:bidi w:val="0"/>
              <w:spacing w:before="0" w:after="283"/>
              <w:jc w:val="left"/>
              <w:rPr>
                <w:sz w:val="4"/>
                <w:szCs w:val="4"/>
              </w:rPr>
            </w:pPr>
            <w:r>
              <w:rPr>
                <w:sz w:val="4"/>
                <w:szCs w:val="4"/>
              </w:rPr>
            </w:r>
          </w:p>
        </w:tc>
        <w:tc>
          <w:tcPr>
            <w:tcW w:w="7711" w:type="dxa"/>
            <w:gridSpan w:val="2"/>
            <w:tcBorders/>
            <w:vAlign w:val="center"/>
          </w:tcPr>
          <w:p>
            <w:pPr>
              <w:pStyle w:val="TableContents"/>
              <w:bidi w:val="0"/>
              <w:spacing w:before="0" w:after="283"/>
              <w:jc w:val="left"/>
              <w:rPr>
                <w:sz w:val="4"/>
                <w:szCs w:val="4"/>
              </w:rPr>
            </w:pPr>
            <w:r>
              <w:rPr>
                <w:sz w:val="4"/>
                <w:szCs w:val="4"/>
              </w:rPr>
            </w:r>
          </w:p>
        </w:tc>
      </w:tr>
      <w:tr>
        <w:trPr/>
        <w:tc>
          <w:tcPr>
            <w:tcW w:w="2494" w:type="dxa"/>
            <w:tcBorders/>
            <w:vAlign w:val="center"/>
          </w:tcPr>
          <w:p>
            <w:pPr>
              <w:pStyle w:val="TableContents"/>
              <w:bidi w:val="0"/>
              <w:spacing w:before="0" w:after="0"/>
              <w:jc w:val="left"/>
              <w:rPr/>
            </w:pPr>
            <w:r>
              <w:rPr/>
              <w:t>•   </w:t>
            </w:r>
            <w:r>
              <w:rPr>
                <w:rFonts w:ascii="Times New Roman" w:hAnsi="Times New Roman"/>
                <w:b/>
                <w:sz w:val="20"/>
              </w:rPr>
              <w:t>No Hedging or Pledging</w:t>
            </w:r>
          </w:p>
        </w:tc>
        <w:tc>
          <w:tcPr>
            <w:tcW w:w="120"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left"/>
              <w:rPr/>
            </w:pPr>
            <w:r>
              <w:rPr/>
              <w:t>We prohibit our employees, including our executive officers, and the non-employee members of our Board from pledging, engaging in short sales and certain derivative transactions relating to our securities.</w:t>
            </w:r>
          </w:p>
        </w:tc>
      </w:tr>
      <w:tr>
        <w:trPr/>
        <w:tc>
          <w:tcPr>
            <w:tcW w:w="2494" w:type="dxa"/>
            <w:tcBorders/>
            <w:vAlign w:val="center"/>
          </w:tcPr>
          <w:p>
            <w:pPr>
              <w:pStyle w:val="TableContents"/>
              <w:bidi w:val="0"/>
              <w:spacing w:before="0" w:after="283"/>
              <w:jc w:val="left"/>
              <w:rPr>
                <w:sz w:val="4"/>
                <w:szCs w:val="4"/>
              </w:rPr>
            </w:pPr>
            <w:r>
              <w:rPr>
                <w:sz w:val="4"/>
                <w:szCs w:val="4"/>
              </w:rPr>
            </w:r>
          </w:p>
        </w:tc>
        <w:tc>
          <w:tcPr>
            <w:tcW w:w="7711" w:type="dxa"/>
            <w:gridSpan w:val="2"/>
            <w:tcBorders/>
            <w:vAlign w:val="center"/>
          </w:tcPr>
          <w:p>
            <w:pPr>
              <w:pStyle w:val="TableContents"/>
              <w:bidi w:val="0"/>
              <w:spacing w:before="0" w:after="283"/>
              <w:jc w:val="left"/>
              <w:rPr>
                <w:sz w:val="4"/>
                <w:szCs w:val="4"/>
              </w:rPr>
            </w:pPr>
            <w:r>
              <w:rPr>
                <w:sz w:val="4"/>
                <w:szCs w:val="4"/>
              </w:rPr>
            </w:r>
          </w:p>
        </w:tc>
      </w:tr>
      <w:tr>
        <w:trPr/>
        <w:tc>
          <w:tcPr>
            <w:tcW w:w="2494" w:type="dxa"/>
            <w:tcBorders/>
            <w:vAlign w:val="center"/>
          </w:tcPr>
          <w:p>
            <w:pPr>
              <w:pStyle w:val="TableContents"/>
              <w:bidi w:val="0"/>
              <w:spacing w:before="0" w:after="0"/>
              <w:jc w:val="left"/>
              <w:rPr/>
            </w:pPr>
            <w:r>
              <w:rPr/>
              <w:t>•   </w:t>
            </w:r>
            <w:r>
              <w:rPr>
                <w:rFonts w:ascii="Times New Roman" w:hAnsi="Times New Roman"/>
                <w:b/>
                <w:sz w:val="20"/>
              </w:rPr>
              <w:t>No Special Welfare or Health Benefits</w:t>
            </w:r>
          </w:p>
        </w:tc>
        <w:tc>
          <w:tcPr>
            <w:tcW w:w="120"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left"/>
              <w:rPr/>
            </w:pPr>
            <w:r>
              <w:rPr/>
              <w:t>We do not provide our executive officers with any welfare or health benefit programs, other than participation on the same basis as our full-time employees in the employee programs that are standard in our industry sector. The Company does provide customary international health insurance to the CEO, the CCO and the Co-GM of Power Analog Solutions as a part of their expatriate benefit package.</w:t>
            </w:r>
          </w:p>
        </w:tc>
      </w:tr>
      <w:tr>
        <w:trPr/>
        <w:tc>
          <w:tcPr>
            <w:tcW w:w="2494" w:type="dxa"/>
            <w:tcBorders/>
            <w:vAlign w:val="center"/>
          </w:tcPr>
          <w:p>
            <w:pPr>
              <w:pStyle w:val="TableContents"/>
              <w:bidi w:val="0"/>
              <w:spacing w:before="0" w:after="283"/>
              <w:jc w:val="left"/>
              <w:rPr>
                <w:sz w:val="4"/>
                <w:szCs w:val="4"/>
              </w:rPr>
            </w:pPr>
            <w:r>
              <w:rPr>
                <w:sz w:val="4"/>
                <w:szCs w:val="4"/>
              </w:rPr>
            </w:r>
          </w:p>
        </w:tc>
        <w:tc>
          <w:tcPr>
            <w:tcW w:w="7711" w:type="dxa"/>
            <w:gridSpan w:val="2"/>
            <w:tcBorders/>
            <w:vAlign w:val="center"/>
          </w:tcPr>
          <w:p>
            <w:pPr>
              <w:pStyle w:val="TableContents"/>
              <w:bidi w:val="0"/>
              <w:spacing w:before="0" w:after="283"/>
              <w:jc w:val="left"/>
              <w:rPr>
                <w:sz w:val="4"/>
                <w:szCs w:val="4"/>
              </w:rPr>
            </w:pPr>
            <w:r>
              <w:rPr>
                <w:sz w:val="4"/>
                <w:szCs w:val="4"/>
              </w:rPr>
            </w:r>
          </w:p>
        </w:tc>
      </w:tr>
      <w:tr>
        <w:trPr/>
        <w:tc>
          <w:tcPr>
            <w:tcW w:w="2494" w:type="dxa"/>
            <w:tcBorders/>
            <w:vAlign w:val="center"/>
          </w:tcPr>
          <w:p>
            <w:pPr>
              <w:pStyle w:val="TableContents"/>
              <w:bidi w:val="0"/>
              <w:spacing w:before="0" w:after="0"/>
              <w:jc w:val="left"/>
              <w:rPr/>
            </w:pPr>
            <w:r>
              <w:rPr/>
              <w:t>•   </w:t>
            </w:r>
            <w:r>
              <w:rPr>
                <w:rFonts w:ascii="Times New Roman" w:hAnsi="Times New Roman"/>
                <w:b/>
                <w:sz w:val="20"/>
              </w:rPr>
              <w:t>No Dividends or Dividend Equivalents Payable on Unvested Equity Awards</w:t>
            </w:r>
          </w:p>
        </w:tc>
        <w:tc>
          <w:tcPr>
            <w:tcW w:w="120" w:type="dxa"/>
            <w:tcBorders/>
            <w:vAlign w:val="center"/>
          </w:tcPr>
          <w:p>
            <w:pPr>
              <w:pStyle w:val="TableContents"/>
              <w:bidi w:val="0"/>
              <w:spacing w:before="0" w:after="283"/>
              <w:jc w:val="left"/>
              <w:rPr/>
            </w:pPr>
            <w:r>
              <w:rPr/>
              <w:t>  </w:t>
            </w:r>
          </w:p>
        </w:tc>
        <w:tc>
          <w:tcPr>
            <w:tcW w:w="7591" w:type="dxa"/>
            <w:tcBorders/>
            <w:vAlign w:val="center"/>
          </w:tcPr>
          <w:p>
            <w:pPr>
              <w:pStyle w:val="TableContents"/>
              <w:bidi w:val="0"/>
              <w:spacing w:before="0" w:after="283"/>
              <w:jc w:val="left"/>
              <w:rPr/>
            </w:pPr>
            <w:r>
              <w:rPr/>
              <w:t>We do not pay dividends or dividend equivalents on unvested equity awards.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Say on Pay Vote and Stockholder Input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has responsibility to ensure that the compensation paid to our executive officers aligns with the interests of our stockholders and the Company’s compensation philosophy. Approximately 89.1% of the stockholders at the 2023 Annual Meeting voted to approve the compensation of the Company’s named executive officers as disclosed in the Company’s 2023 proxy statement. With the result of the advisory votes, the Compensation Committee determined that the Company’s executive compensation program continues to be appropriate. Nevertheless, in response to stockholder input regarding topics of concern from our investors, we continue to make changes aimed at increasing the quality and transparency of the disclosures in our Compensation Discussion and Analysis (“CD&amp;A”). We remain committed to listening to stockholder feedback as we continue to evaluate and refine our compensation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Timing of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Generally, at the end of each annual evaluation period, our CEO reviews the performance of the other executive officers and presents his conclusions and recommendations to the Compensation Committee. At that time and throughout the year, the Compensation Committee also evaluates the performance of our CEO, which is measured in substantial part against our consolidated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Equity awards are made in accordance with our Equity Award Grant Policy described below. We do not have any program, plan or practice to time equity award grants in coordination with the release of material non-public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the Compensation Committee in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Committee’s responsibilities include evaluating, approving and monitoring our named executive officer and director compensation plans, policies and programs, as well as each of our equity-based compensation plans and policies. In addition, the Compensation Committee has the responsibility of periodically reviewing and advising the Board concerning our human capital strategies, initiatives and programs with respect to our culture, talent, recruitment, retention, employee engagement, and employee diversity, equity and inclusion efforts.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our compensation philosophy and objectives, the Compensation Committee evaluates our executive officer compensation packages annually to ensure that: </w:t>
      </w:r>
    </w:p>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maintain our ability to attract and retain superior executives in critical positions;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executives are incentivized and rewarded for corporate growth, achievement of long-term corporate objectives and individual performance that meet or exceed our expectations without encouraging unnecessary risk-taking;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provided to critical executives remains competitive relative to the compensation paid to similarly situated executives of companies in the semiconductor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annual reviews, the Compensation Committee also typically considers compensation changes upon a named executive officer’s promotion or other change in job responsibility.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Role of CEO in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For named executive officers other than our CEO, we have historically sought and considered input from our CEO and our independent compensation consultant as described below, in making determinations regarding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CEO annually reviews the performance of our other named executive officers. Thereafter, he presents conclusions and recommendations regarding the compensation of such officers, including proposed salary adjustments and incentive amounts, to the Compensation Committee. The Compensation Committee then takes this information into account when it makes final decisions regarding any adjustments or awards. </w:t>
      </w:r>
    </w:p>
    <w:p>
      <w:pPr>
        <w:pStyle w:val="TextBody"/>
        <w:bidi w:val="0"/>
        <w:spacing w:before="240" w:after="0"/>
        <w:jc w:val="left"/>
        <w:rPr>
          <w:rFonts w:ascii="Times New Roman" w:hAnsi="Times New Roman"/>
          <w:sz w:val="20"/>
        </w:rPr>
      </w:pPr>
      <w:r>
        <w:rPr>
          <w:rFonts w:ascii="Times New Roman" w:hAnsi="Times New Roman"/>
          <w:sz w:val="20"/>
        </w:rPr>
        <w:t xml:space="preserve">The review of performance by the Compensation Committee and our CEO of our other named executive officers is both an objective and subjective assessment of each named executive officer’s contribution to our performance, leadership qualities, strengths and weaknesses and performance relative to goals set by the Compensation Committee or our CEO, as applicable. The Compensation Committee and our CEO do not systematically assign a weight to the factors, and may, in their discretion, consider or disregard any one factor which, in their sole discretion, is important to or irrelevant for a particular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Role of 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engages an external compensation consultant to assist it by providing information, analysis and other advice relating to our executive compensation program and the decisions resulting from its annual executive compensation review. For 2023, the Compensation Committee retained Compensia, a national compensation consulting firm, to serve as its independent compensation consultant. This compensation consultant serves at the discretion of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During 2023, Compensia attended some of the meetings of the Compensation Committee (both with and without management present) during the period of its engagement and provided the following services: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Consulting with the Compensation Committee Chair and other members between Compensation Committee meetings on compensation matters as needed;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Compensation Discussion and Analysis and assisting in the drafting of the Pay Versus Performance disclosure;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updating the compensation peer group used to assess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market data for selected executive officer positions covering target total direct compensation levels and design to help the Compensation Committee determine how to competitively set compensation for the selected executive officer positions;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Updates on compensation trends and regulatory developments; and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Assistance with the design of the PSUs.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2023, Compensia did not provide any services to us other than the consulting services to the Compensation Committee. The Compensation Committee regularly reviews the objectivity and independence of the advice provided by its compensation consultant on executive compensation. In 2023, the Compensation Committee considered the six specific independence factors adopted by the SEC and reflected in the NYSE listing standards and determined that the work performed by Compensia did not raise any conflicts of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Elements of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making decisions regarding the pay of the named executive officers, the Compensation Committee looks to set a total compensation package for each officer that will retain high-quality talent and motivate the officer to achieve the goals set by our Board. Our executive compensation package is generally comprised of the following elements: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0"/>
        <w:gridCol w:w="60"/>
        <w:gridCol w:w="5270"/>
        <w:gridCol w:w="120"/>
        <w:gridCol w:w="3315"/>
      </w:tblGrid>
      <w:tr>
        <w:trPr/>
        <w:tc>
          <w:tcPr>
            <w:tcW w:w="1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5" w:type="dxa"/>
            <w:tcBorders/>
            <w:vAlign w:val="center"/>
          </w:tcPr>
          <w:p>
            <w:pPr>
              <w:pStyle w:val="TableContents"/>
              <w:bidi w:val="0"/>
              <w:spacing w:before="0" w:after="283"/>
              <w:jc w:val="left"/>
              <w:rPr>
                <w:sz w:val="4"/>
                <w:szCs w:val="4"/>
              </w:rPr>
            </w:pPr>
            <w:r>
              <w:rPr>
                <w:sz w:val="4"/>
                <w:szCs w:val="4"/>
              </w:rPr>
            </w:r>
          </w:p>
        </w:tc>
      </w:tr>
      <w:tr>
        <w:trPr/>
        <w:tc>
          <w:tcPr>
            <w:tcW w:w="14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Element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Purpose</w:t>
            </w:r>
          </w:p>
        </w:tc>
        <w:tc>
          <w:tcPr>
            <w:tcW w:w="120" w:type="dxa"/>
            <w:tcBorders/>
            <w:vAlign w:val="center"/>
          </w:tcPr>
          <w:p>
            <w:pPr>
              <w:pStyle w:val="TableContents"/>
              <w:bidi w:val="0"/>
              <w:spacing w:before="0" w:after="283"/>
              <w:jc w:val="left"/>
              <w:rPr/>
            </w:pPr>
            <w:r>
              <w:rPr/>
              <w:t>  </w:t>
            </w:r>
          </w:p>
        </w:tc>
        <w:tc>
          <w:tcPr>
            <w:tcW w:w="33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1440" w:type="dxa"/>
            <w:tcBorders/>
            <w:vAlign w:val="center"/>
          </w:tcPr>
          <w:p>
            <w:pPr>
              <w:pStyle w:val="TableContents"/>
              <w:bidi w:val="0"/>
              <w:spacing w:before="0" w:after="283"/>
              <w:jc w:val="left"/>
              <w:rPr/>
            </w:pPr>
            <w:r>
              <w:rPr/>
              <w:t>Annual base salary</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Provides a fixed source of annual cash compensation for our named executive officers.</w:t>
            </w:r>
          </w:p>
        </w:tc>
        <w:tc>
          <w:tcPr>
            <w:tcW w:w="120" w:type="dxa"/>
            <w:tcBorders/>
            <w:vAlign w:val="center"/>
          </w:tcPr>
          <w:p>
            <w:pPr>
              <w:pStyle w:val="TableContents"/>
              <w:bidi w:val="0"/>
              <w:spacing w:before="0" w:after="283"/>
              <w:jc w:val="left"/>
              <w:rPr/>
            </w:pPr>
            <w:r>
              <w:rPr/>
              <w:t>  </w:t>
            </w:r>
          </w:p>
        </w:tc>
        <w:tc>
          <w:tcPr>
            <w:tcW w:w="3315" w:type="dxa"/>
            <w:tcBorders/>
            <w:vAlign w:val="center"/>
          </w:tcPr>
          <w:p>
            <w:pPr>
              <w:pStyle w:val="TableContents"/>
              <w:bidi w:val="0"/>
              <w:spacing w:before="0" w:after="283"/>
              <w:jc w:val="left"/>
              <w:rPr/>
            </w:pPr>
            <w:r>
              <w:rPr/>
              <w:t>Based upon each individual’s skills, experience and performance as well as the criticality of the role.</w:t>
            </w:r>
          </w:p>
        </w:tc>
      </w:tr>
      <w:tr>
        <w:trPr/>
        <w:tc>
          <w:tcPr>
            <w:tcW w:w="1440" w:type="dxa"/>
            <w:tcBorders/>
            <w:vAlign w:val="center"/>
          </w:tcPr>
          <w:p>
            <w:pPr>
              <w:pStyle w:val="TableContents"/>
              <w:bidi w:val="0"/>
              <w:spacing w:before="0" w:after="283"/>
              <w:jc w:val="left"/>
              <w:rPr>
                <w:sz w:val="4"/>
                <w:szCs w:val="4"/>
              </w:rPr>
            </w:pPr>
            <w:r>
              <w:rPr>
                <w:sz w:val="4"/>
                <w:szCs w:val="4"/>
              </w:rPr>
            </w:r>
          </w:p>
        </w:tc>
        <w:tc>
          <w:tcPr>
            <w:tcW w:w="5330" w:type="dxa"/>
            <w:gridSpan w:val="2"/>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1440" w:type="dxa"/>
            <w:tcBorders/>
            <w:vAlign w:val="center"/>
          </w:tcPr>
          <w:p>
            <w:pPr>
              <w:pStyle w:val="TableContents"/>
              <w:bidi w:val="0"/>
              <w:spacing w:before="0" w:after="283"/>
              <w:jc w:val="left"/>
              <w:rPr/>
            </w:pPr>
            <w:r>
              <w:rPr/>
              <w:t>Short-term cash incentives</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Incentivizes achievement of key annual financial, operational and strategic goals.</w:t>
            </w:r>
          </w:p>
        </w:tc>
        <w:tc>
          <w:tcPr>
            <w:tcW w:w="120" w:type="dxa"/>
            <w:tcBorders/>
            <w:vAlign w:val="center"/>
          </w:tcPr>
          <w:p>
            <w:pPr>
              <w:pStyle w:val="TableContents"/>
              <w:bidi w:val="0"/>
              <w:spacing w:before="0" w:after="283"/>
              <w:jc w:val="left"/>
              <w:rPr/>
            </w:pPr>
            <w:r>
              <w:rPr/>
              <w:t>  </w:t>
            </w:r>
          </w:p>
        </w:tc>
        <w:tc>
          <w:tcPr>
            <w:tcW w:w="3315" w:type="dxa"/>
            <w:tcBorders/>
            <w:vAlign w:val="center"/>
          </w:tcPr>
          <w:p>
            <w:pPr>
              <w:pStyle w:val="TableContents"/>
              <w:bidi w:val="0"/>
              <w:spacing w:before="0" w:after="283"/>
              <w:jc w:val="left"/>
              <w:rPr/>
            </w:pPr>
            <w:r>
              <w:rPr/>
              <w:t>Variable cash compensation based on performance.</w:t>
            </w:r>
          </w:p>
        </w:tc>
      </w:tr>
      <w:tr>
        <w:trPr/>
        <w:tc>
          <w:tcPr>
            <w:tcW w:w="1440" w:type="dxa"/>
            <w:tcBorders/>
            <w:vAlign w:val="center"/>
          </w:tcPr>
          <w:p>
            <w:pPr>
              <w:pStyle w:val="TableContents"/>
              <w:bidi w:val="0"/>
              <w:spacing w:before="0" w:after="283"/>
              <w:jc w:val="left"/>
              <w:rPr>
                <w:sz w:val="4"/>
                <w:szCs w:val="4"/>
              </w:rPr>
            </w:pPr>
            <w:r>
              <w:rPr>
                <w:sz w:val="4"/>
                <w:szCs w:val="4"/>
              </w:rPr>
            </w:r>
          </w:p>
        </w:tc>
        <w:tc>
          <w:tcPr>
            <w:tcW w:w="5330" w:type="dxa"/>
            <w:gridSpan w:val="2"/>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1440" w:type="dxa"/>
            <w:tcBorders/>
            <w:vAlign w:val="center"/>
          </w:tcPr>
          <w:p>
            <w:pPr>
              <w:pStyle w:val="TableContents"/>
              <w:bidi w:val="0"/>
              <w:spacing w:before="0" w:after="283"/>
              <w:jc w:val="left"/>
              <w:rPr/>
            </w:pPr>
            <w:r>
              <w:rPr/>
              <w:t>Long-term equity incentives</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Aligns the interests of our named executive officers with those of our stockholders by increasing stock ownership, incentivizing increases in stockholder value and strengthening retention.</w:t>
            </w:r>
          </w:p>
        </w:tc>
        <w:tc>
          <w:tcPr>
            <w:tcW w:w="120" w:type="dxa"/>
            <w:tcBorders/>
            <w:vAlign w:val="center"/>
          </w:tcPr>
          <w:p>
            <w:pPr>
              <w:pStyle w:val="TableContents"/>
              <w:bidi w:val="0"/>
              <w:spacing w:before="0" w:after="283"/>
              <w:jc w:val="left"/>
              <w:rPr/>
            </w:pPr>
            <w:r>
              <w:rPr/>
              <w:t>  </w:t>
            </w:r>
          </w:p>
        </w:tc>
        <w:tc>
          <w:tcPr>
            <w:tcW w:w="3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Variable equity compensation delivered through three vehicles: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Service-based RSUs with a three-year vesting period;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Financial target-based PSUs that are earned based on the achievement of certain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467"/>
        <w:gridCol w:w="60"/>
        <w:gridCol w:w="4192"/>
        <w:gridCol w:w="120"/>
        <w:gridCol w:w="4366"/>
      </w:tblGrid>
      <w:tr>
        <w:trPr/>
        <w:tc>
          <w:tcPr>
            <w:tcW w:w="1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46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Element</w:t>
            </w:r>
          </w:p>
        </w:tc>
        <w:tc>
          <w:tcPr>
            <w:tcW w:w="60" w:type="dxa"/>
            <w:tcBorders/>
            <w:vAlign w:val="center"/>
          </w:tcPr>
          <w:p>
            <w:pPr>
              <w:pStyle w:val="TableContents"/>
              <w:bidi w:val="0"/>
              <w:spacing w:before="0" w:after="283"/>
              <w:jc w:val="left"/>
              <w:rPr/>
            </w:pPr>
            <w:r>
              <w:rPr/>
              <w:t> </w:t>
            </w:r>
          </w:p>
        </w:tc>
        <w:tc>
          <w:tcPr>
            <w:tcW w:w="419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Purpose</w:t>
            </w:r>
          </w:p>
        </w:tc>
        <w:tc>
          <w:tcPr>
            <w:tcW w:w="120" w:type="dxa"/>
            <w:tcBorders/>
            <w:vAlign w:val="center"/>
          </w:tcPr>
          <w:p>
            <w:pPr>
              <w:pStyle w:val="TableContents"/>
              <w:bidi w:val="0"/>
              <w:spacing w:before="0" w:after="283"/>
              <w:jc w:val="left"/>
              <w:rPr/>
            </w:pPr>
            <w:r>
              <w:rPr/>
              <w:t>  </w:t>
            </w:r>
          </w:p>
        </w:tc>
        <w:tc>
          <w:tcPr>
            <w:tcW w:w="436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1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goals over a one-year performance period and that vest over three years; and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Relative total shareholder return PSUs (TSR PSUs) with a three-year performance period.</w:t>
            </w:r>
          </w:p>
        </w:tc>
      </w:tr>
      <w:tr>
        <w:trPr/>
        <w:tc>
          <w:tcPr>
            <w:tcW w:w="1467" w:type="dxa"/>
            <w:tcBorders/>
            <w:vAlign w:val="center"/>
          </w:tcPr>
          <w:p>
            <w:pPr>
              <w:pStyle w:val="TableContents"/>
              <w:bidi w:val="0"/>
              <w:spacing w:before="0" w:after="283"/>
              <w:jc w:val="left"/>
              <w:rPr>
                <w:sz w:val="4"/>
                <w:szCs w:val="4"/>
              </w:rPr>
            </w:pPr>
            <w:r>
              <w:rPr>
                <w:sz w:val="4"/>
                <w:szCs w:val="4"/>
              </w:rPr>
            </w:r>
          </w:p>
        </w:tc>
        <w:tc>
          <w:tcPr>
            <w:tcW w:w="4252" w:type="dxa"/>
            <w:gridSpan w:val="2"/>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r>
      <w:tr>
        <w:trPr/>
        <w:tc>
          <w:tcPr>
            <w:tcW w:w="1467" w:type="dxa"/>
            <w:tcBorders/>
            <w:vAlign w:val="center"/>
          </w:tcPr>
          <w:p>
            <w:pPr>
              <w:pStyle w:val="TableContents"/>
              <w:bidi w:val="0"/>
              <w:spacing w:before="0" w:after="283"/>
              <w:jc w:val="left"/>
              <w:rPr/>
            </w:pPr>
            <w:r>
              <w:rPr/>
              <w:t>Expatriate and other executive benefits</w:t>
            </w:r>
          </w:p>
        </w:tc>
        <w:tc>
          <w:tcPr>
            <w:tcW w:w="60" w:type="dxa"/>
            <w:tcBorders/>
            <w:vAlign w:val="center"/>
          </w:tcPr>
          <w:p>
            <w:pPr>
              <w:pStyle w:val="TableContents"/>
              <w:bidi w:val="0"/>
              <w:spacing w:before="0" w:after="283"/>
              <w:jc w:val="left"/>
              <w:rPr/>
            </w:pPr>
            <w:r>
              <w:rPr/>
              <w:t> </w:t>
            </w:r>
          </w:p>
        </w:tc>
        <w:tc>
          <w:tcPr>
            <w:tcW w:w="4192" w:type="dxa"/>
            <w:tcBorders/>
            <w:vAlign w:val="center"/>
          </w:tcPr>
          <w:p>
            <w:pPr>
              <w:pStyle w:val="TableContents"/>
              <w:bidi w:val="0"/>
              <w:spacing w:before="0" w:after="283"/>
              <w:jc w:val="left"/>
              <w:rPr/>
            </w:pPr>
            <w:r>
              <w:rPr/>
              <w:t>Allows us to remain competitive with peer and market practices and to retain key personnel on expatriate assignments by minimizing adverse financial impacts associated with such assignments.</w:t>
            </w:r>
          </w:p>
        </w:tc>
        <w:tc>
          <w:tcPr>
            <w:tcW w:w="120" w:type="dxa"/>
            <w:tcBorders/>
            <w:vAlign w:val="center"/>
          </w:tcPr>
          <w:p>
            <w:pPr>
              <w:pStyle w:val="TableContents"/>
              <w:bidi w:val="0"/>
              <w:spacing w:before="0" w:after="283"/>
              <w:jc w:val="left"/>
              <w:rPr/>
            </w:pPr>
            <w:r>
              <w:rPr/>
              <w:t>  </w:t>
            </w:r>
          </w:p>
        </w:tc>
        <w:tc>
          <w:tcPr>
            <w:tcW w:w="4366" w:type="dxa"/>
            <w:tcBorders/>
            <w:vAlign w:val="center"/>
          </w:tcPr>
          <w:p>
            <w:pPr>
              <w:pStyle w:val="TableContents"/>
              <w:bidi w:val="0"/>
              <w:spacing w:before="0" w:after="283"/>
              <w:jc w:val="left"/>
              <w:rPr/>
            </w:pPr>
            <w:r>
              <w:rPr/>
              <w:t>Benefits include housing allowances, relocation and repatriation allowances, insurance premiums, reimbursement for the use of a car, home leave flights, tax equalization payments and tax advisory services.</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executives also participate in a health and welfare benefits package that is generally available to all of our employees and are each party to an employment agreement that provides for limited post-employment and change in control payments and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Sources of Market Data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comparing our executive compensation against the competitive market, the Compensation Committee reviews and considers the compensation levels and practices of a group of comparable technology companies. The companies in this compensation peer group were selected on the basis of their similarity to us in size, industry focus and being based in the U.S. We focused on U.S.-based companies because our highest ranking executives are U.S. expatriates who have opportunities to work with U.S.-based technology companies. </w:t>
      </w:r>
    </w:p>
    <w:p>
      <w:pPr>
        <w:pStyle w:val="TextBody"/>
        <w:bidi w:val="0"/>
        <w:spacing w:before="240" w:after="0"/>
        <w:jc w:val="left"/>
        <w:rPr>
          <w:rFonts w:ascii="Times New Roman" w:hAnsi="Times New Roman"/>
          <w:sz w:val="20"/>
        </w:rPr>
      </w:pPr>
      <w:r>
        <w:rPr>
          <w:rFonts w:ascii="Times New Roman" w:hAnsi="Times New Roman"/>
          <w:sz w:val="20"/>
        </w:rPr>
        <w:t xml:space="preserve">Compensia provided the Compensation Committee with an analysis of the prior compensation peers with a recommendation of three companies to exclude based on the companies being acquired or being outside the financial ranges noted below. Compensia also provided three potential additions based on the selection criteria noted below. The Compensation Committee reviewed the proposed changes to our compensation peer group and approved the final group to be used for this year’s analysis. The companies in this compensation peer group were selected on the basis of their similarity to us, based on the following criteria: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 semiconductors; semiconductor equipment and electronic equipment &amp; instruments;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 type — Public companies primarily headquartered in the U.S. and traded on a major U.S. stock exchange;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Similar revenue size — 0.25x – 2.5x Magnachip’s revenue of $443 million ($111 million to $1.1 billion);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capitalization — $50 million to $4 billion;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Executive positions similar in breadth, complexity and/or scope of responsibility; and </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75"/>
        <w:gridCol w:w="110"/>
        <w:gridCol w:w="60"/>
        <w:gridCol w:w="2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Competitors for executive talent.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approved the use of market data from the following group of peer companies, which was reviewed and approved in November 2022, for our 2023 executive compensation market assessment: </w:t>
      </w: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3260"/>
        <w:gridCol w:w="120"/>
        <w:gridCol w:w="2315"/>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283"/>
              <w:jc w:val="left"/>
              <w:rPr/>
            </w:pPr>
            <w:r>
              <w:rPr/>
              <w:t>Alpha and Omega Semiconductor</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Impinj</w:t>
            </w:r>
          </w:p>
        </w:tc>
      </w:tr>
      <w:tr>
        <w:trPr/>
        <w:tc>
          <w:tcPr>
            <w:tcW w:w="3260" w:type="dxa"/>
            <w:tcBorders/>
            <w:vAlign w:val="center"/>
          </w:tcPr>
          <w:p>
            <w:pPr>
              <w:pStyle w:val="TableContents"/>
              <w:bidi w:val="0"/>
              <w:spacing w:before="0" w:after="283"/>
              <w:jc w:val="left"/>
              <w:rPr/>
            </w:pPr>
            <w:r>
              <w:rPr/>
              <w:t>Ambarella</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MaxLinear</w:t>
            </w:r>
          </w:p>
        </w:tc>
      </w:tr>
      <w:tr>
        <w:trPr/>
        <w:tc>
          <w:tcPr>
            <w:tcW w:w="3260" w:type="dxa"/>
            <w:tcBorders/>
            <w:vAlign w:val="center"/>
          </w:tcPr>
          <w:p>
            <w:pPr>
              <w:pStyle w:val="TableContents"/>
              <w:bidi w:val="0"/>
              <w:spacing w:before="0" w:after="283"/>
              <w:jc w:val="left"/>
              <w:rPr/>
            </w:pPr>
            <w:r>
              <w:rPr/>
              <w:t>Arlo Technologies</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Photronics</w:t>
            </w:r>
          </w:p>
        </w:tc>
      </w:tr>
      <w:tr>
        <w:trPr/>
        <w:tc>
          <w:tcPr>
            <w:tcW w:w="3260" w:type="dxa"/>
            <w:tcBorders/>
            <w:vAlign w:val="center"/>
          </w:tcPr>
          <w:p>
            <w:pPr>
              <w:pStyle w:val="TableContents"/>
              <w:bidi w:val="0"/>
              <w:spacing w:before="0" w:after="283"/>
              <w:jc w:val="left"/>
              <w:rPr/>
            </w:pPr>
            <w:r>
              <w:rPr/>
              <w:t>Axcelis Technologies</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Rambus</w:t>
            </w:r>
          </w:p>
        </w:tc>
      </w:tr>
      <w:tr>
        <w:trPr/>
        <w:tc>
          <w:tcPr>
            <w:tcW w:w="3260" w:type="dxa"/>
            <w:tcBorders/>
            <w:vAlign w:val="center"/>
          </w:tcPr>
          <w:p>
            <w:pPr>
              <w:pStyle w:val="TableContents"/>
              <w:bidi w:val="0"/>
              <w:spacing w:before="0" w:after="283"/>
              <w:jc w:val="left"/>
              <w:rPr/>
            </w:pPr>
            <w:r>
              <w:rPr/>
              <w:t>CEVA</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SkyWater Technology</w:t>
            </w:r>
          </w:p>
        </w:tc>
      </w:tr>
      <w:tr>
        <w:trPr/>
        <w:tc>
          <w:tcPr>
            <w:tcW w:w="3260" w:type="dxa"/>
            <w:tcBorders/>
            <w:vAlign w:val="center"/>
          </w:tcPr>
          <w:p>
            <w:pPr>
              <w:pStyle w:val="TableContents"/>
              <w:bidi w:val="0"/>
              <w:spacing w:before="0" w:after="283"/>
              <w:jc w:val="left"/>
              <w:rPr/>
            </w:pPr>
            <w:r>
              <w:rPr/>
              <w:t>Cohu</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Veeco Instruments</w:t>
            </w:r>
          </w:p>
        </w:tc>
      </w:tr>
      <w:tr>
        <w:trPr/>
        <w:tc>
          <w:tcPr>
            <w:tcW w:w="3260" w:type="dxa"/>
            <w:tcBorders/>
            <w:vAlign w:val="center"/>
          </w:tcPr>
          <w:p>
            <w:pPr>
              <w:pStyle w:val="TableContents"/>
              <w:bidi w:val="0"/>
              <w:spacing w:before="0" w:after="283"/>
              <w:jc w:val="left"/>
              <w:rPr/>
            </w:pPr>
            <w:r>
              <w:rPr/>
              <w:t>Credo Technology Grp. Hldg</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Vishay Precision Group</w:t>
            </w:r>
          </w:p>
        </w:tc>
      </w:tr>
      <w:tr>
        <w:trPr/>
        <w:tc>
          <w:tcPr>
            <w:tcW w:w="3260" w:type="dxa"/>
            <w:tcBorders/>
            <w:vAlign w:val="center"/>
          </w:tcPr>
          <w:p>
            <w:pPr>
              <w:pStyle w:val="TableContents"/>
              <w:bidi w:val="0"/>
              <w:spacing w:before="0" w:after="283"/>
              <w:jc w:val="left"/>
              <w:rPr/>
            </w:pPr>
            <w:r>
              <w:rPr/>
              <w:t>Ichor Holdings</w:t>
            </w:r>
          </w:p>
        </w:tc>
        <w:tc>
          <w:tcPr>
            <w:tcW w:w="12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reviews and updates the peer group periodically to ensure that the peer group companies satisfy our selection criteria. As a result of the review of the 2022 peer group, the following updates were made to establish the 2023 peer group: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Diodes was removed due to revenue positioned above the selection criteria range;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DSP Group and NeoPhotonics were removed due to being acquired; and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Arlo Technologies, CEVA, Credo Technology Group Holding were added based on the inclusion criteria.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seeks to establish a total compensation package for our named executive officers that is competitive with the compensation for similarly situated executives in this compensation peer group, while also considering each executive’s experience and performance. Accordingly, the Compensation Committee used the market data from this peer group as a reference point in its 2023 executive compensation process.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Elements of Compensation and Weighting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does not apply a formula or assign relative weight in apportioning compensation among the various elements used. Instead, it makes a subjective determination after considering all information collectively for each element of compensation. </w:t>
      </w:r>
    </w:p>
    <w:p>
      <w:pPr>
        <w:pStyle w:val="TextBody"/>
        <w:bidi w:val="0"/>
        <w:spacing w:before="360" w:after="0"/>
        <w:jc w:val="left"/>
        <w:rPr>
          <w:rFonts w:ascii="Times New Roman" w:hAnsi="Times New Roman"/>
          <w:i/>
          <w:sz w:val="20"/>
        </w:rPr>
      </w:pPr>
      <w:r>
        <w:rPr>
          <w:rFonts w:ascii="Times New Roman" w:hAnsi="Times New Roman"/>
          <w:i/>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seeks to set the base salaries of our named executive officers at competitive levels as compared to similarly situated executives in our select peer group, but also takes into account the named executive officer’s experience, skill set and the value of that skill set and performance. The Compensation Committee makes a subjective decision regarding any changes in base salary based on these factors and the data from our select peer group. The Compensation Committee does not systematically assign weights to any of the factors it considers, and may, in its discretion, ignore any factors or deem any one factor to have greater importance for a particular executive officer. In light of the business circumstances, base salaries of our named executive officers remained the same without an increase in 2023; furthermore, our CEO voluntarily reduced his 2023 base salary by 10%, and other named executive officers participated in a salary deferral program from November 2022 to October 2023, through which they deferred receipt of 10% of their base salary. The 2023 base salary for each named executive officer is set forth below.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1865"/>
        <w:gridCol w:w="120"/>
        <w:gridCol w:w="262"/>
        <w:gridCol w:w="1498"/>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 Base Salary</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498" w:type="dxa"/>
            <w:tcBorders/>
            <w:shd w:fill="CCEEFF" w:val="clear"/>
            <w:vAlign w:val="center"/>
          </w:tcPr>
          <w:p>
            <w:pPr>
              <w:pStyle w:val="TableContents"/>
              <w:bidi w:val="0"/>
              <w:spacing w:before="0" w:after="283"/>
              <w:jc w:val="right"/>
              <w:rPr/>
            </w:pPr>
            <w:r>
              <w:rPr/>
              <w:t>502,819</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498" w:type="dxa"/>
            <w:tcBorders/>
            <w:vAlign w:val="center"/>
          </w:tcPr>
          <w:p>
            <w:pPr>
              <w:pStyle w:val="TableContents"/>
              <w:bidi w:val="0"/>
              <w:spacing w:before="0" w:after="283"/>
              <w:jc w:val="right"/>
              <w:rPr/>
            </w:pPr>
            <w:r>
              <w:rPr/>
              <w:t>284,497</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498" w:type="dxa"/>
            <w:tcBorders/>
            <w:shd w:fill="CCEEFF" w:val="clear"/>
            <w:vAlign w:val="center"/>
          </w:tcPr>
          <w:p>
            <w:pPr>
              <w:pStyle w:val="TableContents"/>
              <w:bidi w:val="0"/>
              <w:spacing w:before="0" w:after="283"/>
              <w:jc w:val="right"/>
              <w:rPr/>
            </w:pPr>
            <w:r>
              <w:rPr/>
              <w:t>349,118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498" w:type="dxa"/>
            <w:tcBorders/>
            <w:vAlign w:val="center"/>
          </w:tcPr>
          <w:p>
            <w:pPr>
              <w:pStyle w:val="TableContents"/>
              <w:bidi w:val="0"/>
              <w:spacing w:before="0" w:after="283"/>
              <w:jc w:val="right"/>
              <w:rPr/>
            </w:pPr>
            <w:r>
              <w:rPr/>
              <w:t>271,931</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498" w:type="dxa"/>
            <w:tcBorders/>
            <w:shd w:fill="CCEEFF" w:val="clear"/>
            <w:vAlign w:val="center"/>
          </w:tcPr>
          <w:p>
            <w:pPr>
              <w:pStyle w:val="TableContents"/>
              <w:bidi w:val="0"/>
              <w:spacing w:before="0" w:after="283"/>
              <w:jc w:val="right"/>
              <w:rPr/>
            </w:pPr>
            <w:r>
              <w:rPr/>
              <w:t>335,751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Short-Term Cash Incentives </w:t>
      </w:r>
    </w:p>
    <w:p>
      <w:pPr>
        <w:pStyle w:val="TextBody"/>
        <w:bidi w:val="0"/>
        <w:spacing w:before="120" w:after="0"/>
        <w:jc w:val="left"/>
        <w:rPr>
          <w:rFonts w:ascii="Times New Roman" w:hAnsi="Times New Roman"/>
          <w:sz w:val="20"/>
        </w:rPr>
      </w:pPr>
      <w:r>
        <w:rPr>
          <w:rFonts w:ascii="Times New Roman" w:hAnsi="Times New Roman"/>
          <w:sz w:val="20"/>
        </w:rPr>
        <w:t xml:space="preserve">We have been providing short-term cash incentive opportunities to encourage our named executive officers to achieve certain short-term corporate performance goals. The employment agreement that each of our named executive officers has entered into includes a target bonus amount, which is expressed as a percentage of base salary. In 2023, the Compensation Committee increased the target annual incentive as a percentage of base salary for our CFO from 50% to 75% of base salary, to better align our CFO’s compensation with the market as well as align compensation internally among executives of the same level.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typically makes annual determinations regarding short-term cash incentive compensation based on various performance-related factors, including our annual operating plan, which is generally adopted in the December preceding each fiscal year. The Compensation Committee also considers for each year the cash bonus payout percentage earned by our non-executive employees pursuant to the terms of the collective bargaining agreement entered into by our Korean operating subsidiary, Magnachip Semiconductor, Ltd. (“MSK”), which agreement provides that the annual cash bonus budget for all non-executive employees shall be 10% of MSK’s operating income for each applicable year. The Compensation Committee’s annual determination regarding short-term cash incentive compensation for our executives, including our named executives officers, is conducted generally with a view toward applying a payout percentage (applicable to the target bonus amount) to our executives that is similar to, or commensurate with, that determined under the applicable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For 2023, the Compensation Committee determined that the payout percentage of short-term cash incentive compensation for our executives would be 0%, as the Company did not meet the threshold financial target. </w:t>
      </w:r>
    </w:p>
    <w:p>
      <w:pPr>
        <w:pStyle w:val="TextBody"/>
        <w:bidi w:val="0"/>
        <w:spacing w:before="240" w:after="0"/>
        <w:jc w:val="left"/>
        <w:rPr>
          <w:rFonts w:ascii="Times New Roman" w:hAnsi="Times New Roman"/>
          <w:sz w:val="20"/>
        </w:rPr>
      </w:pPr>
      <w:r>
        <w:rPr>
          <w:rFonts w:ascii="Times New Roman" w:hAnsi="Times New Roman"/>
          <w:sz w:val="20"/>
        </w:rPr>
        <w:t xml:space="preserve">Target bonus as a percentage of base salary, the target bonus amount and the actual amount of 2023 bonus award for each of our named executive officers are set forth below. </w:t>
      </w:r>
    </w:p>
    <w:p>
      <w:pPr>
        <w:pStyle w:val="TextBody"/>
        <w:bidi w:val="0"/>
        <w:spacing w:before="0" w:after="0"/>
        <w:jc w:val="left"/>
        <w:rPr/>
      </w:pPr>
      <w:r>
        <w:rPr/>
        <w:t> </w:t>
      </w:r>
    </w:p>
    <w:tbl>
      <w:tblPr>
        <w:tblW w:w="6405" w:type="dxa"/>
        <w:jc w:val="left"/>
        <w:tblInd w:w="0" w:type="dxa"/>
        <w:tblLayout w:type="fixed"/>
        <w:tblCellMar>
          <w:top w:w="0" w:type="dxa"/>
          <w:left w:w="0" w:type="dxa"/>
          <w:bottom w:w="0" w:type="dxa"/>
          <w:right w:w="0" w:type="dxa"/>
        </w:tblCellMar>
      </w:tblPr>
      <w:tblGrid>
        <w:gridCol w:w="1865"/>
        <w:gridCol w:w="120"/>
        <w:gridCol w:w="192"/>
        <w:gridCol w:w="1223"/>
        <w:gridCol w:w="275"/>
        <w:gridCol w:w="60"/>
        <w:gridCol w:w="210"/>
        <w:gridCol w:w="1205"/>
        <w:gridCol w:w="200"/>
        <w:gridCol w:w="120"/>
        <w:gridCol w:w="430"/>
        <w:gridCol w:w="430"/>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 Bonus</w:t>
              <w:br/>
              <w:t>(% of Base</w:t>
              <w:br/>
              <w:t>Salary)</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Target Bonus</w:t>
            </w:r>
            <w:r>
              <w:rPr/>
              <w:br/>
            </w:r>
            <w:r>
              <w:rPr>
                <w:b/>
              </w:rPr>
              <w:t>Amount</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Actual</w:t>
            </w:r>
            <w:r>
              <w:rPr/>
              <w:br/>
            </w:r>
            <w:r>
              <w:rPr>
                <w:b/>
              </w:rPr>
              <w:t>Amount</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560,100</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232,500</w:t>
            </w:r>
          </w:p>
        </w:tc>
        <w:tc>
          <w:tcPr>
            <w:tcW w:w="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w:t>
            </w:r>
          </w:p>
        </w:tc>
        <w:tc>
          <w:tcPr>
            <w:tcW w:w="43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262,500</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163,159</w:t>
            </w:r>
          </w:p>
        </w:tc>
        <w:tc>
          <w:tcPr>
            <w:tcW w:w="200"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w:t>
            </w:r>
          </w:p>
        </w:tc>
        <w:tc>
          <w:tcPr>
            <w:tcW w:w="43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168,300</w:t>
            </w:r>
          </w:p>
        </w:tc>
        <w:tc>
          <w:tcPr>
            <w:tcW w:w="20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Target bonus amount remained the same as in the prior year, with the difference in prior disclosure relating to fluctuation in exchange rates.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Long-Term Equity Incentives </w:t>
      </w:r>
    </w:p>
    <w:p>
      <w:pPr>
        <w:pStyle w:val="TextBody"/>
        <w:bidi w:val="0"/>
        <w:spacing w:before="120" w:after="0"/>
        <w:jc w:val="left"/>
        <w:rPr>
          <w:rFonts w:ascii="Times New Roman" w:hAnsi="Times New Roman"/>
          <w:sz w:val="20"/>
        </w:rPr>
      </w:pPr>
      <w:r>
        <w:rPr>
          <w:rFonts w:ascii="Times New Roman" w:hAnsi="Times New Roman"/>
          <w:sz w:val="20"/>
        </w:rPr>
        <w:t xml:space="preserve">Equity awards are not tied to base salary or cash incentive amounts and constitute lesser or greater proportions of total compensation for each executive depending on market practices and the Compensation Committee’s determination of target grant values. The Compensation Committee, relying on the professional and market experience of our Compensation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 The Compensation Committee does not target a specific percentile within our peer group with respect to equity-based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Compensation Committee’s desire to provide compensation that is largely “at risk” while still competitive with our peers with whom we compete for talent, our equity compensation program for our named executive officers includes PSUs each year along with RSUs. The Compensation Committee believes that the inclusion of PSUs in our executive compensation program is consistent with, explicitly linked to, and supports our strategic objective of enhancing stockholder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2022, consistent with aligning our named executive officers’ interests with sustained value creation, the Compensation Committee determined that it was appropriate to switch from one-year vesting to three year vesting with respect to our annual Financial PSU awards. This switch would have caused a “lag” in the realizable value of the Financial PSUs that could be recognized by the grantees in the first two years the 2022 award was to be outstanding. To avoid that lag, the Compensation Committee determined that each 2022 Financial PSU award should include a special grant of “make-whole” Financial PSUs, with a shorter one-year vesting period (“Make-Whole Financial PSUs”), in addition to the Financial PSUs vesting over a three year period. As a result, in 2022 each grantee was granted Make-Whole Financial PSUs as part of each Financial PSU award, with the number of the Make-Whole Financial PSUs equal to two thirds (2/3) of the total number of Financial PSUs that were originally intended for that grantee. In addition, in 2023 each grantee was granted Make-Whole Financial PSUs as part of each Financial PSU award, with the number of the Make-Whole Financial PSUs equal to one third (1/3) of the total number of Financial PSUs that were originally intended for that grantee, as further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order for any PSUs to be earned and vest, the performance must meet or exceed a threshold level of performance during the applicable performance period, and the level of achievement of the applicable performance milestones will be determined by the Compensation Committee within 60 days following the end of the applicable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named executive officer is terminated without cause or resigns for good reason in each case not in connection with a “change in control” prior to the settlement of the award, the named executive officer will remain eligible to vest in a pro-rata portion of the award on the Certification Date, based on the number of full months the executive officer provided continuous service through the applicable performance period (the “Continued Service Condition”). </w:t>
      </w:r>
    </w:p>
    <w:p>
      <w:pPr>
        <w:pStyle w:val="TextBody"/>
        <w:bidi w:val="0"/>
        <w:spacing w:before="240" w:after="0"/>
        <w:jc w:val="left"/>
        <w:rPr>
          <w:rFonts w:ascii="Times New Roman" w:hAnsi="Times New Roman"/>
          <w:sz w:val="20"/>
        </w:rPr>
      </w:pPr>
      <w:r>
        <w:rPr>
          <w:rFonts w:ascii="Times New Roman" w:hAnsi="Times New Roman"/>
          <w:sz w:val="20"/>
        </w:rPr>
        <w:t xml:space="preserve">The general terms of the equity awards contemplated by our 2023 executive compensation program are summarized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7"/>
        <w:gridCol w:w="120"/>
        <w:gridCol w:w="4776"/>
        <w:gridCol w:w="120"/>
        <w:gridCol w:w="3172"/>
      </w:tblGrid>
      <w:tr>
        <w:trPr/>
        <w:tc>
          <w:tcPr>
            <w:tcW w:w="20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r>
      <w:tr>
        <w:trPr/>
        <w:tc>
          <w:tcPr>
            <w:tcW w:w="201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Service-Based RSUs</w:t>
            </w:r>
          </w:p>
        </w:tc>
        <w:tc>
          <w:tcPr>
            <w:tcW w:w="120" w:type="dxa"/>
            <w:tcBorders/>
            <w:vAlign w:val="center"/>
          </w:tcPr>
          <w:p>
            <w:pPr>
              <w:pStyle w:val="TableContents"/>
              <w:bidi w:val="0"/>
              <w:spacing w:before="0" w:after="283"/>
              <w:jc w:val="left"/>
              <w:rPr/>
            </w:pPr>
            <w:r>
              <w:rPr/>
              <w:t>  </w:t>
            </w:r>
          </w:p>
        </w:tc>
        <w:tc>
          <w:tcPr>
            <w:tcW w:w="477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Financial PSUs</w:t>
            </w:r>
          </w:p>
        </w:tc>
        <w:tc>
          <w:tcPr>
            <w:tcW w:w="120" w:type="dxa"/>
            <w:tcBorders/>
            <w:vAlign w:val="center"/>
          </w:tcPr>
          <w:p>
            <w:pPr>
              <w:pStyle w:val="TableContents"/>
              <w:bidi w:val="0"/>
              <w:spacing w:before="0" w:after="283"/>
              <w:jc w:val="left"/>
              <w:rPr/>
            </w:pPr>
            <w:r>
              <w:rPr/>
              <w:t>  </w:t>
            </w:r>
          </w:p>
        </w:tc>
        <w:tc>
          <w:tcPr>
            <w:tcW w:w="317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TSR PSUs</w:t>
            </w:r>
          </w:p>
        </w:tc>
      </w:tr>
      <w:tr>
        <w:trPr/>
        <w:tc>
          <w:tcPr>
            <w:tcW w:w="2017" w:type="dxa"/>
            <w:tcBorders/>
            <w:vAlign w:val="center"/>
          </w:tcPr>
          <w:p>
            <w:pPr>
              <w:pStyle w:val="TableContents"/>
              <w:bidi w:val="0"/>
              <w:spacing w:before="0" w:after="0"/>
              <w:jc w:val="left"/>
              <w:rPr/>
            </w:pPr>
            <w:r>
              <w:rPr/>
              <w:t>•   </w:t>
            </w:r>
            <w:r>
              <w:rPr>
                <w:rFonts w:ascii="Times New Roman" w:hAnsi="Times New Roman"/>
                <w:sz w:val="20"/>
              </w:rPr>
              <w:t>Vest over three years in three equal annual installments, subject to the executive’s continued employment through each applicable vesting date.</w:t>
            </w:r>
          </w:p>
        </w:tc>
        <w:tc>
          <w:tcPr>
            <w:tcW w:w="120" w:type="dxa"/>
            <w:tcBorders/>
            <w:vAlign w:val="center"/>
          </w:tcPr>
          <w:p>
            <w:pPr>
              <w:pStyle w:val="TableContents"/>
              <w:bidi w:val="0"/>
              <w:spacing w:before="0" w:after="283"/>
              <w:jc w:val="left"/>
              <w:rPr/>
            </w:pPr>
            <w:r>
              <w:rPr/>
              <w:t>  </w:t>
            </w:r>
          </w:p>
        </w:tc>
        <w:tc>
          <w:tcPr>
            <w:tcW w:w="4776" w:type="dxa"/>
            <w:tcBorders/>
            <w:vAlign w:val="center"/>
          </w:tcPr>
          <w:p>
            <w:pPr>
              <w:pStyle w:val="TableContents"/>
              <w:bidi w:val="0"/>
              <w:spacing w:before="0" w:after="0"/>
              <w:jc w:val="left"/>
              <w:rPr/>
            </w:pPr>
            <w:r>
              <w:rPr/>
              <w:t>•   </w:t>
            </w:r>
            <w:r>
              <w:rPr>
                <w:rFonts w:ascii="Times New Roman" w:hAnsi="Times New Roman"/>
                <w:sz w:val="20"/>
              </w:rPr>
              <w:t>Annual grants with one-year performance period. Vesting is based on (i) the achievement of financial goals that measure our performance against our business strategy, with specific performance goals established by the Compensation Committee annually, and (ii) satisfaction of the Continued Service Condition through each applicable date in the following vesting schedule: 1/3 of Vestable Units on the Certification Date; 1/3 of Vestable Units on December 31, 2024; and 1/3 of Vestable Units on December 31, 2025(1).</w:t>
            </w:r>
          </w:p>
        </w:tc>
        <w:tc>
          <w:tcPr>
            <w:tcW w:w="12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left"/>
              <w:rPr/>
            </w:pPr>
            <w:r>
              <w:rPr/>
              <w:t>•   </w:t>
            </w:r>
            <w:r>
              <w:rPr>
                <w:rFonts w:ascii="Times New Roman" w:hAnsi="Times New Roman"/>
                <w:sz w:val="20"/>
              </w:rPr>
              <w:t>Annual grants with three-year performance period.</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Performance is measured within 60 days of the end of the three-year performance period.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Vesting is based on three-year TSR of the Company relative to other entities in the S&amp;P Semiconductor Index, determined by the percentile rank of the Company’s TSR relative to the TSR of each other entity in such index, subject to the satisfaction of the Continued Service Condition.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312"/>
        <w:gridCol w:w="120"/>
        <w:gridCol w:w="8017"/>
        <w:gridCol w:w="120"/>
        <w:gridCol w:w="636"/>
      </w:tblGrid>
      <w:tr>
        <w:trPr/>
        <w:tc>
          <w:tcPr>
            <w:tcW w:w="1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3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Service-Based RSUs</w:t>
            </w:r>
          </w:p>
        </w:tc>
        <w:tc>
          <w:tcPr>
            <w:tcW w:w="120" w:type="dxa"/>
            <w:tcBorders/>
            <w:vAlign w:val="center"/>
          </w:tcPr>
          <w:p>
            <w:pPr>
              <w:pStyle w:val="TableContents"/>
              <w:bidi w:val="0"/>
              <w:spacing w:before="0" w:after="283"/>
              <w:jc w:val="left"/>
              <w:rPr/>
            </w:pPr>
            <w:r>
              <w:rPr/>
              <w:t>  </w:t>
            </w:r>
          </w:p>
        </w:tc>
        <w:tc>
          <w:tcPr>
            <w:tcW w:w="801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Financial PSUs</w:t>
            </w:r>
          </w:p>
        </w:tc>
        <w:tc>
          <w:tcPr>
            <w:tcW w:w="120" w:type="dxa"/>
            <w:tcBorders/>
            <w:vAlign w:val="center"/>
          </w:tcPr>
          <w:p>
            <w:pPr>
              <w:pStyle w:val="TableContents"/>
              <w:bidi w:val="0"/>
              <w:spacing w:before="0" w:after="283"/>
              <w:jc w:val="left"/>
              <w:rPr/>
            </w:pPr>
            <w:r>
              <w:rPr/>
              <w:t>  </w:t>
            </w:r>
          </w:p>
        </w:tc>
        <w:tc>
          <w:tcPr>
            <w:tcW w:w="6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TSR PSUs</w:t>
            </w:r>
          </w:p>
        </w:tc>
      </w:tr>
      <w:tr>
        <w:trPr/>
        <w:tc>
          <w:tcPr>
            <w:tcW w:w="1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17"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For 2023, performance goals are based on revenue (1/3 weighting), gross profit margin (1/3 weighting) and Adjusted EBITDA (1/3 weighting).(2)</w:t>
            </w:r>
          </w:p>
        </w:tc>
        <w:tc>
          <w:tcPr>
            <w:tcW w:w="12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described above, Make-Whole Financial PSUs have a one-year vesting period, with the entire amount vesting on the Certification Date, provided that the other conditions of vesting have been met. As a result, including the Make-Whole Financial PSUs, 50% of the 2023 Financial PSUs were eligible to vest on the Certification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pPr>
            <w:r>
              <w:rPr/>
              <w:t>“</w:t>
            </w:r>
            <w:r>
              <w:rPr>
                <w:rFonts w:ascii="Times New Roman" w:hAnsi="Times New Roman"/>
                <w:sz w:val="20"/>
              </w:rPr>
              <w:t xml:space="preserve">Adjusted EBITDA” means EBITDA (as defined below) adjusted to exclude (i) equity-based compensation expense, (ii) foreign currency loss (gain), net, (iii) derivative valuation loss (gain), net, and (iv) various non-recurring expense (income), net. “EBITDA” is defined as the Company’s net income (loss) before interest income, interest expense, income tax expense (benefit), and depreciation and amortization.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2023, the Compensation Committee increased the target grant value of our CEO’s and CCO’s equity grants as compared to prior years in order to address the limited retention value of their existing unvested equity awards relative to their fully vested equity awards.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tables summarize the RSUs, Financial PSUs, and TSR PSUs granted to each of the named executive officers of the Company in 2023. </w:t>
      </w:r>
    </w:p>
    <w:p>
      <w:pPr>
        <w:pStyle w:val="TextBody"/>
        <w:bidi w:val="0"/>
        <w:spacing w:before="0" w:after="0"/>
        <w:jc w:val="left"/>
        <w:rPr/>
      </w:pPr>
      <w:r>
        <w:rPr/>
        <w:t> </w:t>
      </w:r>
    </w:p>
    <w:tbl>
      <w:tblPr>
        <w:tblW w:w="8124" w:type="dxa"/>
        <w:jc w:val="left"/>
        <w:tblInd w:w="0" w:type="dxa"/>
        <w:tblLayout w:type="fixed"/>
        <w:tblCellMar>
          <w:top w:w="0" w:type="dxa"/>
          <w:left w:w="0" w:type="dxa"/>
          <w:bottom w:w="0" w:type="dxa"/>
          <w:right w:w="0" w:type="dxa"/>
        </w:tblCellMar>
      </w:tblPr>
      <w:tblGrid>
        <w:gridCol w:w="1430"/>
        <w:gridCol w:w="120"/>
        <w:gridCol w:w="60"/>
        <w:gridCol w:w="1114"/>
        <w:gridCol w:w="60"/>
        <w:gridCol w:w="120"/>
        <w:gridCol w:w="364"/>
        <w:gridCol w:w="1456"/>
        <w:gridCol w:w="60"/>
        <w:gridCol w:w="120"/>
        <w:gridCol w:w="61"/>
        <w:gridCol w:w="814"/>
        <w:gridCol w:w="60"/>
        <w:gridCol w:w="120"/>
        <w:gridCol w:w="120"/>
        <w:gridCol w:w="197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RSUs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FV of 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br/>
              <w:t>Granted</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fair value</w:t>
              <w:br/>
              <w:t>of grant date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10.27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151,126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1,552,064</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02/16/2023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283"/>
              <w:jc w:val="right"/>
              <w:rPr/>
            </w:pPr>
            <w:r>
              <w:rPr/>
              <w:t>10.27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37,523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right"/>
              <w:rPr/>
            </w:pPr>
            <w:r>
              <w:rPr/>
              <w:t>385,361</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10.27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79,268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814,082</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03/23/2023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283"/>
              <w:jc w:val="right"/>
              <w:rPr/>
            </w:pPr>
            <w:r>
              <w:rPr/>
              <w:t>9.19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29,250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right"/>
              <w:rPr/>
            </w:pPr>
            <w:r>
              <w:rPr/>
              <w:t>268,808</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03/23/2023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9.19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114,875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979" w:type="dxa"/>
        <w:jc w:val="left"/>
        <w:tblInd w:w="0" w:type="dxa"/>
        <w:tblLayout w:type="fixed"/>
        <w:tblCellMar>
          <w:top w:w="0" w:type="dxa"/>
          <w:left w:w="0" w:type="dxa"/>
          <w:bottom w:w="0" w:type="dxa"/>
          <w:right w:w="0" w:type="dxa"/>
        </w:tblCellMar>
      </w:tblPr>
      <w:tblGrid>
        <w:gridCol w:w="1430"/>
        <w:gridCol w:w="120"/>
        <w:gridCol w:w="60"/>
        <w:gridCol w:w="1114"/>
        <w:gridCol w:w="60"/>
        <w:gridCol w:w="120"/>
        <w:gridCol w:w="73"/>
        <w:gridCol w:w="1207"/>
        <w:gridCol w:w="60"/>
        <w:gridCol w:w="120"/>
        <w:gridCol w:w="86"/>
        <w:gridCol w:w="984"/>
        <w:gridCol w:w="60"/>
        <w:gridCol w:w="120"/>
        <w:gridCol w:w="72"/>
        <w:gridCol w:w="968"/>
        <w:gridCol w:w="60"/>
        <w:gridCol w:w="120"/>
        <w:gridCol w:w="74"/>
        <w:gridCol w:w="996"/>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8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FV of Grant</w:t>
              <w:br/>
              <w:t>Date ($) (at</w:t>
              <w:br/>
              <w:t>Target)</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4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Financial PSUs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8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Threshold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Target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Maximum</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8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1,747,502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85,079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170,156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255,235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02/16/2023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359,666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17,511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35,021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52,532</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417,486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20,326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40,651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60,977</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03/23/2023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137,850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22,500</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03/23/2023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107,220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5,834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11,667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17,501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979" w:type="dxa"/>
        <w:jc w:val="left"/>
        <w:tblInd w:w="0" w:type="dxa"/>
        <w:tblLayout w:type="fixed"/>
        <w:tblCellMar>
          <w:top w:w="0" w:type="dxa"/>
          <w:left w:w="0" w:type="dxa"/>
          <w:bottom w:w="0" w:type="dxa"/>
          <w:right w:w="0" w:type="dxa"/>
        </w:tblCellMar>
      </w:tblPr>
      <w:tblGrid>
        <w:gridCol w:w="1430"/>
        <w:gridCol w:w="120"/>
        <w:gridCol w:w="60"/>
        <w:gridCol w:w="1114"/>
        <w:gridCol w:w="60"/>
        <w:gridCol w:w="120"/>
        <w:gridCol w:w="89"/>
        <w:gridCol w:w="1191"/>
        <w:gridCol w:w="60"/>
        <w:gridCol w:w="120"/>
        <w:gridCol w:w="86"/>
        <w:gridCol w:w="984"/>
        <w:gridCol w:w="60"/>
        <w:gridCol w:w="120"/>
        <w:gridCol w:w="84"/>
        <w:gridCol w:w="956"/>
        <w:gridCol w:w="60"/>
        <w:gridCol w:w="120"/>
        <w:gridCol w:w="86"/>
        <w:gridCol w:w="984"/>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8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FV of Grant</w:t>
              <w:br/>
              <w:t>Date ($) (at</w:t>
              <w:br/>
              <w:t>Target)</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4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TSR PSUs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8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Threshold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Target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Maximum</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8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586,335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28,546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57,092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85,638</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02/16/2023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115,609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5,629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11,257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16,886</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125,243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6,098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12,195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18,293</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03/23/2023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41,355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4,500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6,750</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03/23/2023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34,463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5,625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Vesting of the Financial PSUs granted in 2023 was based on the actual level of achievement for three corporate financial performance metrics—revenue, gross profit margin and Adjusted EBITDA. Achievement at or above the maximum level of achievement for each performance goal would result in a maximum payout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150% of the portion of the named executive officer’s target level award attributable to that performance goal, while achievement below the threshold level of achievement for each performance goal would result in no payout for the portion of the named executive officer’s target level award attributable to that performance goal.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the Compensation Committee determined that the 2023 Financial PSUs were to be forfeited, as the Company did not achieve the threshold level of achievement for any of the three performance goals. As a result, Financial PSUs granted in 2023 covering the following number of shares of our Common Stock were forfeited by our named executive officers: Mr. YJ Kim—170,156, 42,539 of which are Make-Whole PSUs; Ms. SY Park—35,021, 8,755 of which are Make-Whole PSUs; Mr. T. Kim—40,651, 10,163 of which are Make-Whole PSUs; Mr. WM Lee—15,000, 3,750 of which are Make-Whole PSUs; and Mr. CH Park—11,667, 2,917 of which are Make-Whole PSUs.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goals and weighting, and the level of achievement for the Financial PSUs granted in 2023 are as follows: </w:t>
      </w:r>
    </w:p>
    <w:p>
      <w:pPr>
        <w:pStyle w:val="TextBody"/>
        <w:bidi w:val="0"/>
        <w:spacing w:before="0" w:after="0"/>
        <w:jc w:val="left"/>
        <w:rPr/>
      </w:pPr>
      <w:r>
        <w:rPr/>
        <w:t> </w:t>
      </w:r>
    </w:p>
    <w:tbl>
      <w:tblPr>
        <w:tblW w:w="11400" w:type="dxa"/>
        <w:jc w:val="left"/>
        <w:tblInd w:w="0" w:type="dxa"/>
        <w:tblLayout w:type="fixed"/>
        <w:tblCellMar>
          <w:top w:w="0" w:type="dxa"/>
          <w:left w:w="0" w:type="dxa"/>
          <w:bottom w:w="0" w:type="dxa"/>
          <w:right w:w="0" w:type="dxa"/>
        </w:tblCellMar>
      </w:tblPr>
      <w:tblGrid>
        <w:gridCol w:w="980"/>
        <w:gridCol w:w="60"/>
        <w:gridCol w:w="103"/>
        <w:gridCol w:w="967"/>
        <w:gridCol w:w="275"/>
        <w:gridCol w:w="60"/>
        <w:gridCol w:w="214"/>
        <w:gridCol w:w="856"/>
        <w:gridCol w:w="275"/>
        <w:gridCol w:w="60"/>
        <w:gridCol w:w="142"/>
        <w:gridCol w:w="568"/>
        <w:gridCol w:w="275"/>
        <w:gridCol w:w="60"/>
        <w:gridCol w:w="214"/>
        <w:gridCol w:w="856"/>
        <w:gridCol w:w="275"/>
        <w:gridCol w:w="60"/>
        <w:gridCol w:w="268"/>
        <w:gridCol w:w="1072"/>
        <w:gridCol w:w="275"/>
        <w:gridCol w:w="60"/>
        <w:gridCol w:w="221"/>
        <w:gridCol w:w="1179"/>
        <w:gridCol w:w="275"/>
        <w:gridCol w:w="60"/>
        <w:gridCol w:w="221"/>
        <w:gridCol w:w="1179"/>
        <w:gridCol w:w="290"/>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Performance Metrics</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Goal</w:t>
              <w:br/>
              <w:t>Weighting</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br/>
              <w:t>Achievement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 Ratio</w:t>
              <w:br/>
              <w:t>by Category</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Weighed</w:t>
              <w:br/>
              <w:t>Vesting Ratio</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(in millions)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332.8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339.5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358.7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195.7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Margin (as % of revenue)</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33.33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27.9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29.4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26.5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(in millions)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13.0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24.2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performance metric of the 2023 TSR PSUs is the three-year TSR relative to the S&amp;P Semiconductor Index. In structuring the relative TSR calculation and selecting the index, the Compensation Committee wanted to compare our stock price performance to that of a large, steady-state sampling of semiconductor companies on a basis designed to eliminate any short-term aberrations in stock price at the start or at the end of the performance period. The TSR payout percentage is represented by three performance levels: “Threshold,” “Target,” and “Maximum”. For the 2023 TSR PSUs, the Compensation Committee eliminated the “Supermaximum” level of achievement that was included in TSR PSUs in prior years, and instead the maximum possible payout for the 2023 TSR PSUs is 150%, which is earned for performance at or above the market 75th percentile.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performance period applicable to the TSR PSUs granted in 2021 (the “2021 TSR PSUs”) ended. The payout percentage applicable to the 2021 TSR PSUs is represented by four performance levels, “Threshold,” “Target,” “Maximum,” and “Supermaximum.” Supermaximum is achieved only if Magnachip ranks first in the S&amp;P Semiconductor Index. In February 2024, based on such performance metric, the Compensation Committee determined that the vesting percentage of the 2021 TSR PSUs to be 0%, as the Company recorded a TSR of -48.25% for the performance period, placing it at the 9th percentile within the S&amp;P Semiconductor Index, which was below the achievement threshold of the 35th percentile. As a result, TSR PSUs covering the following number of shares of our Common Stock were forfeited by our named executive officers: Mr. YJ Kim—26,126; Ms. SY Park—2,013; Mr. T. Kim—6,541; Mr. WM Lee—3,524; and Mr. CH Park—1,510. </w:t>
      </w:r>
    </w:p>
    <w:p>
      <w:pPr>
        <w:pStyle w:val="TextBody"/>
        <w:bidi w:val="0"/>
        <w:spacing w:before="360" w:after="0"/>
        <w:jc w:val="left"/>
        <w:rPr>
          <w:rFonts w:ascii="Times New Roman" w:hAnsi="Times New Roman"/>
          <w:i/>
          <w:sz w:val="20"/>
        </w:rPr>
      </w:pPr>
      <w:r>
        <w:rPr>
          <w:rFonts w:ascii="Times New Roman" w:hAnsi="Times New Roman"/>
          <w:i/>
          <w:sz w:val="20"/>
        </w:rPr>
        <w:t xml:space="preserve">Health and Welfare Benefits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are eligible to participate in our employee benefit plans that are generally provided to all full-time employees, and on the same basis as all of our full-time employees in the country in which they are resident. For Messrs. YJ Kim, T. Kim and CH Park, these benefits included individual health insurance (medical, dental and vision). </w:t>
      </w:r>
    </w:p>
    <w:p>
      <w:pPr>
        <w:pStyle w:val="TextBody"/>
        <w:bidi w:val="0"/>
        <w:spacing w:before="360" w:after="0"/>
        <w:jc w:val="left"/>
        <w:rPr>
          <w:rFonts w:ascii="Times New Roman" w:hAnsi="Times New Roman"/>
          <w:i/>
          <w:sz w:val="20"/>
        </w:rPr>
      </w:pPr>
      <w:r>
        <w:rPr>
          <w:rFonts w:ascii="Times New Roman" w:hAnsi="Times New Roman"/>
          <w:i/>
          <w:sz w:val="20"/>
        </w:rPr>
        <w:t xml:space="preserve">Perquisites and Other Benefits </w:t>
      </w:r>
    </w:p>
    <w:p>
      <w:pPr>
        <w:pStyle w:val="TextBody"/>
        <w:bidi w:val="0"/>
        <w:spacing w:before="120" w:after="0"/>
        <w:jc w:val="left"/>
        <w:rPr>
          <w:rFonts w:ascii="Times New Roman" w:hAnsi="Times New Roman"/>
          <w:sz w:val="20"/>
        </w:rPr>
      </w:pPr>
      <w:r>
        <w:rPr>
          <w:rFonts w:ascii="Times New Roman" w:hAnsi="Times New Roman"/>
          <w:sz w:val="20"/>
        </w:rPr>
        <w:t xml:space="preserve">We provide the named executive officers with perquisites and other benefits, including expatriate benefits, which the Compensation Committee believes are reasonable and consistent with our overall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program to better enable us to attract and retain superior employees for key positions. Generally, perquisites are determined based upon what the Compensation Committee considers to be customary perquisites offered by our select peer group and are not based upon a median cost for specific perquisites or for the perquisites in aggregate. The Compensation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Consistent with the industry practice of hiring key expatriate executives and relocating such executives to a foreign country, like Korea, the provision of expatriate benefits to key expatriate executives allows us to retain key personnel on expatriate assignments and minimize any financial impacts associated with such assignments. </w:t>
      </w:r>
    </w:p>
    <w:p>
      <w:pPr>
        <w:pStyle w:val="TextBody"/>
        <w:bidi w:val="0"/>
        <w:spacing w:before="240" w:after="0"/>
        <w:jc w:val="left"/>
        <w:rPr>
          <w:rFonts w:ascii="Times New Roman" w:hAnsi="Times New Roman"/>
          <w:sz w:val="20"/>
        </w:rPr>
      </w:pPr>
      <w:r>
        <w:rPr>
          <w:rFonts w:ascii="Times New Roman" w:hAnsi="Times New Roman"/>
          <w:sz w:val="20"/>
        </w:rPr>
        <w:t xml:space="preserve">Mr. YJ Kim and Mr. T. Kim were expatriates during 2023 and received expatriate benefits commensurate with market practice in Korea. The Compensation Committee determined the appropriate benefits for each expatriate in accordance with internal policies approved by our Board from time to time, which generally included housing allowances, relocation and repatriation allowances, insurance premiums (including, in addition to health and welfare benefits described above, group personal accident and business travel insurance), reimbursement for the use of a car, home leave flights, tax equalization payments and tax advisory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and Post-Employment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Each of our named executive officers is party to an employment agreement or executive service agreement that provides for certain payments upon termination of the executive’s employment and/or a change in control of the Company and that is intended to align the interests of the executive and stockholders if a transaction were to occur. Please see the section below entitled “Potential Payments Upon Termination or Change in Control” for further discussion of those benefits. We believe that the use of severance arrangements appropriately mitigates some of the risk that exists for executives working in our highly competitive industry and allows the executives to focus on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Recovery Policy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Company adopted a new Compensation Recovery Policy in accordance with the NYSE rules. The Compensation Recovery Policy applies to all incentive-based compensation, which is any compensation provided, directly or indirectly, by the Company that is granted, earned or vested based, in whole or in party, upon the attainment of financial reporting measures, received by executive officers, including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Recovery Policy applies in the case of a financial restatement due to the material noncompliance of the Company with any financial reporting requirement under the securities laws, including any required restatement to correct an error in previously-issued financial statements that is material to the previously-issued financial statements or what would result in a material misstatement if the error were corrected in the current period or left uncorrected in the current period. The Compensation Recovery Policy provides that promptly following such a financial restatement, the Company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computed without regard to any taxes paid. The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Recovery Policy also provides for discretionary recovery of erroneously-earned incentive-based compensation from all other employees, as well as discretionary recovery from executive officers and other employees of all incentive-based compensation and (in the case of intentional or willful misconduct) any other equity-based compensation in the event such executive officer’s or other employee’s act or omission contributed to the circumstances of such financial restatement. The Compensation Committee is responsible for determining the method to recover erroneously awarded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Anti-Hedging and Pledging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the Securities Trading Policy, which applies to all of the directors, officers and employees of the Company, to describe the standards concerning the handling of non-public information relating to the Company and the buying and selling of securities of the Company. The policy prohibits engaging in pledging, short sales and buying or selling puts, calls, options or other derivatives in respect of securities of the Company. The policy also strongly discourages speculative hedging transactions where even long-term hedging transactions that are designed to protect an individual’s investment in Company securities (i.e., the hedge must be for at least twelve (12) months and relate to stock or options held by the individual) are only permitted after being pre-cleared with the Chairman of the Board and the Company’s General Counsel.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Award Grant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an Equity Award Grant Policy. The policy provides that equity awards made in connection with the hiring of a new employee or the promotion of an existing employee will generally be made on a bi-monthly basis, and that, unless the Board, the Compensation Committee, or its delegate determines otherwise, will be effective on the earlier of the 1st or the 15th day of the month during which such grant is approved, or the month immediately following the date on which such grant is approved, as appropriate. In addition, new hire grants will generally become effective at least fourteen days after the date on which an employee’s employment begins. Annual and other equity awards to continuing employees, if made, will generally be made at a meeting of the Board or the Compensation Committee, or its delegate established in advance, and will generally become effective on the earlier of the 1st or the 15th day of the month during which such grant is approved, or of the month immediately following the date on which such grant is approved,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Equity awards denominated in a number of shares will be priced in accordance with the terms of the Company’s 2020 Equity and Incentive Compensation Plan. If a grant of restricted stock or RSUs is denominated in dollars, the number of shares of restricted stock or RSUs subject to such grant will be calculated by dividing the dollar value of the approved award by the volume-weighted average closing market price on the NYSE (or such other market on which the Company’s stock is then principally listed) of one share of the Company’s stock over the trailing 30-day period ending on the last day immediately prior to the grant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Stock Ownership Policy (the “Stock Ownership Policy”) that is applicable to our non-employee directors and executive officers. The Stock Ownership Policy requires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Board hold equity in the Company with a value equal to the lesser of (i) three times his or her then current annual Board and Chairman cash retainer and (ii) three times his or her initial annual Board and Chairman cash retainer paid at the time he or she became subject to the Stock Ownership Policy as the Chairman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Non-employee directors hold equity in the Company with a value equal to the lesser of (i) three times the non-employee director’s annual Board cash retainer and (ii) three times his or her initial annual Board cash retainer paid at the time he or she became subject to the Stock Ownership Policy as a director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owns equity in the Company equal to the lesser of (i) five times his or her then current annual base salary and (ii) five times his or her annual base salary paid at the time he or she became subject to the Stock Ownership Policy as the Chief Executive Officer of the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covered executives own equity in the Company equal to the lesser of (i) two times his or her annual base salary and (ii) two times his or her annual base salary as of the date such individual’s entered into their role that made them subject to the Stock Ownership Policy.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Stock Ownership Policy provides that an individual subject to the policy is required to be in compliance with the minimum equity ownership requirement by the later of the five-year anniversary of the implementation date of the Stock Ownership Policy and the five-year anniversary of such individual’s entrance into their role that made them subject to the Stock Ownership Policy. </w:t>
      </w:r>
    </w:p>
    <w:p>
      <w:pPr>
        <w:pStyle w:val="TextBody"/>
        <w:bidi w:val="0"/>
        <w:spacing w:before="240" w:after="0"/>
        <w:jc w:val="left"/>
        <w:rPr>
          <w:rFonts w:ascii="Times New Roman" w:hAnsi="Times New Roman"/>
          <w:sz w:val="20"/>
        </w:rPr>
      </w:pPr>
      <w:r>
        <w:rPr>
          <w:rFonts w:ascii="Times New Roman" w:hAnsi="Times New Roman"/>
          <w:sz w:val="20"/>
        </w:rPr>
        <w:t xml:space="preserve">The Stock Ownership Policy provides that shares of our Common Stock directly owned by covered executives and directors, vested, but not settled, RSUs, 50% of any vested unexercised options, shares owned jointly with a spouse and shares of our Common Stock held in a trust established by a covered executive or director for the benefit of the such covered executive or director and/or family members will count towards satisfying the minimum equity ownership requirement of the Stock Ownership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 </w:t>
      </w:r>
    </w:p>
    <w:p>
      <w:pPr>
        <w:pStyle w:val="TextBody"/>
        <w:bidi w:val="0"/>
        <w:spacing w:before="480" w:after="0"/>
        <w:jc w:val="center"/>
        <w:rPr>
          <w:rFonts w:ascii="Times New Roman" w:hAnsi="Times New Roman"/>
          <w:b/>
          <w:sz w:val="20"/>
        </w:rPr>
      </w:pPr>
      <w:bookmarkStart w:id="22" w:name="toc784802_20"/>
      <w:bookmarkEnd w:id="22"/>
      <w:r>
        <w:rPr>
          <w:rFonts w:ascii="Times New Roman" w:hAnsi="Times New Roman"/>
          <w:b/>
          <w:sz w:val="20"/>
        </w:rPr>
        <w:t xml:space="preserve">COMPENSATION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has reviewed and discussed the Compensation Discussion and Analysis as set forth above under “Compensation Discussion and Analysis” with our management and, based on such review and discussion, has recommended to our Board that the Compensation Discussion and Analysis be included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report was submitted by the Compensation Committee and shall not be deemed to be “soliciting material” or to be “filed” with the SEC or subject to Regulation 14A promulgated by the SEC or Section 18 of the Exchange Act and shall not be incorporated by reference in any of our other filings under the Securities Act or Exchange Act except to the extent we specifically incorporate this report therein. </w:t>
      </w:r>
    </w:p>
    <w:p>
      <w:pPr>
        <w:pStyle w:val="TextBody"/>
        <w:bidi w:val="0"/>
        <w:spacing w:before="240" w:after="0"/>
        <w:jc w:val="left"/>
        <w:rPr>
          <w:rFonts w:ascii="Times New Roman" w:hAnsi="Times New Roman"/>
          <w:sz w:val="20"/>
        </w:rPr>
      </w:pPr>
      <w:r>
        <w:rPr>
          <w:rFonts w:ascii="Times New Roman" w:hAnsi="Times New Roman"/>
          <w:sz w:val="20"/>
          <w:u w:val="single"/>
        </w:rPr>
        <w:t>Members of the Compensation Committee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Camillo Martino, Chair </w:t>
      </w:r>
    </w:p>
    <w:p>
      <w:pPr>
        <w:pStyle w:val="TextBody"/>
        <w:bidi w:val="0"/>
        <w:spacing w:before="0" w:after="0"/>
        <w:jc w:val="left"/>
        <w:rPr>
          <w:rFonts w:ascii="Times New Roman" w:hAnsi="Times New Roman"/>
          <w:sz w:val="20"/>
        </w:rPr>
      </w:pPr>
      <w:r>
        <w:rPr>
          <w:rFonts w:ascii="Times New Roman" w:hAnsi="Times New Roman"/>
          <w:sz w:val="20"/>
        </w:rPr>
        <w:t xml:space="preserve">Kyo-Hwa (Liz) Chung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3" w:name="toc784802_21"/>
      <w:bookmarkEnd w:id="23"/>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concerning the compensation earned during the years ended December 31, 2023, 2022 and 2021, of our named executive officers: </w:t>
      </w:r>
    </w:p>
    <w:p>
      <w:pPr>
        <w:pStyle w:val="TextBody"/>
        <w:bidi w:val="0"/>
        <w:spacing w:before="0" w:after="0"/>
        <w:jc w:val="left"/>
        <w:rPr/>
      </w:pPr>
      <w:r>
        <w:rPr/>
        <w:t> </w:t>
      </w:r>
    </w:p>
    <w:tbl>
      <w:tblPr>
        <w:tblW w:w="13315" w:type="dxa"/>
        <w:jc w:val="left"/>
        <w:tblInd w:w="0" w:type="dxa"/>
        <w:tblLayout w:type="fixed"/>
        <w:tblCellMar>
          <w:top w:w="0" w:type="dxa"/>
          <w:left w:w="0" w:type="dxa"/>
          <w:bottom w:w="0" w:type="dxa"/>
          <w:right w:w="0" w:type="dxa"/>
        </w:tblCellMar>
      </w:tblPr>
      <w:tblGrid>
        <w:gridCol w:w="2105"/>
        <w:gridCol w:w="60"/>
        <w:gridCol w:w="60"/>
        <w:gridCol w:w="500"/>
        <w:gridCol w:w="60"/>
        <w:gridCol w:w="60"/>
        <w:gridCol w:w="60"/>
        <w:gridCol w:w="800"/>
        <w:gridCol w:w="60"/>
        <w:gridCol w:w="60"/>
        <w:gridCol w:w="60"/>
        <w:gridCol w:w="980"/>
        <w:gridCol w:w="60"/>
        <w:gridCol w:w="60"/>
        <w:gridCol w:w="155"/>
        <w:gridCol w:w="675"/>
        <w:gridCol w:w="60"/>
        <w:gridCol w:w="60"/>
        <w:gridCol w:w="60"/>
        <w:gridCol w:w="980"/>
        <w:gridCol w:w="60"/>
        <w:gridCol w:w="60"/>
        <w:gridCol w:w="279"/>
        <w:gridCol w:w="1211"/>
        <w:gridCol w:w="60"/>
        <w:gridCol w:w="60"/>
        <w:gridCol w:w="103"/>
        <w:gridCol w:w="1387"/>
        <w:gridCol w:w="60"/>
        <w:gridCol w:w="60"/>
        <w:gridCol w:w="85"/>
        <w:gridCol w:w="1405"/>
        <w:gridCol w:w="335"/>
        <w:gridCol w:w="60"/>
        <w:gridCol w:w="60"/>
        <w:gridCol w:w="980"/>
        <w:gridCol w:w="75"/>
      </w:tblGrid>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in</w:t>
              <w:br/>
              <w:t>Pension</w:t>
              <w:br/>
              <w:t>Value</w:t>
              <w:br/>
              <w:t>and Non-</w:t>
              <w:br/>
              <w:t>qualified</w:t>
              <w:br/>
              <w:t>Deferred</w:t>
              <w:br/>
              <w:t>Compensation</w:t>
              <w:br/>
              <w:t>Earnings</w:t>
              <w:b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2105" w:type="dxa"/>
            <w:vMerge w:val="restart"/>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Young-Joon Kim</w:t>
            </w:r>
          </w:p>
          <w:p>
            <w:pPr>
              <w:pStyle w:val="TableContents"/>
              <w:bidi w:val="0"/>
              <w:spacing w:before="0" w:after="20"/>
              <w:jc w:val="left"/>
              <w:rPr>
                <w:rFonts w:ascii="Times New Roman" w:hAnsi="Times New Roman"/>
                <w:sz w:val="16"/>
              </w:rPr>
            </w:pPr>
            <w:r>
              <w:rPr>
                <w:rFonts w:ascii="Times New Roman" w:hAnsi="Times New Roman"/>
                <w:sz w:val="16"/>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502,819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3,885,901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35,335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1,486,477</w:t>
            </w:r>
          </w:p>
        </w:tc>
        <w:tc>
          <w:tcPr>
            <w:tcW w:w="33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5,911,543</w:t>
            </w:r>
          </w:p>
        </w:tc>
        <w:tc>
          <w:tcPr>
            <w:tcW w:w="75" w:type="dxa"/>
            <w:tcBorders/>
            <w:shd w:fill="CCEEFF" w:val="clear"/>
            <w:vAlign w:val="center"/>
          </w:tcPr>
          <w:p>
            <w:pPr>
              <w:pStyle w:val="TableContents"/>
              <w:bidi w:val="0"/>
              <w:spacing w:before="0" w:after="283"/>
              <w:jc w:val="left"/>
              <w:rPr/>
            </w:pPr>
            <w:r>
              <w:rPr/>
              <w:t> </w:t>
            </w:r>
          </w:p>
        </w:tc>
      </w:tr>
      <w:tr>
        <w:trPr/>
        <w:tc>
          <w:tcPr>
            <w:tcW w:w="21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560,420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605,538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4,211,480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100,280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1,565,327</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7,043,045</w:t>
            </w:r>
          </w:p>
        </w:tc>
        <w:tc>
          <w:tcPr>
            <w:tcW w:w="75" w:type="dxa"/>
            <w:tcBorders/>
            <w:vAlign w:val="center"/>
          </w:tcPr>
          <w:p>
            <w:pPr>
              <w:pStyle w:val="TableContents"/>
              <w:bidi w:val="0"/>
              <w:spacing w:before="0" w:after="283"/>
              <w:jc w:val="left"/>
              <w:rPr/>
            </w:pPr>
            <w:r>
              <w:rPr/>
              <w:t> </w:t>
            </w:r>
          </w:p>
        </w:tc>
      </w:tr>
      <w:tr>
        <w:trPr/>
        <w:tc>
          <w:tcPr>
            <w:tcW w:w="210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557,136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1,576,245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2,335,967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68,656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1,034,781</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5,572,785</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88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Shin Young Park(6)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284,497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860,636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23,313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58,541</w:t>
            </w:r>
          </w:p>
        </w:tc>
        <w:tc>
          <w:tcPr>
            <w:tcW w:w="33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1,227,998</w:t>
            </w:r>
          </w:p>
        </w:tc>
        <w:tc>
          <w:tcPr>
            <w:tcW w:w="75" w:type="dxa"/>
            <w:tcBorders/>
            <w:vAlign w:val="center"/>
          </w:tcPr>
          <w:p>
            <w:pPr>
              <w:pStyle w:val="TableContents"/>
              <w:bidi w:val="0"/>
              <w:spacing w:before="0" w:after="283"/>
              <w:jc w:val="left"/>
              <w:rPr/>
            </w:pPr>
            <w:r>
              <w:rPr/>
              <w:t> </w:t>
            </w:r>
          </w:p>
        </w:tc>
      </w:tr>
      <w:tr>
        <w:trPr/>
        <w:tc>
          <w:tcPr>
            <w:tcW w:w="2105" w:type="dxa"/>
            <w:vMerge w:val="restart"/>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312,048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330,274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673,400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51,264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41,548</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1,408,534</w:t>
            </w:r>
          </w:p>
        </w:tc>
        <w:tc>
          <w:tcPr>
            <w:tcW w:w="75" w:type="dxa"/>
            <w:tcBorders/>
            <w:vAlign w:val="center"/>
          </w:tcPr>
          <w:p>
            <w:pPr>
              <w:pStyle w:val="TableContents"/>
              <w:bidi w:val="0"/>
              <w:spacing w:before="0" w:after="283"/>
              <w:jc w:val="left"/>
              <w:rPr/>
            </w:pPr>
            <w:r>
              <w:rPr/>
              <w:t> </w:t>
            </w:r>
          </w:p>
        </w:tc>
      </w:tr>
      <w:tr>
        <w:trPr/>
        <w:tc>
          <w:tcPr>
            <w:tcW w:w="21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88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Theodore Kim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349,118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1,356,811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22,238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532,438</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2,261,616</w:t>
            </w:r>
          </w:p>
        </w:tc>
        <w:tc>
          <w:tcPr>
            <w:tcW w:w="75" w:type="dxa"/>
            <w:tcBorders/>
            <w:vAlign w:val="center"/>
          </w:tcPr>
          <w:p>
            <w:pPr>
              <w:pStyle w:val="TableContents"/>
              <w:bidi w:val="0"/>
              <w:spacing w:before="0" w:after="283"/>
              <w:jc w:val="left"/>
              <w:rPr/>
            </w:pPr>
            <w:r>
              <w:rPr/>
              <w:t> </w:t>
            </w:r>
          </w:p>
        </w:tc>
      </w:tr>
      <w:tr>
        <w:trPr/>
        <w:tc>
          <w:tcPr>
            <w:tcW w:w="2105" w:type="dxa"/>
            <w:vMerge w:val="restart"/>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Chief Compliance Officer, General Counsel and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350,259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528,439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1,122,940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72,468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644,107</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2,718,213</w:t>
            </w:r>
          </w:p>
        </w:tc>
        <w:tc>
          <w:tcPr>
            <w:tcW w:w="75" w:type="dxa"/>
            <w:tcBorders/>
            <w:vAlign w:val="center"/>
          </w:tcPr>
          <w:p>
            <w:pPr>
              <w:pStyle w:val="TableContents"/>
              <w:bidi w:val="0"/>
              <w:spacing w:before="0" w:after="283"/>
              <w:jc w:val="left"/>
              <w:rPr/>
            </w:pPr>
            <w:r>
              <w:rPr/>
              <w:t> </w:t>
            </w:r>
          </w:p>
        </w:tc>
      </w:tr>
      <w:tr>
        <w:trPr/>
        <w:tc>
          <w:tcPr>
            <w:tcW w:w="21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329,846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801,724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875,709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40,016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443,141</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2,490,436</w:t>
            </w:r>
          </w:p>
        </w:tc>
        <w:tc>
          <w:tcPr>
            <w:tcW w:w="75" w:type="dxa"/>
            <w:tcBorders/>
            <w:vAlign w:val="center"/>
          </w:tcPr>
          <w:p>
            <w:pPr>
              <w:pStyle w:val="TableContents"/>
              <w:bidi w:val="0"/>
              <w:spacing w:before="0" w:after="283"/>
              <w:jc w:val="left"/>
              <w:rPr/>
            </w:pPr>
            <w:r>
              <w:rPr/>
              <w:t> </w:t>
            </w:r>
          </w:p>
        </w:tc>
      </w:tr>
      <w:tr>
        <w:trPr/>
        <w:tc>
          <w:tcPr>
            <w:tcW w:w="210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88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0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Woung Moo Lee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271,931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448,013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22,661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50,270</w:t>
            </w:r>
          </w:p>
        </w:tc>
        <w:tc>
          <w:tcPr>
            <w:tcW w:w="335"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793,886</w:t>
            </w:r>
          </w:p>
        </w:tc>
        <w:tc>
          <w:tcPr>
            <w:tcW w:w="75" w:type="dxa"/>
            <w:tcBorders/>
            <w:shd w:fill="CCEEFF" w:val="clear"/>
            <w:vAlign w:val="center"/>
          </w:tcPr>
          <w:p>
            <w:pPr>
              <w:pStyle w:val="TableContents"/>
              <w:bidi w:val="0"/>
              <w:spacing w:before="0" w:after="283"/>
              <w:jc w:val="left"/>
              <w:rPr/>
            </w:pPr>
            <w:r>
              <w:rPr/>
              <w:t> </w:t>
            </w:r>
          </w:p>
        </w:tc>
      </w:tr>
      <w:tr>
        <w:trPr/>
        <w:tc>
          <w:tcPr>
            <w:tcW w:w="2105" w:type="dxa"/>
            <w:vMerge w:val="restart"/>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General Manager of Mixed-Signal Solutions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275,633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178,248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527,363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25,691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47,783</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1,054,718</w:t>
            </w:r>
          </w:p>
        </w:tc>
        <w:tc>
          <w:tcPr>
            <w:tcW w:w="75" w:type="dxa"/>
            <w:tcBorders/>
            <w:shd w:fill="CCEEFF" w:val="clear"/>
            <w:vAlign w:val="center"/>
          </w:tcPr>
          <w:p>
            <w:pPr>
              <w:pStyle w:val="TableContents"/>
              <w:bidi w:val="0"/>
              <w:spacing w:before="0" w:after="283"/>
              <w:jc w:val="left"/>
              <w:rPr/>
            </w:pPr>
            <w:r>
              <w:rPr/>
              <w:t> </w:t>
            </w:r>
          </w:p>
        </w:tc>
      </w:tr>
      <w:tr>
        <w:trPr/>
        <w:tc>
          <w:tcPr>
            <w:tcW w:w="210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306,158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471,760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25,827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47,360</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978,308</w:t>
            </w:r>
          </w:p>
        </w:tc>
        <w:tc>
          <w:tcPr>
            <w:tcW w:w="75" w:type="dxa"/>
            <w:tcBorders/>
            <w:shd w:fill="CCEEFF" w:val="clear"/>
            <w:vAlign w:val="center"/>
          </w:tcPr>
          <w:p>
            <w:pPr>
              <w:pStyle w:val="TableContents"/>
              <w:bidi w:val="0"/>
              <w:spacing w:before="0" w:after="283"/>
              <w:jc w:val="left"/>
              <w:rPr/>
            </w:pPr>
            <w:r>
              <w:rPr/>
              <w:t> </w:t>
            </w:r>
          </w:p>
        </w:tc>
      </w:tr>
      <w:tr>
        <w:trPr/>
        <w:tc>
          <w:tcPr>
            <w:tcW w:w="210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1405"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88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0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Chan Ho Park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335,751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26,473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172,320</w:t>
            </w:r>
          </w:p>
        </w:tc>
        <w:tc>
          <w:tcPr>
            <w:tcW w:w="335"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792,112</w:t>
            </w:r>
          </w:p>
        </w:tc>
        <w:tc>
          <w:tcPr>
            <w:tcW w:w="75" w:type="dxa"/>
            <w:tcBorders/>
            <w:shd w:fill="CCEEFF" w:val="clear"/>
            <w:vAlign w:val="center"/>
          </w:tcPr>
          <w:p>
            <w:pPr>
              <w:pStyle w:val="TableContents"/>
              <w:bidi w:val="0"/>
              <w:spacing w:before="0" w:after="283"/>
              <w:jc w:val="left"/>
              <w:rPr/>
            </w:pPr>
            <w:r>
              <w:rPr/>
              <w:t> </w:t>
            </w:r>
          </w:p>
        </w:tc>
      </w:tr>
      <w:tr>
        <w:trPr/>
        <w:tc>
          <w:tcPr>
            <w:tcW w:w="2105" w:type="dxa"/>
            <w:vMerge w:val="restart"/>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Co-General Manager of Power Analog Solutions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448,939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35,470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168,030</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1,121,357</w:t>
            </w:r>
          </w:p>
        </w:tc>
        <w:tc>
          <w:tcPr>
            <w:tcW w:w="75" w:type="dxa"/>
            <w:tcBorders/>
            <w:shd w:fill="CCEEFF" w:val="clear"/>
            <w:vAlign w:val="center"/>
          </w:tcPr>
          <w:p>
            <w:pPr>
              <w:pStyle w:val="TableContents"/>
              <w:bidi w:val="0"/>
              <w:spacing w:before="0" w:after="283"/>
              <w:jc w:val="left"/>
              <w:rPr/>
            </w:pPr>
            <w:r>
              <w:rPr/>
              <w:t> </w:t>
            </w:r>
          </w:p>
        </w:tc>
      </w:tr>
      <w:tr>
        <w:trPr/>
        <w:tc>
          <w:tcPr>
            <w:tcW w:w="210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329,846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29,353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165,052</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844,743</w:t>
            </w:r>
          </w:p>
        </w:tc>
        <w:tc>
          <w:tcPr>
            <w:tcW w:w="75" w:type="dxa"/>
            <w:tcBorders/>
            <w:shd w:fill="CCEEFF" w:val="clear"/>
            <w:vAlign w:val="center"/>
          </w:tcPr>
          <w:p>
            <w:pPr>
              <w:pStyle w:val="TableContents"/>
              <w:bidi w:val="0"/>
              <w:spacing w:before="0" w:after="283"/>
              <w:jc w:val="left"/>
              <w:rPr/>
            </w:pPr>
            <w:r>
              <w:rPr/>
              <w:t> </w:t>
            </w:r>
          </w:p>
        </w:tc>
      </w:tr>
      <w:tr>
        <w:trPr/>
        <w:tc>
          <w:tcPr>
            <w:tcW w:w="2105"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13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1405"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Note: A monthly average exchange rate was used to convert amounts in the above table that were originally paid in Korean won.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base salary amounts for Mr. YJ Kim, Ms. SY Park, Mr. T. Kim and Mr. CH Park in this table differ from the contractual base salary amounts described in the section above subtitled “Compensation Discussion and Analysis—Annual Base Salary” due to fluctuation in the exchange rate between U.S. dollars and Korean won during the year. The decrease in base salary amounts between 2022 and 2023 is a result of fluctuation in the exchange rate between 2022 and 2023. In addition to the fluctuation in the exchange rate that has been observed, Mr. YJ Kim received less as his base salary in 2023 as per his voluntary salary reduction of 10% of his 2023 base salary.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reflected represent a one-time payment of KRW 1,300,000 made on July 14, 2023, in accordance with the 2023 Collective Bargaining Agreement with each of our named executive officer. Such amount was converted to USD based on the average exchange rate for July 2023, which of USD 1: KRW 1,286.30.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the aggregate grant date fair value of RSUs and PSUs granted to our named executive officers in 2023, 2022 and 2021, determined in accordance with FASB ASC 718. Such grant date fair value does not take into account any estimated forfeitures. The amount reported in this column reflects the accounting cost for these RSUs and PSUs and does not correspond to the actual economic value that may be received by the applicable NEO upon the vesting/settlement of the RSUs or any sale of the underlying shares of Common Stock. The Financial PSUs and the TSR PSUs are reported here at the target performance level based on the probable outcome of such performance conditions. When calculated at the maximum performance level, the amount of the PSUs in 2023 would be $3,500,755 for Mr. YJ Kim, $712,913 for Ms. SY Park, $814,093 for Mr. T. Kim, $268,808 for Mr. WM Lee and $212,523 for Mr. CH Park. Payout percentages for the 2021 TSR PSUs and the 2023 Financial PSUs were determined by the Compensation Committee on February 23, 2024, and as a result of actual performance over the performance period, these awards were forfeited. See the section subtitled “Compensation Discussion and Analysis—Long-Term Equity Incentives” for further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statutory severance accrued for each of the years ended December 31, 2023, 2022 and 2021, as applicable. See the section below subtitled “Pension Benefits for the Fiscal Year Ended December 31, 2023” for a description of the statutory severance benefit.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following personal benefits paid to Mr. YJ Kim for 2023: (a) $209,013 for Mr. YJ Kim’s housing lease; (b) $8,110 for reimbursement of tuition expenses for Mr. YJ Kim’s child; (c) $82,351 for health insurance premiums; (d) $6,231 for accident insurance and business travel insurance premiums; (e) $26,860 for annual cash special allowance (the amount reported in this table differs from the $27,000 contractual annual cash special allowance due to fluctuation in the exchange rate between U.S. dollars and Korean won during the year); (f) $12,599 for car and driver expense (including personal use of a car service provided by the Company); (g) $25,919 for tax consulting expense; (h) $21,063 for living expense; (i) $1,534 for annual health examination for spouse; (j) $839 for fitness allowance; (k) $38,004 for meal allowance, welfare points and similar benefits; (l) -$28,210 of reimbursement (payable by Mr. YJ Kim) of the difference between the actual U.S. tax Mr. YJ Kim paid and the applicable hypothetical tax calculated for fiscal year 2023; and (m) $1,082,164 for reimbursement of Korean tax for fiscal year 2022. </w:t>
            </w:r>
          </w:p>
        </w:tc>
      </w:tr>
    </w:tbl>
    <w:tbl>
      <w:tblPr>
        <w:tblW w:w="6010" w:type="dxa"/>
        <w:jc w:val="left"/>
        <w:tblInd w:w="0" w:type="dxa"/>
        <w:tblLayout w:type="fixed"/>
        <w:tblCellMar>
          <w:top w:w="0" w:type="dxa"/>
          <w:left w:w="0" w:type="dxa"/>
          <w:bottom w:w="0" w:type="dxa"/>
          <w:right w:w="0" w:type="dxa"/>
        </w:tblCellMar>
      </w:tblPr>
      <w:tblGrid>
        <w:gridCol w:w="305"/>
        <w:gridCol w:w="5705"/>
      </w:tblGrid>
      <w:tr>
        <w:trPr/>
        <w:tc>
          <w:tcPr>
            <w:tcW w:w="305" w:type="dxa"/>
            <w:tcBorders/>
            <w:vAlign w:val="center"/>
          </w:tcPr>
          <w:p>
            <w:pPr>
              <w:pStyle w:val="TableContents"/>
              <w:bidi w:val="0"/>
              <w:spacing w:before="0" w:after="283"/>
              <w:jc w:val="left"/>
              <w:rPr/>
            </w:pPr>
            <w:r>
              <w:rPr/>
              <w:t>(6)</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Park became a named executive officer effective January 1, 2022.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(7)</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following personal benefits paid to Ms. SY Park for 2023: (a) $48,840 for health insurance premiums; (b) $4,240 for personal use of a car service provided by the Company; (c) $1,150 for annual health examination for spouse; (d) $833 for fitness allowance; (e) $1,000 for meal allowance; and (f) $2,478 for medical expense support, welfare points and similar benefits.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(8)</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following personal benefits paid to Mr. T. Kim for 2023: (a) $76,299 for housing lease; (b) $29,092 for home leave flights; (c) $58,363 for health insurance premiums; (d) $1,680 for accident insurance and business travel insurance premiums; (e) $7,950 for reimbursement of tuition expense for Mr. T. Kim’s child; (f) $4,544 for personal use of a car service provided by the Company; (g) $12,573 for tax consulting expense; (h) $5,612 for living expense; (i) $757 for fitness allowance; (j) $8,660 for meal allowance, welfare points and similar benefits; (k) -$78,260 of reimbursement (payable by Mr. T. Kim) of the difference between the actual U.S. tax Mr. T. Kim paid and the applicable hypothetical tax calculated for fiscal year 2023; and (l) $405,168 for reimbursement of Korean tax for the fiscal year 2022.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(9)</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following personal benefits paid to Mr. WM Lee for 2023: (a) $39,451 for health insurance premiums; (b) $4,054 for personal use of a car service provided by the Company; (c) $1,825 for private pension; (d) $1,150 for annual health examination for spouse; (e) $834 for fitness allowance; and (f) $2,956 for meal allowance, welfare points and similar benefits.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(10)</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following personal benefits paid to Mr. CH Park for 2023: (a) $78,953 for health insurance premiums; (b) $3,242 for personal use of a car service provided by the Company; (c) $79,798 for as part of an allowance to be used for airfare, housing and related expenses (the amount reported in this table differs from the $80,000 contractual special bonus due to fluctuation in the exchange rate between U.S. dollars and Korean won during the year); (d) $4,361 for tax consulting expense; (e) $1,150 for annual health examination for spouse; (f) $827 for fitness allowance; and (g) $3,989 for meal allowance, family allowance, welfare points and similar benefits. </w:t>
            </w:r>
          </w:p>
        </w:tc>
      </w:tr>
    </w:tbl>
    <w:p>
      <w:pPr>
        <w:pStyle w:val="TextBody"/>
        <w:bidi w:val="0"/>
        <w:spacing w:before="360" w:after="0"/>
        <w:jc w:val="left"/>
        <w:rPr>
          <w:rFonts w:ascii="Times New Roman" w:hAnsi="Times New Roman"/>
          <w:b/>
          <w:sz w:val="20"/>
        </w:rPr>
      </w:pPr>
      <w:bookmarkStart w:id="24" w:name="toc784802_22"/>
      <w:bookmarkEnd w:id="24"/>
      <w:r>
        <w:rPr>
          <w:rFonts w:ascii="Times New Roman" w:hAnsi="Times New Roman"/>
          <w:b/>
          <w:sz w:val="20"/>
        </w:rPr>
        <w:t xml:space="preserve">Grants of Plan-Based Awards Table for Fiscal Year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grants of plan-based awards made to our named executive officers during 2023. The vesting schedule applicable to each award is set forth in the “Outstanding Equity Awards as of Fiscal Year End 2023” table. See the section subtitled “Compensation Discussion and Analysis—Long-Term Equity Incentives” for further information regarding grants made to our named executive officers during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859" w:type="dxa"/>
        <w:jc w:val="left"/>
        <w:tblInd w:w="0" w:type="dxa"/>
        <w:tblLayout w:type="fixed"/>
        <w:tblCellMar>
          <w:top w:w="0" w:type="dxa"/>
          <w:left w:w="0" w:type="dxa"/>
          <w:bottom w:w="0" w:type="dxa"/>
          <w:right w:w="0" w:type="dxa"/>
        </w:tblCellMar>
      </w:tblPr>
      <w:tblGrid>
        <w:gridCol w:w="1295"/>
        <w:gridCol w:w="60"/>
        <w:gridCol w:w="60"/>
        <w:gridCol w:w="1114"/>
        <w:gridCol w:w="350"/>
        <w:gridCol w:w="60"/>
        <w:gridCol w:w="86"/>
        <w:gridCol w:w="984"/>
        <w:gridCol w:w="60"/>
        <w:gridCol w:w="60"/>
        <w:gridCol w:w="60"/>
        <w:gridCol w:w="800"/>
        <w:gridCol w:w="60"/>
        <w:gridCol w:w="60"/>
        <w:gridCol w:w="74"/>
        <w:gridCol w:w="996"/>
        <w:gridCol w:w="60"/>
        <w:gridCol w:w="120"/>
        <w:gridCol w:w="78"/>
        <w:gridCol w:w="1052"/>
        <w:gridCol w:w="60"/>
        <w:gridCol w:w="60"/>
        <w:gridCol w:w="67"/>
        <w:gridCol w:w="1108"/>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Estimated Future</w:t>
              <w:br/>
              <w:t>Payouts Under</w:t>
              <w:br/>
              <w:t>Equity Incentive Plan</w:t>
              <w:br/>
              <w:t>Awards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3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All Other</w:t>
              <w:br/>
              <w:t>Stock</w:t>
              <w:br/>
              <w:t>Awards:</w:t>
              <w:br/>
              <w:t>Number of</w:t>
              <w:br/>
              <w:t>Shares of</w:t>
              <w:br/>
              <w:t>Stock or</w:t>
              <w:br/>
              <w:t>Units</w:t>
              <w:br/>
              <w:t>(#)(1)</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 Date</w:t>
              <w:br/>
              <w:t>Fair Value</w:t>
              <w:br/>
              <w:t>of Stock</w:t>
              <w:br/>
              <w:t>and</w:t>
              <w:br/>
              <w:t>Option</w:t>
              <w:br/>
              <w:t>Awards</w:t>
              <w:br/>
              <w:t>($)(4)</w:t>
            </w:r>
          </w:p>
        </w:tc>
        <w:tc>
          <w:tcPr>
            <w:tcW w:w="75" w:type="dxa"/>
            <w:vMerge w:val="restart"/>
            <w:tcBorders/>
            <w:vAlign w:val="center"/>
          </w:tcPr>
          <w:p>
            <w:pPr>
              <w:pStyle w:val="TableContents"/>
              <w:bidi w:val="0"/>
              <w:spacing w:before="0" w:after="283"/>
              <w:jc w:val="left"/>
              <w:rPr/>
            </w:pPr>
            <w:r>
              <w:rPr/>
              <w:t> </w:t>
            </w:r>
          </w:p>
        </w:tc>
      </w:tr>
      <w:tr>
        <w:trPr/>
        <w:tc>
          <w:tcPr>
            <w:tcW w:w="12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Threshold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3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75"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29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Young-Joon Kim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151,126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1,552,064</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02/16/2023</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85,079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170,156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255,235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1,747,502</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28,546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85,638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586,335</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Shin Young Park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02/16/2023</w:t>
            </w:r>
          </w:p>
        </w:tc>
        <w:tc>
          <w:tcPr>
            <w:tcW w:w="35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37,523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385,361</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17,511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52,532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359,666</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02/16/2023</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5,629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16,886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115,609</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Theodore Kim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79,268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814,082</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02/16/2023</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20,326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40,651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60,977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417,486</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02/16/2023</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6,098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18,293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125,243</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Woung Moo Lee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03/23/2023</w:t>
            </w:r>
          </w:p>
        </w:tc>
        <w:tc>
          <w:tcPr>
            <w:tcW w:w="35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29,250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268,808</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03/23/2023</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137,850</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03/23/2023</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41,355</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Chan Ho Park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03/23/2023</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114,875</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03/23/2023</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5,834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17,501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107,220</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03/23/2023</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34,463</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RSUs granted during fiscal year 2023 to our named executive officers. Further information on the RSU awards can be found in the “Compensation Discussion &amp; Analysis” section above.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Financial PSUs granted during fiscal year 2023 to our named executive officers. The Compensation Committee is required to certify the actual amount earned for each performance goal for the performance period, within 60 days following the end of the performance period. Upon such determination, the portion of the award structured as Make-Whole Financial PSUs vests, and the remainder of the 2023 Financial PSU award corresponding to the payout percentage vests, subject to the satisfaction of the Continued Service Condition. Further information on the Financial PSUs, including the portion structured as Make-Whole Financial PSUs can be found in the “Compensation Discussion &amp; Analysis” section above.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TSR PSUs granted during fiscal year 2023 to our named executive officers. The Compensation Committee is required to certify the actual amount earned for each performance goal, within 60 days following the end of the performance period. Upon such determination, the applicable portion of the units corresponding to the payout percentage vests, subject to the satisfaction of the Continued Service Condition. Further information on the Financial PSUs can be found in the “Compensation Discussion &amp; Analysis” section above.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each equity-based award as determined in accordance with FASB ASC 718. For the performance-based equity awards, the amounts are reported at the target performance level based on the probable outcome of the applicable performance conditions. </w:t>
            </w:r>
          </w:p>
        </w:tc>
      </w:tr>
    </w:tbl>
    <w:p>
      <w:pPr>
        <w:pStyle w:val="TextBody"/>
        <w:bidi w:val="0"/>
        <w:spacing w:before="360" w:after="0"/>
        <w:jc w:val="left"/>
        <w:rPr>
          <w:rFonts w:ascii="Times New Roman" w:hAnsi="Times New Roman"/>
          <w:b/>
          <w:sz w:val="20"/>
        </w:rPr>
      </w:pPr>
      <w:bookmarkStart w:id="25" w:name="toc784802_23"/>
      <w:bookmarkEnd w:id="25"/>
      <w:r>
        <w:rPr>
          <w:rFonts w:ascii="Times New Roman" w:hAnsi="Times New Roman"/>
          <w:b/>
          <w:sz w:val="20"/>
        </w:rPr>
        <w:t xml:space="preserve">Outstanding Equity Awards at Fiscal Year End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outstanding equity awards held by our named executive officers as of December 31, 2023. Please see the section below entitled “Potential Payments Upon Termination or Change in Control” for information regarding the impact of certain employment termination scenarios on outstanding equity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219" w:type="dxa"/>
        <w:jc w:val="left"/>
        <w:tblInd w:w="0" w:type="dxa"/>
        <w:tblLayout w:type="fixed"/>
        <w:tblCellMar>
          <w:top w:w="0" w:type="dxa"/>
          <w:left w:w="0" w:type="dxa"/>
          <w:bottom w:w="0" w:type="dxa"/>
          <w:right w:w="0" w:type="dxa"/>
        </w:tblCellMar>
      </w:tblPr>
      <w:tblGrid>
        <w:gridCol w:w="1430"/>
        <w:gridCol w:w="120"/>
        <w:gridCol w:w="67"/>
        <w:gridCol w:w="1107"/>
        <w:gridCol w:w="60"/>
        <w:gridCol w:w="120"/>
        <w:gridCol w:w="102"/>
        <w:gridCol w:w="1163"/>
        <w:gridCol w:w="60"/>
        <w:gridCol w:w="120"/>
        <w:gridCol w:w="270"/>
        <w:gridCol w:w="1175"/>
        <w:gridCol w:w="60"/>
        <w:gridCol w:w="120"/>
        <w:gridCol w:w="105"/>
        <w:gridCol w:w="770"/>
        <w:gridCol w:w="60"/>
        <w:gridCol w:w="120"/>
        <w:gridCol w:w="119"/>
        <w:gridCol w:w="996"/>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94"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r>
            <w:r>
              <w:rPr/>
              <w:br/>
            </w:r>
            <w:r>
              <w:rPr>
                <w:b/>
              </w:rP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Exercise</w:t>
            </w:r>
            <w:r>
              <w:rPr/>
              <w:br/>
            </w:r>
            <w:r>
              <w:rPr>
                <w:b/>
              </w:rP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w:t>
            </w:r>
            <w:r>
              <w:rPr/>
              <w:br/>
            </w:r>
            <w:r>
              <w:rPr>
                <w:b/>
              </w:rPr>
              <w:t>Date</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6/9/2015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90,610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7.64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6/9/2025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3/11/2016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45,305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3/11/2026</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354"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8/11/2015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8.45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8/11/2025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3/11/2016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3/11/2026</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354"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6/9/2015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51,740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7.64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6/9/2025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3/11/2016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25,870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3/11/2026</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354"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6/9/2015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43,940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7.64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6/9/2025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3/11/2016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25,870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3/11/2026</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354"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465" w:type="dxa"/>
        <w:jc w:val="left"/>
        <w:tblInd w:w="0" w:type="dxa"/>
        <w:tblLayout w:type="fixed"/>
        <w:tblCellMar>
          <w:top w:w="0" w:type="dxa"/>
          <w:left w:w="0" w:type="dxa"/>
          <w:bottom w:w="0" w:type="dxa"/>
          <w:right w:w="0" w:type="dxa"/>
        </w:tblCellMar>
      </w:tblPr>
      <w:tblGrid>
        <w:gridCol w:w="1040"/>
        <w:gridCol w:w="120"/>
        <w:gridCol w:w="60"/>
        <w:gridCol w:w="575"/>
        <w:gridCol w:w="60"/>
        <w:gridCol w:w="120"/>
        <w:gridCol w:w="159"/>
        <w:gridCol w:w="2126"/>
        <w:gridCol w:w="215"/>
        <w:gridCol w:w="60"/>
        <w:gridCol w:w="118"/>
        <w:gridCol w:w="1582"/>
        <w:gridCol w:w="60"/>
        <w:gridCol w:w="120"/>
        <w:gridCol w:w="129"/>
        <w:gridCol w:w="1721"/>
        <w:gridCol w:w="215"/>
        <w:gridCol w:w="60"/>
        <w:gridCol w:w="106"/>
        <w:gridCol w:w="1744"/>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or</w:t>
              <w:br/>
              <w:t>Units of Stock</w:t>
              <w:br/>
              <w:t>That Have Not Vested</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 Value of</w:t>
              <w:br/>
              <w:t>Shares or Units</w:t>
              <w:br/>
              <w:t>of Stock</w:t>
              <w:br/>
              <w:t>That Have</w:t>
              <w:br/>
              <w:t>Not Vested</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 Incentive</w:t>
              <w:br/>
              <w:t>Plan Awards:</w:t>
              <w:br/>
              <w:t>Number of</w:t>
              <w:br/>
              <w:t>Unearned Shares,</w:t>
              <w:br/>
              <w:t>Units or Other</w:t>
              <w:br/>
              <w:t>Rights That</w:t>
              <w:br/>
              <w:t>Have Not</w:t>
              <w:br/>
              <w:t>Vested (#)(2)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 Incentive</w:t>
              <w:br/>
              <w:t>Plan Awards:</w:t>
              <w:br/>
              <w:t>Market or Payout</w:t>
              <w:br/>
              <w:t>Value of</w:t>
              <w:br/>
              <w:t>Unearned</w:t>
              <w:br/>
              <w:t>Shares,</w:t>
              <w:br/>
              <w:t>Units or Other</w:t>
              <w:br/>
              <w:t>Rights That</w:t>
              <w:br/>
              <w:t>Have</w:t>
              <w:br/>
              <w:t>Not Vested ($)(3)</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02/19/2021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26,126</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195,945</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02/28/2022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14,334</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107,505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39,400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295,500</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02/16/2023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100,751</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755,633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227,248</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1,704,360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26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02/19/2021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2,013</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15,098</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02/28/2022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5,000</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37,500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4,500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33,750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02/16/2023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25,016</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187,620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46,278</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347,085</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26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02/19/2021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6,541</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49,058</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02/28/2022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8,334</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62,505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7,500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56,250</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02/16/2023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52,846</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396,345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52,846</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396,345</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26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02/19/2021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3,524</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26,430</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02/28/2022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3,916</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29,370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3,524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26,430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03/23/2023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19,500</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146,250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19,500</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146,250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2620"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2185"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02/19/2021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1,510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11,325</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02/28/2022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3,334</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right"/>
              <w:rPr/>
            </w:pPr>
            <w:r>
              <w:rPr/>
              <w:t>25,005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3,000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22,500</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03/23/2023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8,334</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582" w:type="dxa"/>
            <w:tcBorders/>
            <w:shd w:fill="CCEEFF" w:val="clear"/>
            <w:vAlign w:val="center"/>
          </w:tcPr>
          <w:p>
            <w:pPr>
              <w:pStyle w:val="TableContents"/>
              <w:bidi w:val="0"/>
              <w:spacing w:before="0" w:after="283"/>
              <w:jc w:val="right"/>
              <w:rPr/>
            </w:pPr>
            <w:r>
              <w:rPr/>
              <w:t>62,505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15,417</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115,628</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market value of RSUs based on our closing per share price of $7.50 on December 29, 2023, the last trading day of 2023.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unvested TSR PSUs granted on February 19, 2021, February 28, 2022 and February 16, 2023 for Mr. YJ Kim, Ms. SY Park and Mr. T. Kim and granted on February 19, 2021, February 28, 2022 and March 23, 2023 for Mr. WM Lee and Mr. CH Park at target performance level. The TSR PSUs vest based on achievement of the TSR performance goal over the 2021-2023 performance period (for the 2021 grants), 2022-2024 performance period (for the 2022 grants) and 2023-2025 performance period (for the 2023 grants), subject to the completion of the Continued Service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market value of TSR PSUs at target performance level based on our closing per share price of $7.50 on December 29, 2023, the last trading day of 2023.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Payout percentages for TSR PSUs granted on February 19, 2021 for Mr. YJ Kim, Ms. SY Park, Mr. T. Kim, Mr. WM Lee and Mr. CH Park, and Financial PSUs granted on February 16, 2023 for Mr. YJ Kim, Ms. SY Park and Mr. T. Kim and March 23, 2023 for Mr. WM Lee and Mr. CH Park were determined on February 23, 2024, as it was determined that the actual performance over the performance period failed to meet the vesting conditions, these awards were forfeited. See “Compensation Discussion and Analysis—</w:t>
            </w:r>
            <w:r>
              <w:rPr>
                <w:rFonts w:ascii="Times New Roman" w:hAnsi="Times New Roman"/>
                <w:i/>
                <w:sz w:val="20"/>
              </w:rPr>
              <w:t>Long-term Equity Incentives</w:t>
            </w:r>
            <w:r>
              <w:rPr>
                <w:rFonts w:ascii="Times New Roman" w:hAnsi="Times New Roman"/>
                <w:sz w:val="20"/>
              </w:rPr>
              <w:t xml:space="preserve">” for additional details.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(5)</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RSUs vest over three years in three equal annual installments, subject to executive’s continued employment through each applicable vesting date. Represents the third installment, scheduled to vest on December 31, 2024.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RSUs vest over three years in three equal annual installments, subject to executive’s continued employment through each applicable vesting date. Represents the second and third installments, scheduled to vest on December 31, 2024 and December 31, 2025, respectively. </w:t>
            </w:r>
          </w:p>
        </w:tc>
      </w:tr>
    </w:tbl>
    <w:p>
      <w:pPr>
        <w:pStyle w:val="TextBody"/>
        <w:bidi w:val="0"/>
        <w:spacing w:before="360" w:after="0"/>
        <w:jc w:val="left"/>
        <w:rPr>
          <w:rFonts w:ascii="Times New Roman" w:hAnsi="Times New Roman"/>
          <w:b/>
          <w:sz w:val="20"/>
        </w:rPr>
      </w:pPr>
      <w:bookmarkStart w:id="26" w:name="toc784802_24"/>
      <w:bookmarkEnd w:id="26"/>
      <w:r>
        <w:rPr>
          <w:rFonts w:ascii="Times New Roman" w:hAnsi="Times New Roman"/>
          <w:b/>
          <w:sz w:val="20"/>
        </w:rPr>
        <w:t xml:space="preserve">Option Exercises and Stock Vested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information regarding the vesting of stock awards held by our named executive officers in 2023. None of our named executive officers exercised stock options during 2023. </w:t>
      </w:r>
    </w:p>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1430"/>
        <w:gridCol w:w="120"/>
        <w:gridCol w:w="105"/>
        <w:gridCol w:w="1190"/>
        <w:gridCol w:w="350"/>
        <w:gridCol w:w="60"/>
        <w:gridCol w:w="62"/>
        <w:gridCol w:w="828"/>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Acquired on</w:t>
              <w:br/>
              <w:t>Vesting</w:t>
              <w:br/>
              <w:t>(#)(1)(5)</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br/>
              <w:t>Realized</w:t>
              <w:br/>
              <w:t>on</w:t>
              <w:br/>
              <w:t>Vesting</w:t>
              <w:br/>
              <w:t>($)(4)(5)</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74,457</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558,428</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23,078</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179,384</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42,024</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315,180</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17,582</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131,865</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14,178</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120,135</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sum of RSUs that vested on December 31, 2023. Payout percentages for the 2021 TSR PSUs and the 2023 Financial PSUs were determined by the Compensation Committee on February 23, 2024, as it was determined that the actual performance over the performance period failed to meet the vesting conditions, these awards were forfeited. </w:t>
            </w:r>
          </w:p>
        </w:tc>
      </w:tr>
    </w:tbl>
    <w:tbl>
      <w:tblPr>
        <w:tblW w:w="4135" w:type="dxa"/>
        <w:jc w:val="left"/>
        <w:tblInd w:w="0" w:type="dxa"/>
        <w:tblLayout w:type="fixed"/>
        <w:tblCellMar>
          <w:top w:w="0" w:type="dxa"/>
          <w:left w:w="0" w:type="dxa"/>
          <w:bottom w:w="0" w:type="dxa"/>
          <w:right w:w="0" w:type="dxa"/>
        </w:tblCellMar>
      </w:tblPr>
      <w:tblGrid>
        <w:gridCol w:w="305"/>
        <w:gridCol w:w="3830"/>
      </w:tblGrid>
      <w:tr>
        <w:trPr/>
        <w:tc>
          <w:tcPr>
            <w:tcW w:w="305" w:type="dxa"/>
            <w:tcBorders/>
            <w:vAlign w:val="center"/>
          </w:tcPr>
          <w:p>
            <w:pPr>
              <w:pStyle w:val="TableContents"/>
              <w:bidi w:val="0"/>
              <w:spacing w:before="0" w:after="283"/>
              <w:jc w:val="left"/>
              <w:rPr/>
            </w:pPr>
            <w:r>
              <w:rPr/>
              <w:t>(2)</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RSUs that vested on March 12, 2023. </w:t>
            </w:r>
          </w:p>
        </w:tc>
      </w:tr>
    </w:tbl>
    <w:tbl>
      <w:tblPr>
        <w:tblW w:w="3880" w:type="dxa"/>
        <w:jc w:val="left"/>
        <w:tblInd w:w="0" w:type="dxa"/>
        <w:tblLayout w:type="fixed"/>
        <w:tblCellMar>
          <w:top w:w="0" w:type="dxa"/>
          <w:left w:w="0" w:type="dxa"/>
          <w:bottom w:w="0" w:type="dxa"/>
          <w:right w:w="0" w:type="dxa"/>
        </w:tblCellMar>
      </w:tblPr>
      <w:tblGrid>
        <w:gridCol w:w="305"/>
        <w:gridCol w:w="3575"/>
      </w:tblGrid>
      <w:tr>
        <w:trPr/>
        <w:tc>
          <w:tcPr>
            <w:tcW w:w="305" w:type="dxa"/>
            <w:tcBorders/>
            <w:vAlign w:val="center"/>
          </w:tcPr>
          <w:p>
            <w:pPr>
              <w:pStyle w:val="TableContents"/>
              <w:bidi w:val="0"/>
              <w:spacing w:before="0" w:after="283"/>
              <w:jc w:val="left"/>
              <w:rPr/>
            </w:pPr>
            <w:r>
              <w:rPr/>
              <w:t>(3)</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RSUs that vested on June 1, 2023.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sum of the value of vested RSUs as of the vesting date, based on our closing per share price on the vesting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 numbers and values set forth in these two columns do not take into account the shares that were withheld from the named executive officers to pay applicable withholding taxes. The below table shows the number of shares, with their values calculated as of the vesting date, that were withheld by the Company in order to pay applicable withholding taxes on behalf of our named executive officers: </w:t>
            </w:r>
          </w:p>
        </w:tc>
      </w:tr>
    </w:tbl>
    <w:p>
      <w:pPr>
        <w:pStyle w:val="TextBody"/>
        <w:bidi w:val="0"/>
        <w:spacing w:before="0" w:after="0"/>
        <w:jc w:val="left"/>
        <w:rPr/>
      </w:pPr>
      <w:r>
        <w:rPr/>
        <w:t> </w:t>
      </w:r>
    </w:p>
    <w:tbl>
      <w:tblPr>
        <w:tblW w:w="3735" w:type="dxa"/>
        <w:jc w:val="left"/>
        <w:tblInd w:w="0" w:type="dxa"/>
        <w:tblLayout w:type="fixed"/>
        <w:tblCellMar>
          <w:top w:w="0" w:type="dxa"/>
          <w:left w:w="0" w:type="dxa"/>
          <w:bottom w:w="0" w:type="dxa"/>
          <w:right w:w="0" w:type="dxa"/>
        </w:tblCellMar>
      </w:tblPr>
      <w:tblGrid>
        <w:gridCol w:w="1430"/>
        <w:gridCol w:w="120"/>
        <w:gridCol w:w="78"/>
        <w:gridCol w:w="887"/>
        <w:gridCol w:w="60"/>
        <w:gridCol w:w="120"/>
        <w:gridCol w:w="67"/>
        <w:gridCol w:w="898"/>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Withheld</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pPr>
            <w:r>
              <w:rPr>
                <w:b/>
              </w:rPr>
              <w:t>Value</w:t>
            </w:r>
            <w:r>
              <w:rPr/>
              <w:br/>
            </w:r>
            <w:r>
              <w:rPr>
                <w:b/>
              </w:rPr>
              <w:t>of Shares</w:t>
            </w:r>
            <w:r>
              <w:rPr/>
              <w:br/>
            </w:r>
            <w:r>
              <w:rPr>
                <w:b/>
              </w:rPr>
              <w:t>Withheld</w:t>
            </w:r>
            <w:r>
              <w:rPr/>
              <w:br/>
            </w:r>
            <w:r>
              <w:rPr>
                <w:b/>
              </w:rPr>
              <w:t>($)</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26,062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195,465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11,093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86,072</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14,710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110,325</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8,471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63,533</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2,965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25,124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7" w:name="toc784802_25"/>
      <w:bookmarkEnd w:id="27"/>
      <w:r>
        <w:rPr>
          <w:rFonts w:ascii="Times New Roman" w:hAnsi="Times New Roman"/>
          <w:b/>
          <w:sz w:val="20"/>
        </w:rPr>
        <w:t xml:space="preserve">Pension Benefits for the Fiscal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severance benefits described above, pursuant to the Employee Retirement Benefit Security Act of Korea,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executive’s salary for the prior three-month period. Accordingly, if the named executive officer’s employment with the Company terminated on the last day of our fiscal year ended December 31, 2023, they would have been entitled to the statutory severance payments described below. The accumulated amounts under the statutory severance scheme are paid in a lump sum upon the executive’s separation. Assuming no change in the applicable law, each of these executives will continue to accrue additional statutory severance benefits at the rate described above until his or her service with us terminates. </w:t>
      </w:r>
    </w:p>
    <w:p>
      <w:pPr>
        <w:pStyle w:val="TextBody"/>
        <w:bidi w:val="0"/>
        <w:spacing w:before="0" w:after="0"/>
        <w:jc w:val="left"/>
        <w:rPr/>
      </w:pPr>
      <w:r>
        <w:rPr/>
        <w:t> </w:t>
      </w:r>
    </w:p>
    <w:tbl>
      <w:tblPr>
        <w:tblW w:w="7989" w:type="dxa"/>
        <w:jc w:val="left"/>
        <w:tblInd w:w="0" w:type="dxa"/>
        <w:tblLayout w:type="fixed"/>
        <w:tblCellMar>
          <w:top w:w="0" w:type="dxa"/>
          <w:left w:w="0" w:type="dxa"/>
          <w:bottom w:w="0" w:type="dxa"/>
          <w:right w:w="0" w:type="dxa"/>
        </w:tblCellMar>
      </w:tblPr>
      <w:tblGrid>
        <w:gridCol w:w="1415"/>
        <w:gridCol w:w="120"/>
        <w:gridCol w:w="1910"/>
        <w:gridCol w:w="120"/>
        <w:gridCol w:w="220"/>
        <w:gridCol w:w="955"/>
        <w:gridCol w:w="60"/>
        <w:gridCol w:w="120"/>
        <w:gridCol w:w="95"/>
        <w:gridCol w:w="1275"/>
        <w:gridCol w:w="60"/>
        <w:gridCol w:w="120"/>
        <w:gridCol w:w="270"/>
        <w:gridCol w:w="1174"/>
        <w:gridCol w:w="75"/>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Plan Name</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Years</w:t>
              <w:br/>
              <w:t>of Credited</w:t>
              <w:br/>
              <w:t>Service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b/>
              </w:rPr>
              <w:t>Present</w:t>
            </w:r>
            <w:r>
              <w:rPr/>
              <w:br/>
            </w:r>
            <w:r>
              <w:rPr>
                <w:b/>
              </w:rPr>
              <w:t>Value of</w:t>
            </w:r>
            <w:r>
              <w:rPr/>
              <w:br/>
            </w:r>
            <w:r>
              <w:rPr>
                <w:b/>
              </w:rPr>
              <w:t>Accumulated</w:t>
            </w:r>
            <w:r>
              <w:rPr/>
              <w:br/>
            </w:r>
            <w:r>
              <w:rPr>
                <w:b/>
              </w:rPr>
              <w:t>Benefit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pPr>
            <w:r>
              <w:rPr>
                <w:b/>
              </w:rPr>
              <w:t>Payments</w:t>
            </w:r>
            <w:r>
              <w:rPr/>
              <w:br/>
            </w:r>
            <w:r>
              <w:rPr>
                <w:b/>
              </w:rPr>
              <w:t>During</w:t>
            </w:r>
            <w:r>
              <w:rPr/>
              <w:br/>
            </w:r>
            <w:r>
              <w:rPr>
                <w:b/>
              </w:rPr>
              <w:t>the Last</w:t>
            </w:r>
            <w:r>
              <w:rPr/>
              <w:br/>
            </w:r>
            <w:r>
              <w:rPr>
                <w:b/>
              </w:rPr>
              <w:t>Fiscal Year($)</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Young Joon Kim</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left"/>
              <w:rPr/>
            </w:pPr>
            <w:r>
              <w:rPr/>
              <w:t>Statutory Severance</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508,704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Statutory Severance</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131,978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left"/>
              <w:rPr/>
            </w:pPr>
            <w:r>
              <w:rPr/>
              <w:t>Statutory Severance</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305,466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w:t>
            </w:r>
          </w:p>
        </w:tc>
        <w:tc>
          <w:tcPr>
            <w:tcW w:w="12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pPr>
            <w:r>
              <w:rPr/>
              <w:t>Statutory Severance</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233,193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 Ho Park</w:t>
            </w:r>
          </w:p>
        </w:tc>
        <w:tc>
          <w:tcPr>
            <w:tcW w:w="12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left"/>
              <w:rPr/>
            </w:pPr>
            <w:r>
              <w:rPr/>
              <w:t>Statutory Severance</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102,802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reported in this column represents the accumulated amount of the benefit for each executive based on the formula described above of one month of base salary per year of credited service. </w:t>
            </w:r>
          </w:p>
        </w:tc>
      </w:tr>
    </w:tbl>
    <w:p>
      <w:pPr>
        <w:pStyle w:val="TextBody"/>
        <w:bidi w:val="0"/>
        <w:spacing w:before="360" w:after="0"/>
        <w:jc w:val="left"/>
        <w:rPr>
          <w:rFonts w:ascii="Times New Roman" w:hAnsi="Times New Roman"/>
          <w:b/>
          <w:sz w:val="20"/>
        </w:rPr>
      </w:pPr>
      <w:bookmarkStart w:id="28" w:name="toc784802_26"/>
      <w:bookmarkEnd w:id="28"/>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do not maintain any nonqualified deferred compensation plans for our named executive officers. </w:t>
      </w:r>
    </w:p>
    <w:p>
      <w:pPr>
        <w:pStyle w:val="TextBody"/>
        <w:bidi w:val="0"/>
        <w:spacing w:before="360" w:after="0"/>
        <w:jc w:val="left"/>
        <w:rPr>
          <w:rFonts w:ascii="Times New Roman" w:hAnsi="Times New Roman"/>
          <w:b/>
          <w:sz w:val="20"/>
        </w:rPr>
      </w:pPr>
      <w:bookmarkStart w:id="29" w:name="toc784802_27"/>
      <w:bookmarkEnd w:id="29"/>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are each party to an employment agreement that provides for post-employment or change in control benefits. The terms “cause”, “good reason”, “disability” and “change in control” used below have the meanings given to them in the applicable CEO Agreement or Other Executive Agreement (each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and 2024 Separation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26, 2018, the Company entered into a new employment agreement with Mr. YJ Kim that superseded his prior severance and employment agreements (the “CEO Agreement”). In October of 2018, the Company entered into similar arrangements with Mr. WM Lee and Mr. T. Kim that replaced their prior severance agreements and offer letters (the “Other Executive Agreements”). In June 2020 and February 2022, the Company entered into an employment agreement with Mr. CH Park and Ms. SY Park, respectively, in a form substantially similar to the Other Executive Agreements. In addition, on March 22, 2024, the Company entered into a Separation Agreement with Mr. CH Park that provides for cash severance payment in connection with Mr. CH Park’s voluntary resignation from the position of Co-General Manager of Power Analog Solutions of MSC and MSK and from all other positions with each direct and indirect subsidiaries of MSC, effective as of April 30, 2024. </w:t>
      </w:r>
    </w:p>
    <w:p>
      <w:pPr>
        <w:pStyle w:val="TextBody"/>
        <w:bidi w:val="0"/>
        <w:spacing w:before="240" w:after="0"/>
        <w:jc w:val="left"/>
        <w:rPr>
          <w:rFonts w:ascii="Times New Roman" w:hAnsi="Times New Roman"/>
          <w:sz w:val="20"/>
        </w:rPr>
      </w:pPr>
      <w:r>
        <w:rPr>
          <w:rFonts w:ascii="Times New Roman" w:hAnsi="Times New Roman"/>
          <w:sz w:val="20"/>
        </w:rPr>
        <w:t xml:space="preserve">Under the CEO Agreement, Mr. YJ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 “Non CIC Termination”), he is entitled to receive (i) 24 months of continued base salary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 in effect or in effect prior to any diminution constituting “good reason”) (the “Salary Payment”), (ii) a pro rata bonus based on actual performance (if such termination occurs after June 30 of the year of termination), (iii) a lump-sum payment equal to the cost of 12 months of Company-paid medical, dental and vision insurance premiums (the “Insurance Payment”), (iv) 90 days’ continuation of his expatriate benefits, and (v) to the extent that he is eligible to receive such payments as part of the expatriate benefits, the repatriation allowance and expenses. Further, Mr. YJ Kim will vest in all unvested equity awards in accordance with the terms of our equity plan and the applicable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If, during a period of time that (x) the Company is party to a definitive corporate transaction agreement the consummation of which would result in a “change in control” or (y) is within 18 months following a “change in control”, Mr. YJ Kim’s employment is terminated by the Company without “cause”, by Mr. YJ Kim for “good reason” (each, a “CIC Termination”) or by reason of his death or “disability”, then he will be entitled to the severance payments described above, provided that (A) the Salary Payment shall be a lump sum payment equal to two times the sum of (1) his base salary (as then in effect or in effect prior to any diminution implicating “good reason”) and (2) his annual bonus (as then in effect or in effect prior to any diminution implicating “good reason”, but in no event greater than 100% of his base salary) and (B) the Insurance Payment will be in respect of 18 months rather than 12 months. Further, Mr. YJ Kim will vest in all equity awards in accordance with the terms of our equity plan and the applicable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Mr. YJ Kim’s right to receive any “change in control” or other severance payments provided in the CEO Agreement is subject to his execution of a release of claims against us and his compliance with certain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Other Executive Agreements provide that the applicable executive will be entitled to severance payments and benefits upon certain qualifying terminations of his or her employment with the Company. In the event that the applicable executive incurs a Non CIC Termination, he or she will be entitled to (i) 12 months of continued base salary for Mr. T. Kim, Mr. WM Lee and Ms. SY Park, and 6 months of continued base salary for Mr. CH Park (as then in effect or in effect prior to any diminution constituting “good reason”) (the “Other Executive Salary Payment”), (ii) a pro rata bonus based on actual performance (if such termination occurs after June 30 of the year of termination) (together with the Other Executive Salary Payment, the “Other Executive Severance Payment”), (iii) vesting of all equity awards in accordance with the terms of our equity plan and the applicable award agreements. Further, Mr. T. Kim would receive a lump sum payment equal to the cost of 12 months of Company-paid medical, dental and vision insurance premiums, 90 days’ continuation of his expatriate benefits, and, to the extent that he is eligible to receive such payments as part of his expatriate benefits, a repatriation allowance in the amount of one month’s base salary and certain repatriation expenses as described in 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Mr. WM Lee, Mr. T. Kim or Ms. SY Park incurs a CIC Termination, then the applicable executive will be entitled to the severance payments described above, provided that the Severance Payment instead will equal one and one-half times the executive’s base salary (as then in effect or in effect prior to any diminution implicating “good reason”), while Mr. CH Park would have been entitled to 12 months of base salary as described above prior to his termination of employment in 2024; and provided further, that if the date of termination occurs after June 30 of the calendar year in which the date of termination occurs, Mr. T. Kim will also receive an amount equal to an additional month of base salary for each month that has passed since July 1 through the date of termination (rounding up for any partial months), which will be payable in a lump sum on the sixtieth (60th) day following the date of termination. Further, the applicable executive will vest in all equity grants in accordance with the terms of our equity plan and the applicable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executive’s rights to receive any “change in control” or other severance payments under the Other Executive Agreements is subject to the applicable executive’s execution of a release of claims against us and his or her compliance with certain restrictive covenants.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2023, and assuming a closing per share price of $7.50 on December 29, 2023, the last trading day of 2023. In addition, the disclosure in the following table does not include: </w:t>
      </w:r>
    </w:p>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125"/>
        <w:gridCol w:w="60"/>
        <w:gridCol w:w="64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accrued benefits that were earned and payable as of December 31, 2023;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payments and benefits to the extent they are provided generally to all salaried employees and do not discriminate in scope, terms or operation in favor of the named executive officers.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Young-Joon Kim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82"/>
        <w:gridCol w:w="120"/>
        <w:gridCol w:w="60"/>
        <w:gridCol w:w="995"/>
        <w:gridCol w:w="262"/>
        <w:gridCol w:w="60"/>
        <w:gridCol w:w="74"/>
        <w:gridCol w:w="1221"/>
        <w:gridCol w:w="262"/>
        <w:gridCol w:w="60"/>
        <w:gridCol w:w="95"/>
        <w:gridCol w:w="1275"/>
        <w:gridCol w:w="262"/>
        <w:gridCol w:w="60"/>
        <w:gridCol w:w="60"/>
        <w:gridCol w:w="980"/>
        <w:gridCol w:w="77"/>
      </w:tblGrid>
      <w:tr>
        <w:trPr/>
        <w:tc>
          <w:tcPr>
            <w:tcW w:w="4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2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Severance</w:t>
              <w:br/>
              <w:t>Payment</w:t>
              <w:br/>
              <w:t>($)(1)</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w:t>
              <w:br/>
              <w:t>Equity</w:t>
              <w:br/>
              <w:t>Award</w:t>
              <w:br/>
              <w:t>Acceleration</w:t>
              <w:br/>
              <w:t>($)</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Continuation</w:t>
              <w:br/>
              <w:t>of Benefits</w:t>
              <w:br/>
              <w:t>and</w:t>
              <w:br/>
              <w:t>Perquisites</w:t>
              <w:br/>
              <w:t>($)(2)</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7" w:type="dxa"/>
            <w:tcBorders/>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1,120,200</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1,173,765</w:t>
            </w:r>
          </w:p>
        </w:tc>
        <w:tc>
          <w:tcPr>
            <w:tcW w:w="262"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477,775</w:t>
            </w:r>
          </w:p>
        </w:tc>
        <w:tc>
          <w:tcPr>
            <w:tcW w:w="262"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2,771,740</w:t>
            </w:r>
          </w:p>
        </w:tc>
        <w:tc>
          <w:tcPr>
            <w:tcW w:w="77" w:type="dxa"/>
            <w:tcBorders/>
            <w:shd w:fill="CCEEFF" w:val="clear"/>
            <w:vAlign w:val="center"/>
          </w:tcPr>
          <w:p>
            <w:pPr>
              <w:pStyle w:val="TableContents"/>
              <w:bidi w:val="0"/>
              <w:spacing w:before="0" w:after="283"/>
              <w:jc w:val="left"/>
              <w:rPr/>
            </w:pPr>
            <w:r>
              <w:rPr/>
              <w:t> </w:t>
            </w:r>
          </w:p>
        </w:tc>
      </w:tr>
      <w:tr>
        <w:trPr/>
        <w:tc>
          <w:tcPr>
            <w:tcW w:w="428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 In Connection With a Change in Control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2,240,400</w:t>
            </w:r>
          </w:p>
        </w:tc>
        <w:tc>
          <w:tcPr>
            <w:tcW w:w="26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3,058,943</w:t>
            </w:r>
          </w:p>
        </w:tc>
        <w:tc>
          <w:tcPr>
            <w:tcW w:w="262"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518,951</w:t>
            </w:r>
          </w:p>
        </w:tc>
        <w:tc>
          <w:tcPr>
            <w:tcW w:w="262"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5,818,294</w:t>
            </w:r>
          </w:p>
        </w:tc>
        <w:tc>
          <w:tcPr>
            <w:tcW w:w="77" w:type="dxa"/>
            <w:tcBorders/>
            <w:vAlign w:val="center"/>
          </w:tcPr>
          <w:p>
            <w:pPr>
              <w:pStyle w:val="TableContents"/>
              <w:bidi w:val="0"/>
              <w:spacing w:before="0" w:after="283"/>
              <w:jc w:val="left"/>
              <w:rPr/>
            </w:pPr>
            <w:r>
              <w:rPr/>
              <w:t> </w:t>
            </w:r>
          </w:p>
        </w:tc>
      </w:tr>
      <w:tr>
        <w:trPr/>
        <w:tc>
          <w:tcPr>
            <w:tcW w:w="428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for Cause / By Executive without Good Reason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8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Change in Control (without termination of employment)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3,058,943</w:t>
            </w:r>
          </w:p>
        </w:tc>
        <w:tc>
          <w:tcPr>
            <w:tcW w:w="262"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3,058,943</w:t>
            </w:r>
          </w:p>
        </w:tc>
        <w:tc>
          <w:tcPr>
            <w:tcW w:w="77"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severance payments payable pursuant to the CEO Agreement (including a pro rata bonus based on actual performance). See “Potential Payments Upon Termination or Change in Control” for additional information.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continuation of benefits and perquisites pursuant to the CEO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2023 benefits.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YJ Kim would also receive such benefits upon a termination as a result of his death or disability that occurs in connection with a change in control.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(4)</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Mr. YJ Kim’s 2021, 2022 and 2023 TSR PSUs and 2023 Financial PSUs that remain eligible to vest, based on the Continued Service Condition and the assumed termination date. More specifically, he would remain eligible to vest in the full number of his 2021 TSR PSUs, two-thirds of his 2022 TSR PSUs, one-third of his 2023 TSR PSUs and 50% of his 2023 Financial PSUs (such percentage including the vesting of the Make-Whole Financial PSUs). This column assumes vesting at the target performance level. On February 23, 2024, the vested quantity of 2023 Financial PSUs and 2021 TSR PSUs granted to Mr. YJ Kim has been confirmed as 0% of the granted quantity. Had this been taken into account, the value would have been $339,735, which is $834,030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(5)</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immediate vesting of all RSUs granted after January 1, 2022. Mr. YJ Kim would also vest in his outstanding Financial PSUs and TSR PSUs at the time of the change of control. This column assumes vesting at the target performance level. Mr. YJ Kim would also receive accelerated vesting of his RSUs upon his death or disability that occurs in connection with a change in control. On February 23, 2024, the vested quantity of 2023 Financial PSUs and 2021 TSR PSUs granted to Mr. YJ Kim has been confirmed as 0% of the granted quantity. Had this been taken into account, the value would have been $1,586,828, which is $1,472,115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(6)</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Compensation Committee exercised its discretion to fully accelerate all equity awards in connection with the transaction under the 2011 Plan and the 2020 Plan. Represents the value of accelerated vesting of unvested RSUs, Financial PSUs and TSR PSUs (assuming Financial PSUs and TSR PSUs vest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target performance level). On February 23, 2024, the vested quantity of 2023 Financial PSUs and 2021 TSR PSUs granted to Mr. YJ Kim has been confirmed as 0% of the granted quantity. Had this been taken into account, the value would have been $1,586,828, which is $1,472,115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following continuation of benefits and perquisites for Mr. YJ Kim: (a) $51,537, which is housing expenses for Mr. YJ Kim’s housing lease; (b) $82,351 for health insurance premiums; (c) $46,675 for repatriation allowance; (d) $22,642 for repatriation expense; (e) $14,691 for living expense, tax consulting fee and car service provided by the Company; (f) -$6,956 of estimated reimbursement (payable by Mr. YJ Kim) of the difference between the actual U.S. tax paid and the applicable hypothetical tax calculated for the applicable fiscal year; and (g) $266,835 for estimated reimbursement of Korean tax.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(8)</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Same as the total amount of Note (7) except this amount includes an additional $41,175 representing the employer cost of insurance premiums for an additional 6 months of insurance coverage. Mr. YJ Kim would also receive such benefits upon a termination as a result of his death or disability that occurs in connection with a change in control.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Shin Young Park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63"/>
        <w:gridCol w:w="120"/>
        <w:gridCol w:w="73"/>
        <w:gridCol w:w="982"/>
        <w:gridCol w:w="60"/>
        <w:gridCol w:w="120"/>
        <w:gridCol w:w="90"/>
        <w:gridCol w:w="1205"/>
        <w:gridCol w:w="266"/>
        <w:gridCol w:w="60"/>
        <w:gridCol w:w="256"/>
        <w:gridCol w:w="1114"/>
        <w:gridCol w:w="60"/>
        <w:gridCol w:w="120"/>
        <w:gridCol w:w="60"/>
        <w:gridCol w:w="980"/>
        <w:gridCol w:w="76"/>
      </w:tblGrid>
      <w:tr>
        <w:trPr/>
        <w:tc>
          <w:tcPr>
            <w:tcW w:w="45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Severance</w:t>
              <w:br/>
              <w:t>Payment</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w:t>
              <w:br/>
              <w:t>Equity</w:t>
              <w:br/>
              <w:t>Award</w:t>
              <w:br/>
              <w:t>Acceleration</w:t>
              <w:br/>
              <w:t>($)</w:t>
            </w:r>
          </w:p>
        </w:tc>
        <w:tc>
          <w:tcPr>
            <w:tcW w:w="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Continuation</w:t>
              <w:br/>
              <w:t>of Benefits</w:t>
              <w:br/>
              <w:t>and</w:t>
              <w:br/>
              <w:t>Perquisites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6" w:type="dxa"/>
            <w:tcBorders/>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197,078</w:t>
            </w:r>
          </w:p>
        </w:tc>
        <w:tc>
          <w:tcPr>
            <w:tcW w:w="266"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507,078</w:t>
            </w:r>
          </w:p>
        </w:tc>
        <w:tc>
          <w:tcPr>
            <w:tcW w:w="76" w:type="dxa"/>
            <w:tcBorders/>
            <w:shd w:fill="CCEEFF" w:val="clear"/>
            <w:vAlign w:val="center"/>
          </w:tcPr>
          <w:p>
            <w:pPr>
              <w:pStyle w:val="TableContents"/>
              <w:bidi w:val="0"/>
              <w:spacing w:before="0" w:after="283"/>
              <w:jc w:val="left"/>
              <w:rPr/>
            </w:pPr>
            <w:r>
              <w:rPr/>
              <w:t> </w:t>
            </w:r>
          </w:p>
        </w:tc>
      </w:tr>
      <w:tr>
        <w:trPr/>
        <w:tc>
          <w:tcPr>
            <w:tcW w:w="4563"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 In Connection With a Change in Control</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465,000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621,053</w:t>
            </w:r>
          </w:p>
        </w:tc>
        <w:tc>
          <w:tcPr>
            <w:tcW w:w="266"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1,086,053</w:t>
            </w:r>
          </w:p>
        </w:tc>
        <w:tc>
          <w:tcPr>
            <w:tcW w:w="76" w:type="dxa"/>
            <w:tcBorders/>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for Cause / By Executive without Good Reason / Disability / Death</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563"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Change in Control (without termination of employment)</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621,053</w:t>
            </w:r>
          </w:p>
        </w:tc>
        <w:tc>
          <w:tcPr>
            <w:tcW w:w="266"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621,053</w:t>
            </w:r>
          </w:p>
        </w:tc>
        <w:tc>
          <w:tcPr>
            <w:tcW w:w="7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severance payments payable pursuant to the Executive Service Agreement. See “Potential Payments Upon Termination or Change in Control” for additional information.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Ms. SY Park’s 2021, 2022 and 2023 TSR PSUs and 2023 Financial PSUs that remain eligible to vest, based on the Continued Service Condition and the assumed termination date. More specifically, she would remain eligible to vest in the full number of her 2021 TSR PSUs, two-thirds of her 2022 TSR PSUs, one-third of her 2023 TSR PSUs and 50% of her 2023 Financial PSUs (such percentage including the vesting of the Make-Whole Financial PSUs). This column assumes vesting at the target performance level. On February 23, 2024, the vested quantity of 2023 Financial PSUs and 2021 TSR PSUs granted to Ms. SY Park has been confirmed as 0% of the granted quantity. Had this been taken into account, the value would have been $50,648, which is $146,430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immediate vesting of all RSUs granted on or after January 1, 2022. Ms. SY Park would also vest in her outstanding Financial PSUs and TSR PSUs at the time of the change of control. This column assumes vesting at the target performance level. On February 23, 2024, the vested quantity of 2023 Financial PSUs and 2021 TSR PSUs granted to Ms. SY Park has been confirmed as 0% of the granted quantity. Had this been taken into account, the value would have been $343,298, which is $277,755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Compensation Committee exercised its discretion to fully accelerate all equity awards in connection with the transaction under the 2011 Plan and the 2020 Plan. Represents the value of accelerated vesting of unvested RSUs, Financial PSUs and TSR PSUs (assuming Financial PSUs and TSR PSUs vest at target performance level). On February 23, 2024, the vested quantity of 2023 Financial PSUs and 2021 TSR PSUs granted to Ms. SY Park has been confirmed as 0% of the granted quantity. Had this been taken into account, the value would have been $343,298, which is $277,755 lower than what is indicated in the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Theodore Kim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20"/>
        <w:gridCol w:w="120"/>
        <w:gridCol w:w="73"/>
        <w:gridCol w:w="982"/>
        <w:gridCol w:w="60"/>
        <w:gridCol w:w="120"/>
        <w:gridCol w:w="90"/>
        <w:gridCol w:w="1205"/>
        <w:gridCol w:w="264"/>
        <w:gridCol w:w="60"/>
        <w:gridCol w:w="95"/>
        <w:gridCol w:w="1275"/>
        <w:gridCol w:w="264"/>
        <w:gridCol w:w="60"/>
        <w:gridCol w:w="60"/>
        <w:gridCol w:w="980"/>
        <w:gridCol w:w="77"/>
      </w:tblGrid>
      <w:tr>
        <w:trPr/>
        <w:tc>
          <w:tcPr>
            <w:tcW w:w="4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4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Severance</w:t>
              <w:br/>
              <w:t>Payment</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w:t>
              <w:br/>
              <w:t>Equity</w:t>
              <w:br/>
              <w:t>Award</w:t>
              <w:br/>
              <w:t>Acceleration</w:t>
              <w:br/>
              <w:t>($)</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Continuation</w:t>
              <w:br/>
              <w:t>of Benefits</w:t>
              <w:br/>
              <w:t>and</w:t>
              <w:br/>
              <w:t>Perquisites</w:t>
              <w:br/>
              <w:t>($)(2)</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4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269,490</w:t>
            </w:r>
          </w:p>
        </w:tc>
        <w:tc>
          <w:tcPr>
            <w:tcW w:w="264"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249,729</w:t>
            </w:r>
          </w:p>
        </w:tc>
        <w:tc>
          <w:tcPr>
            <w:tcW w:w="264"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869,219</w:t>
            </w:r>
          </w:p>
        </w:tc>
        <w:tc>
          <w:tcPr>
            <w:tcW w:w="77" w:type="dxa"/>
            <w:tcBorders/>
            <w:shd w:fill="CCEEFF" w:val="clear"/>
            <w:vAlign w:val="center"/>
          </w:tcPr>
          <w:p>
            <w:pPr>
              <w:pStyle w:val="TableContents"/>
              <w:bidi w:val="0"/>
              <w:spacing w:before="0" w:after="283"/>
              <w:jc w:val="left"/>
              <w:rPr/>
            </w:pPr>
            <w:r>
              <w:rPr/>
              <w:t> </w:t>
            </w:r>
          </w:p>
        </w:tc>
      </w:tr>
      <w:tr>
        <w:trPr/>
        <w:tc>
          <w:tcPr>
            <w:tcW w:w="4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 In Connection With a Change in Control</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960,503</w:t>
            </w:r>
          </w:p>
        </w:tc>
        <w:tc>
          <w:tcPr>
            <w:tcW w:w="264"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249,729</w:t>
            </w:r>
          </w:p>
        </w:tc>
        <w:tc>
          <w:tcPr>
            <w:tcW w:w="264"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1,910,232</w:t>
            </w:r>
          </w:p>
        </w:tc>
        <w:tc>
          <w:tcPr>
            <w:tcW w:w="77" w:type="dxa"/>
            <w:tcBorders/>
            <w:vAlign w:val="center"/>
          </w:tcPr>
          <w:p>
            <w:pPr>
              <w:pStyle w:val="TableContents"/>
              <w:bidi w:val="0"/>
              <w:spacing w:before="0" w:after="283"/>
              <w:jc w:val="left"/>
              <w:rPr/>
            </w:pPr>
            <w:r>
              <w:rPr/>
              <w:t> </w:t>
            </w:r>
          </w:p>
        </w:tc>
      </w:tr>
      <w:tr>
        <w:trPr/>
        <w:tc>
          <w:tcPr>
            <w:tcW w:w="4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for Cause / By Executive without Good Reason / Disability / Death</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Change in Control (without termination of employment)</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960,503</w:t>
            </w:r>
          </w:p>
        </w:tc>
        <w:tc>
          <w:tcPr>
            <w:tcW w:w="264"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960,503</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severance payments payable pursuant to the applicable Other Executive Agreement. See “Potential Payments Upon Termination or Change in Control” for additional information.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continuation of benefits and perquisites pursuant to the applicable Other Executive Agreements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2023 benefits.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Mr. T. Kim’s 2021, 2022 and 2023 TSR PSUs and 2023 Financial PSUs that remain eligible to vest, based on the Continued Service Condition and the assumed termination date. More specifically, he would remain eligible to vest in the full number of his 2021 TSR PSUs, two-thirds of his 2022 TSR PSUs, one-third of his 2023 TSR PSUs and 50% of his 2023 Financial PSUs (such percentage including the vesting of the Make-Whole Financial PSUs). This column assumes vesting at the target performance level. On February 23, 2024, the vested quantity of 2023 Financial PSUs and 2021 TSR PSUs granted to Mr. T. Kim has been confirmed as 0% of the granted quantity. Had this been taken into account, the value would have been $67,988, which is $201,503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immediate vesting of all RSUs granted after January 1, 2022. Mr. T. Kim would also vest in his outstanding Financial PSUs and TSR PSUs at the time of the change of control. This column assumes vesting at the target performance level. On February 23, 2024, the vested quantity of 2023 Financial PSUs and 2021 TSR PSUs granted to Mr. T. Kim has been confirmed as 0% of the granted quantity. Had this been taken into account, the value would have been $606,563, which is $353,940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Compensation Committee exercised its discretion to fully accelerate all equity awards in connection with the transaction under the 2011 Plan and the 2020 Plan. Represents the value of accelerated vesting of unvested RSUs, Financial PSUs and PSUs (assuming Financial PSUs and TSR PSUs vest at target performance level). On February 23, 2024, the vested quantity of 2023 Financial PSUs and 2021 TSR PSUs granted to Mr. T. Kim has been confirmed as 0% of the granted quantity. Had this been taken into account, the value would have been $606,563, which is $353,940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following continuation of benefits and perquisites for Mr. T. Kim: (a) $18,813 for housing expenses for Mr. T. Kim’s housing lease; (b) $7,173 for Mr. T. Kim’s home leave flights; (c) $58,363 for health insurance premiums; (d) $29,167 for repatriation allowance; (e) $50,000 for repatriation expense; (f) $5,604 for other personal benefits (including personal use of a car service provided by the Company, living expenses and tax consulting fee); (g) -$19,297 of estimated reimbursement (payable by Mr. T. Kim) of the difference between the actual U.S. tax paid and the applicable hypothetical tax calculated for the applicable fiscal year; and (h) $99,904 for estimated reimbursement of Korean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Woung Moo Lee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40"/>
        <w:gridCol w:w="120"/>
        <w:gridCol w:w="73"/>
        <w:gridCol w:w="982"/>
        <w:gridCol w:w="60"/>
        <w:gridCol w:w="120"/>
        <w:gridCol w:w="90"/>
        <w:gridCol w:w="1205"/>
        <w:gridCol w:w="269"/>
        <w:gridCol w:w="60"/>
        <w:gridCol w:w="256"/>
        <w:gridCol w:w="1114"/>
        <w:gridCol w:w="60"/>
        <w:gridCol w:w="120"/>
        <w:gridCol w:w="60"/>
        <w:gridCol w:w="800"/>
        <w:gridCol w:w="76"/>
      </w:tblGrid>
      <w:tr>
        <w:trPr/>
        <w:tc>
          <w:tcPr>
            <w:tcW w:w="4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Severance</w:t>
              <w:br/>
              <w:t>Payment</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w:t>
              <w:br/>
              <w:t>Equity</w:t>
              <w:br/>
              <w:t>Award</w:t>
              <w:br/>
              <w:t>Acceleration</w:t>
              <w:br/>
              <w:t>($)</w:t>
            </w:r>
          </w:p>
        </w:tc>
        <w:tc>
          <w:tcPr>
            <w:tcW w:w="2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Continuation</w:t>
              <w:br/>
              <w:t>of Benefits</w:t>
              <w:br/>
              <w:t>and</w:t>
              <w:br/>
              <w:t>Perquisites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($s)</w:t>
            </w:r>
          </w:p>
        </w:tc>
        <w:tc>
          <w:tcPr>
            <w:tcW w:w="76" w:type="dxa"/>
            <w:tcBorders/>
            <w:vAlign w:val="center"/>
          </w:tcPr>
          <w:p>
            <w:pPr>
              <w:pStyle w:val="TableContents"/>
              <w:bidi w:val="0"/>
              <w:spacing w:before="0" w:after="283"/>
              <w:jc w:val="left"/>
              <w:rPr/>
            </w:pPr>
            <w:r>
              <w:rPr/>
              <w:t> </w:t>
            </w:r>
          </w:p>
        </w:tc>
      </w:tr>
      <w:tr>
        <w:trPr/>
        <w:tc>
          <w:tcPr>
            <w:tcW w:w="47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271,931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111,555</w:t>
            </w:r>
          </w:p>
        </w:tc>
        <w:tc>
          <w:tcPr>
            <w:tcW w:w="26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383,486</w:t>
            </w:r>
          </w:p>
        </w:tc>
        <w:tc>
          <w:tcPr>
            <w:tcW w:w="76" w:type="dxa"/>
            <w:tcBorders/>
            <w:shd w:fill="CCEEFF" w:val="clear"/>
            <w:vAlign w:val="center"/>
          </w:tcPr>
          <w:p>
            <w:pPr>
              <w:pStyle w:val="TableContents"/>
              <w:bidi w:val="0"/>
              <w:spacing w:before="0" w:after="283"/>
              <w:jc w:val="left"/>
              <w:rPr/>
            </w:pPr>
            <w:r>
              <w:rPr/>
              <w:t> </w:t>
            </w:r>
          </w:p>
        </w:tc>
      </w:tr>
      <w:tr>
        <w:trPr/>
        <w:tc>
          <w:tcPr>
            <w:tcW w:w="4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 In Connection With a Change in Control</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407,897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374,730</w:t>
            </w:r>
          </w:p>
        </w:tc>
        <w:tc>
          <w:tcPr>
            <w:tcW w:w="269"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782,627</w:t>
            </w:r>
          </w:p>
        </w:tc>
        <w:tc>
          <w:tcPr>
            <w:tcW w:w="76" w:type="dxa"/>
            <w:tcBorders/>
            <w:vAlign w:val="center"/>
          </w:tcPr>
          <w:p>
            <w:pPr>
              <w:pStyle w:val="TableContents"/>
              <w:bidi w:val="0"/>
              <w:spacing w:before="0" w:after="283"/>
              <w:jc w:val="left"/>
              <w:rPr/>
            </w:pPr>
            <w:r>
              <w:rPr/>
              <w:t> </w:t>
            </w:r>
          </w:p>
        </w:tc>
      </w:tr>
      <w:tr>
        <w:trPr/>
        <w:tc>
          <w:tcPr>
            <w:tcW w:w="47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for Cause / By Executive without Good Reason / Disability / Death</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4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Change in Control (without termination of employment)</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374,730</w:t>
            </w:r>
          </w:p>
        </w:tc>
        <w:tc>
          <w:tcPr>
            <w:tcW w:w="269"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374,730</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severance payments payable pursuant to the applicable Other Executive Agreement. See “Potential Payments Upon Termination or Change in Control” for additional information.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Mr. WM Lee’s 2021, 2022 and 2023 TSR PSUs and 2023 Financial PSUs that remain eligible to vest, based on the Continued Service Condition and the assumed termination date. More specifically, he would remain eligible to vest in the full number of his 2021 TSR PSUs, two-thirds of his 2022 TSR PSUs, one-third of his 2023 TSR PSUs and 50%of his 2023 Financial PSUs (such percentage including the vesting of the Make-Whole Financial PSUs). This column assumes vesting at the target performance level. On February 23, 2024, the vested quantity of 2023 Financial PSUs and 2021 TSR PSUs granted to Mr. WM Lee has been confirmed as 0% of the granted quantity. Had this been taken into account, the value would have been $28,875, which is $82,680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all RSUs granted after January 1, 2022. Mr. WM Lee would also vest in his outstanding Financial PSUs and TSR PSUs at the time of the change of control. This column assumes vesting at the target performance level. On February 23, 2024, the vested quantity of 2023 Financial PSUs and 2021 TSR PSUs granted to Mr. WM Lee has been confirmed as 0% of the granted quantity. Had this been taken into account, the value would have been $235,800, which is $138,930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Compensation Committee exercised its discretion to fully accelerate all equity awards in connection with the transaction under the 2011 Plan and the 2020 Plan. Represents the value of accelerated vesting of unvested RSUs, Financial PSUs and TSR PSUs (assuming Financial PSUs and TSR PSUs vest at target performance level). On February 23, 2024, the vested quantity of 2023 Financial PSUs and 2021 TSR PSUs granted to Mr. WM Lee has been confirmed as 0% of the granted quantity. Had this been taken into account, the value would have been $235,800, which is $138,930 lower than what is indicated in the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 Ho Park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29"/>
        <w:gridCol w:w="120"/>
        <w:gridCol w:w="73"/>
        <w:gridCol w:w="982"/>
        <w:gridCol w:w="60"/>
        <w:gridCol w:w="120"/>
        <w:gridCol w:w="90"/>
        <w:gridCol w:w="1205"/>
        <w:gridCol w:w="269"/>
        <w:gridCol w:w="60"/>
        <w:gridCol w:w="256"/>
        <w:gridCol w:w="1114"/>
        <w:gridCol w:w="60"/>
        <w:gridCol w:w="120"/>
        <w:gridCol w:w="60"/>
        <w:gridCol w:w="810"/>
        <w:gridCol w:w="77"/>
      </w:tblGrid>
      <w:tr>
        <w:trPr/>
        <w:tc>
          <w:tcPr>
            <w:tcW w:w="4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72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Severance</w:t>
              <w:br/>
              <w:t>Payment</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of</w:t>
              <w:br/>
              <w:t>Equity</w:t>
              <w:br/>
              <w:t>Award</w:t>
              <w:br/>
              <w:t>Acceleration</w:t>
              <w:br/>
              <w:t>($)</w:t>
            </w:r>
          </w:p>
        </w:tc>
        <w:tc>
          <w:tcPr>
            <w:tcW w:w="2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Continuation</w:t>
              <w:br/>
              <w:t>of Benefits</w:t>
              <w:br/>
              <w:t>and</w:t>
              <w:br/>
              <w:t>Perquisites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168,300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79,455</w:t>
            </w:r>
          </w:p>
        </w:tc>
        <w:tc>
          <w:tcPr>
            <w:tcW w:w="26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247,755</w:t>
            </w:r>
          </w:p>
        </w:tc>
        <w:tc>
          <w:tcPr>
            <w:tcW w:w="77" w:type="dxa"/>
            <w:tcBorders/>
            <w:shd w:fill="CCEEFF" w:val="clear"/>
            <w:vAlign w:val="center"/>
          </w:tcPr>
          <w:p>
            <w:pPr>
              <w:pStyle w:val="TableContents"/>
              <w:bidi w:val="0"/>
              <w:spacing w:before="0" w:after="283"/>
              <w:jc w:val="left"/>
              <w:rPr/>
            </w:pPr>
            <w:r>
              <w:rPr/>
              <w:t> </w:t>
            </w:r>
          </w:p>
        </w:tc>
      </w:tr>
      <w:tr>
        <w:trPr/>
        <w:tc>
          <w:tcPr>
            <w:tcW w:w="472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Without Cause / By Executive for Good Reason, In Connection With a Change in Control</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336,600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236,963</w:t>
            </w:r>
          </w:p>
        </w:tc>
        <w:tc>
          <w:tcPr>
            <w:tcW w:w="269"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573,563</w:t>
            </w:r>
          </w:p>
        </w:tc>
        <w:tc>
          <w:tcPr>
            <w:tcW w:w="77" w:type="dxa"/>
            <w:tcBorders/>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Termination By the Company for Cause / By Executive without Good Reason / Disability / Death</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72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Change in Control (without termination of employment)</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236,963</w:t>
            </w:r>
          </w:p>
        </w:tc>
        <w:tc>
          <w:tcPr>
            <w:tcW w:w="269"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236,963</w:t>
            </w:r>
          </w:p>
        </w:tc>
        <w:tc>
          <w:tcPr>
            <w:tcW w:w="77"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severance payments payable pursuant to the Executive Service Agreement. See “Potential Payments Upon Termination or Change in Control” for additional information.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Mr. CH Park’s 2021, 2022 and 2023 TSR PSUs and 2023 Financial PSUs that remain eligible to vest, based on the Continued Service Condition and the assumed termination date. More specifically, he would remain eligible to vest in the full number of his 2021 TSR PSUs, two-thirds of his 2022 TSR PSUs, one-third of his 2023 TSR PSUs and 50%of his 2023 Financial PSUs (such percentage including the vesting of the Make-Whole Financial PSUs). This column assumes vesting at the target performance level. On February 23, 2024, the vested quantity of 2023 Financial PSUs and 2021 TSR PSUs granted to Mr. CH Park has been confirmed as 0% of the granted quantity. Had this been taken into account, the value would have been $24,375, which is $55,080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value of all RSUs granted after January 1, 2022. Mr. CH Park would also vest in his outstanding Financial PSUs and TSR PSUs at the time of the change of control. This column assumes vesting at the target performance level. On February 23, 2024, the vested quantity of 2023 Financial PSUs and 2021 TSR PSUs granted to Mr. CH Park has been confirmed as 0% of the granted quantity. Had this been taken into account, the value would have been $138,135, which is $98,828 lower than what is indicated in the table.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Compensation Committee exercised its discretion to fully accelerate all equity awards in connection with the transaction under the 2011 Plan and the 2020 Plan. Represents the value of accelerated vesting of unvested RSUs, Financial PSUs and TSR PSUs (assuming Financial PSUs and TSR PSUs at vest target performance level). On February 23, 2024, the vested quantity of 2023 Financial PSUs and 2021 TSR PSUs granted to Mr. CH Park has been confirmed as 0% of the granted quantity. Had this been taken into account, the value would have been $138,135, which is $98,828 lower than what is indicated in the table.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CEO Pay Ratio </w:t>
      </w:r>
    </w:p>
    <w:p>
      <w:pPr>
        <w:pStyle w:val="TextBody"/>
        <w:bidi w:val="0"/>
        <w:spacing w:before="120" w:after="0"/>
        <w:jc w:val="left"/>
        <w:rPr>
          <w:rFonts w:ascii="Times New Roman" w:hAnsi="Times New Roman"/>
          <w:sz w:val="20"/>
        </w:rPr>
      </w:pPr>
      <w:r>
        <w:rPr>
          <w:rFonts w:ascii="Times New Roman" w:hAnsi="Times New Roman"/>
          <w:sz w:val="20"/>
        </w:rPr>
        <w:t xml:space="preserve">For the 2023 fiscal year, the ratio of the annual total compensation of Mr. YJ Kim, our Chief Executive Officer (“CEO Compensation”), to the median of the annual total compensation of all of our employees other than our Chief Executive Officer (“Median Annual Compensation”) was 69.65 to 1. 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2023 (the “Determination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CEO Compensation for purposes of this disclosure represents the total compensation reported for Mr. YJ Kim under “Summary Compensation Table”, which was $5,911,543 for the 2023 fiscal year. For purposes of this disclosure, Median Annual Compensation was $84,873, and was calculated by totaling for our Median Employee all applicable elements of compensation for the 2023 fiscal year in accordance with Item 402(c)(2)(x)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identify the Median Employee, we first determined our employee population as of the Determination Date. We had 891 employees, representing all full-time, part-time, seasonal and temporary employees of Magnachip and its consolidated subsidiaries as of the Determination Date, but excluding Mr. YJ Kim, and, as permitted by applicable SEC rules, excluding (i) any independent contractors or “leased” workers and (ii) all of our employees located in China (27), Taiwan (4), Japan (2) and Germany (1). We then measured compensation for the period beginning on January 1, 2023 and ending on December 31, 2023 for these employees. This compensation measurement was calculated by totaling, for each employee, total cash compensation paid (including salary, wages, tips, cash bonuses and other cash compensation paid in 2023) as shown in our payroll and human resources records for 2023. A portion of our employee workforce (full-time and part-time) worked for less than the full fiscal year due to commencing employment after the beginning of the fiscal year. In determining the Median Employee, we annualized the compensation for such individuals. </w:t>
      </w:r>
    </w:p>
    <w:p>
      <w:pPr>
        <w:pStyle w:val="TextBody"/>
        <w:bidi w:val="0"/>
        <w:spacing w:before="360" w:after="0"/>
        <w:jc w:val="left"/>
        <w:rPr>
          <w:rFonts w:ascii="Times New Roman" w:hAnsi="Times New Roman"/>
          <w:b/>
          <w:sz w:val="20"/>
        </w:rPr>
      </w:pPr>
      <w:bookmarkStart w:id="30" w:name="toc784802_28"/>
      <w:bookmarkEnd w:id="30"/>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as of December 31, 2023, regarding securities authorized for issuance under the Company’s compensation plans. The Company’s compensation plans include the 2020 Plan, the 2011 Plan, and the Purchase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01"/>
        <w:gridCol w:w="120"/>
        <w:gridCol w:w="120"/>
        <w:gridCol w:w="1970"/>
        <w:gridCol w:w="301"/>
        <w:gridCol w:w="60"/>
        <w:gridCol w:w="298"/>
        <w:gridCol w:w="937"/>
        <w:gridCol w:w="301"/>
        <w:gridCol w:w="60"/>
        <w:gridCol w:w="122"/>
        <w:gridCol w:w="1998"/>
        <w:gridCol w:w="317"/>
      </w:tblGrid>
      <w:tr>
        <w:trPr/>
        <w:tc>
          <w:tcPr>
            <w:tcW w:w="36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br/>
              <w:t>Number of</w:t>
              <w:br/>
              <w:t>securities to be</w:t>
              <w:br/>
              <w:t>issued upon</w:t>
              <w:br/>
              <w:t>exercise of</w:t>
              <w:br/>
              <w:t>outstanding</w:t>
              <w:br/>
              <w:t>options, warrants or</w:t>
              <w:br/>
              <w:t>rights</w:t>
            </w:r>
          </w:p>
        </w:tc>
        <w:tc>
          <w:tcPr>
            <w:tcW w:w="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br/>
              <w:t>Weighted-</w:t>
              <w:br/>
              <w:t>average</w:t>
              <w:br/>
              <w:t>exercise</w:t>
              <w:br/>
              <w:t>price of</w:t>
              <w:br/>
              <w:t>outstanding</w:t>
              <w:br/>
              <w:t>options,</w:t>
              <w:br/>
              <w:t>warrants or</w:t>
              <w:br/>
              <w:t>rights</w:t>
            </w:r>
          </w:p>
        </w:tc>
        <w:tc>
          <w:tcPr>
            <w:tcW w:w="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w:t>
              <w:br/>
              <w:t>Number of securities</w:t>
              <w:br/>
              <w:t>remaining available</w:t>
              <w:br/>
              <w:t>for future issuance</w:t>
              <w:br/>
              <w:t>under equity</w:t>
              <w:br/>
              <w:t>compensation plans</w:t>
              <w:br/>
              <w:t>(excluding securities</w:t>
              <w:br/>
              <w:t>reflected in column</w:t>
              <w:br/>
              <w:t>(a))</w:t>
            </w:r>
          </w:p>
        </w:tc>
        <w:tc>
          <w:tcPr>
            <w:tcW w:w="317" w:type="dxa"/>
            <w:tcBorders/>
            <w:vAlign w:val="center"/>
          </w:tcPr>
          <w:p>
            <w:pPr>
              <w:pStyle w:val="TableContents"/>
              <w:bidi w:val="0"/>
              <w:spacing w:before="0" w:after="283"/>
              <w:jc w:val="left"/>
              <w:rPr/>
            </w:pPr>
            <w:r>
              <w:rPr/>
              <w:t> </w:t>
            </w:r>
          </w:p>
        </w:tc>
      </w:tr>
      <w:tr>
        <w:trPr/>
        <w:tc>
          <w:tcPr>
            <w:tcW w:w="360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2,608,918</w:t>
            </w:r>
          </w:p>
        </w:tc>
        <w:tc>
          <w:tcPr>
            <w:tcW w:w="301"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7.89</w:t>
            </w:r>
          </w:p>
        </w:tc>
        <w:tc>
          <w:tcPr>
            <w:tcW w:w="301"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2,810,778</w:t>
            </w:r>
          </w:p>
        </w:tc>
        <w:tc>
          <w:tcPr>
            <w:tcW w:w="317" w:type="dxa"/>
            <w:tcBorders/>
            <w:shd w:fill="CCEEFF" w:val="clear"/>
            <w:vAlign w:val="center"/>
          </w:tcPr>
          <w:p>
            <w:pPr>
              <w:pStyle w:val="TableContents"/>
              <w:bidi w:val="0"/>
              <w:spacing w:before="0" w:after="283"/>
              <w:jc w:val="left"/>
              <w:rPr/>
            </w:pPr>
            <w:r>
              <w:rPr/>
              <w:t>(2) </w:t>
            </w:r>
          </w:p>
        </w:tc>
      </w:tr>
      <w:tr>
        <w:trPr/>
        <w:tc>
          <w:tcPr>
            <w:tcW w:w="36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283"/>
              <w:jc w:val="right"/>
              <w:rPr/>
            </w:pPr>
            <w:r>
              <w:rPr/>
              <w:t>— </w:t>
            </w:r>
          </w:p>
        </w:tc>
        <w:tc>
          <w:tcPr>
            <w:tcW w:w="317" w:type="dxa"/>
            <w:tcBorders/>
            <w:vAlign w:val="center"/>
          </w:tcPr>
          <w:p>
            <w:pPr>
              <w:pStyle w:val="TableContents"/>
              <w:bidi w:val="0"/>
              <w:spacing w:before="0" w:after="283"/>
              <w:jc w:val="left"/>
              <w:rPr/>
            </w:pPr>
            <w:r>
              <w:rPr/>
              <w:t> </w:t>
            </w:r>
          </w:p>
        </w:tc>
      </w:tr>
      <w:tr>
        <w:trPr/>
        <w:tc>
          <w:tcPr>
            <w:tcW w:w="360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2,608,918</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2,810,778</w:t>
            </w:r>
          </w:p>
        </w:tc>
        <w:tc>
          <w:tcPr>
            <w:tcW w:w="317"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(i) stock options to purchase 802,858 shares of Common Stock under the 2011 Plan, at a weighted average exercise price of $7.89 per share, (ii) 1,806,060 shares of Common Stock subject to RSUs and performance restricted awards under the 2011 Plan and 2020 Plan, which are calculated at maximum performance levels. There are no outstanding securities under the suspended Purchase Plan.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1,163,880 shares of Common Stock that remain available as of December 31, 2023, for future issuance under the suspended Purchase Plan. </w:t>
            </w:r>
          </w:p>
        </w:tc>
      </w:tr>
    </w:tbl>
    <w:p>
      <w:pPr>
        <w:pStyle w:val="TextBody"/>
        <w:bidi w:val="0"/>
        <w:spacing w:before="360" w:after="0"/>
        <w:jc w:val="left"/>
        <w:rPr>
          <w:rFonts w:ascii="Times New Roman" w:hAnsi="Times New Roman"/>
          <w:b/>
          <w:sz w:val="20"/>
        </w:rPr>
      </w:pPr>
      <w:bookmarkStart w:id="31" w:name="toc784802_29"/>
      <w:bookmarkEnd w:id="31"/>
      <w:r>
        <w:rPr>
          <w:rFonts w:ascii="Times New Roman" w:hAnsi="Times New Roman"/>
          <w:b/>
          <w:sz w:val="20"/>
        </w:rPr>
        <w:t xml:space="preserve">Equity Compensation Plan Summary </w:t>
      </w:r>
    </w:p>
    <w:p>
      <w:pPr>
        <w:pStyle w:val="TextBody"/>
        <w:bidi w:val="0"/>
        <w:spacing w:before="120" w:after="0"/>
        <w:jc w:val="left"/>
        <w:rPr>
          <w:rFonts w:ascii="Times New Roman" w:hAnsi="Times New Roman"/>
          <w:b/>
          <w:i/>
          <w:sz w:val="20"/>
        </w:rPr>
      </w:pPr>
      <w:r>
        <w:rPr>
          <w:rFonts w:ascii="Times New Roman" w:hAnsi="Times New Roman"/>
          <w:b/>
          <w:i/>
          <w:sz w:val="20"/>
        </w:rPr>
        <w:t xml:space="preserve">MagnaChip Semiconductor Corporation 2011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2011, our Board and our stockholders approved the MagnaChip Semiconductor Corporation 2011 Equity Incentive Plan (the “2011 Plan”). Following the approval of our 2020 Equity and Incentive Compensation Plan by stockholders at the 2020 Annual Meeting of Stockholders, no further awards are to be issued under the 2011 Plan.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awards held by members of our Board who are not employees will automatically be accelerated in full. The 2011 Plan also authorizes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Magnachip Semiconductor Corporation 2020 Equity and Incentive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On May 18, 2023, at the Annual Meeting of Stockholders, the Amended and Restated Magnachip Semiconductor Corporation 2020 Equity and Incentive Compensation Plan (the “2020 Plan”), was approved and adopted.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as described in the 2020 Plan, the Compensation Committee may provide in substitution for any or all outstanding awards under the 2020 Plan alternative consideration (including cash), if any, as it, in good faith, may determine to be equitable in the circumstances and shall require in connection therewith the surrender of all awards so replaced in a manner that complies with Section 409A. In addition, for each option or stock appreciation rights with an exercise price or base price, respectively, greater than the consideration offered in connection with any such transaction or event or change in control, the Compensation Committee may in its discretion elect to cancel such option or stock appreciation right without any payment to the person holding such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MagnaChip Semiconductor Corporation 2011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In March 2010, our Board approved the MagnaChip Semiconductor Corporation 2011 Employee Stock Purchase Plan (the “Purchase Plan”). Our Board amended and restated the Purchase Plan in February 2011 to reflect that the Purchase Plan would become effective in 2011 upon the commencement of our initial public offering in March 2011. The Purchase Plan was approved by our stockholders in March 2011 and became effective upon the commencement of our initial public offering in March 2011. We initially authorized and reserved 789,890 shares for sale under the Purchase Plan. However, in August 2012, the Compensation Committee suspended the Purchase Plan. The following summary describes the terms of the Purchase Plan that would be in effect if the Purchase Plan were to be removed from suspension and reinstated. </w:t>
      </w:r>
    </w:p>
    <w:p>
      <w:pPr>
        <w:pStyle w:val="TextBody"/>
        <w:bidi w:val="0"/>
        <w:spacing w:before="240" w:after="0"/>
        <w:jc w:val="left"/>
        <w:rPr>
          <w:rFonts w:ascii="Times New Roman" w:hAnsi="Times New Roman"/>
          <w:sz w:val="20"/>
        </w:rPr>
      </w:pPr>
      <w:r>
        <w:rPr>
          <w:rFonts w:ascii="Times New Roman" w:hAnsi="Times New Roman"/>
          <w:sz w:val="20"/>
        </w:rPr>
        <w:t xml:space="preserve">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Purchase Plan provide that our employees and employees of any parent or subsidiary corporation designated by the Compensation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terms of the Purchase Plan provide that it is to be implemented through a series of sequential offering periods, generally three months in duration beginning on the first trading days of February, May, August, and November each year. The Compensation Committee is authorized to establish additional or alternative concurrent, sequential or overlapping offering periods and offering periods having a different duration or different starting or ending dates, provided that no offering period may have a duration exceeding 27 months.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Compensation Committee is authorized to change the purchase price discount for that offering period, but the purchase price may not be less than 85% of the lower of the fair market value of our Common Stock at the beginning of the offering period or on the purchase date.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Compensation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Compensation Committee will make a pro rata allocation of the available shares. Any amounts withheld from participants’ compensation in excess of the amounts used to purchase shares will be refunded, without interest.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Compensation Committee, but the number of shares subject to outstanding purchase rights shall not be adjusted.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required by Section 953(a) of the Dodd-Frank Act and Item 402(v) of Regulation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S-K,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we are providing information about the relationship between executive “Compensation Actually Paid” to our principal executive officer (“PEO”) and our other named executive officers (“NEOs”), as calculated in accordance with Item 402(v) of Regulation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S-K,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certain financial performance measures. For a discussion of our compensation philosophy, how our Compensation Committee assessed </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pay-for-performance,”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how our executive compensation program is designed to link executive compensation with the achievement of our financial and strategic objectives, as well as stockholder value creation each year, see the section titled “Compensation Discussion and Analysis” on page 22.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Pay Versus Performance Table </w:t>
      </w:r>
    </w:p>
    <w:p>
      <w:pPr>
        <w:pStyle w:val="TextBody"/>
        <w:bidi w:val="0"/>
        <w:spacing w:before="0" w:after="0"/>
        <w:jc w:val="left"/>
        <w:rPr>
          <w:shd w:fill="FFFFFF" w:val="clear"/>
        </w:rPr>
      </w:pPr>
      <w:r>
        <w:rPr>
          <w:shd w:fill="FFFFFF" w:val="clear"/>
        </w:rPr>
        <w:t> </w:t>
      </w:r>
    </w:p>
    <w:tbl>
      <w:tblPr>
        <w:tblW w:w="12578" w:type="dxa"/>
        <w:jc w:val="left"/>
        <w:tblInd w:w="0" w:type="dxa"/>
        <w:tblLayout w:type="fixed"/>
        <w:tblCellMar>
          <w:top w:w="0" w:type="dxa"/>
          <w:left w:w="0" w:type="dxa"/>
          <w:bottom w:w="0" w:type="dxa"/>
          <w:right w:w="0" w:type="dxa"/>
        </w:tblCellMar>
      </w:tblPr>
      <w:tblGrid>
        <w:gridCol w:w="395"/>
        <w:gridCol w:w="60"/>
        <w:gridCol w:w="186"/>
        <w:gridCol w:w="1304"/>
        <w:gridCol w:w="60"/>
        <w:gridCol w:w="60"/>
        <w:gridCol w:w="186"/>
        <w:gridCol w:w="1304"/>
        <w:gridCol w:w="60"/>
        <w:gridCol w:w="60"/>
        <w:gridCol w:w="186"/>
        <w:gridCol w:w="1304"/>
        <w:gridCol w:w="60"/>
        <w:gridCol w:w="60"/>
        <w:gridCol w:w="186"/>
        <w:gridCol w:w="1304"/>
        <w:gridCol w:w="60"/>
        <w:gridCol w:w="60"/>
        <w:gridCol w:w="344"/>
        <w:gridCol w:w="936"/>
        <w:gridCol w:w="139"/>
        <w:gridCol w:w="139"/>
        <w:gridCol w:w="343"/>
        <w:gridCol w:w="937"/>
        <w:gridCol w:w="60"/>
        <w:gridCol w:w="60"/>
        <w:gridCol w:w="140"/>
        <w:gridCol w:w="1220"/>
        <w:gridCol w:w="155"/>
        <w:gridCol w:w="60"/>
        <w:gridCol w:w="103"/>
        <w:gridCol w:w="757"/>
        <w:gridCol w:w="290"/>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 Fixed $100</w:t>
              <w:br/>
              <w:t>Investment Based 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Year</w:t>
            </w:r>
          </w:p>
          <w:p>
            <w:pPr>
              <w:pStyle w:val="TableContents"/>
              <w:bidi w:val="0"/>
              <w:spacing w:before="0" w:after="0"/>
              <w:jc w:val="center"/>
              <w:rPr>
                <w:rFonts w:ascii="Times New Roman" w:hAnsi="Times New Roman"/>
                <w:b/>
                <w:sz w:val="9"/>
                <w:bdr w:val="single" w:sz="8" w:space="1" w:color="000000"/>
              </w:rPr>
            </w:pPr>
            <w:r>
              <w:rPr>
                <w:rFonts w:ascii="Times New Roman" w:hAnsi="Times New Roman"/>
                <w:b/>
                <w:sz w:val="9"/>
                <w:bdr w:val="single" w:sz="8" w:space="1" w:color="000000"/>
              </w:rPr>
              <w:t>(1)</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for PEO(2)(3)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w:t>
            </w:r>
          </w:p>
          <w:p>
            <w:pPr>
              <w:pStyle w:val="TableContents"/>
              <w:bidi w:val="0"/>
              <w:spacing w:before="0" w:after="0"/>
              <w:jc w:val="center"/>
              <w:rPr>
                <w:b/>
                <w:spacing w:val="0"/>
              </w:rPr>
            </w:pPr>
            <w:r>
              <w:rPr>
                <w:b/>
                <w:spacing w:val="0"/>
              </w:rPr>
              <w:t>PEO</w:t>
              <w:br/>
              <w:t>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w:t>
              <w:br/>
              <w:t>Return(6)</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Peer Group</w:t>
              <w:br/>
              <w:t>Total</w:t>
              <w:br/>
              <w:t>Shareholder</w:t>
              <w:br/>
              <w:t>Return(7)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Income(8)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Profit</w:t>
              <w:br/>
              <w:t>Margin(9)</w:t>
            </w:r>
          </w:p>
        </w:tc>
        <w:tc>
          <w:tcPr>
            <w:tcW w:w="290" w:type="dxa"/>
            <w:tcBorders/>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5,911,543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3,073,819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1,268,903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812,131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65</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(36,622,000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22.4</w:t>
            </w:r>
          </w:p>
        </w:tc>
        <w:tc>
          <w:tcPr>
            <w:tcW w:w="290" w:type="dxa"/>
            <w:tcBorders/>
            <w:shd w:fill="CCEEFF"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2022</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7,043,045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2,131,915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1,575,706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 </w:t>
            </w:r>
            <w:r>
              <w:rPr/>
              <w:t>778,297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 </w:t>
            </w:r>
            <w:r>
              <w:rPr/>
              <w:t>81</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(8,036,000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30.0</w:t>
            </w:r>
          </w:p>
        </w:tc>
        <w:tc>
          <w:tcPr>
            <w:tcW w:w="290" w:type="dxa"/>
            <w:tcBorders/>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2021</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5,572,785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6,004,697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1,260,484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1,379,361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181</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 </w:t>
            </w:r>
            <w:r>
              <w:rPr/>
              <w:t>56,708,000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32.4</w:t>
            </w:r>
          </w:p>
        </w:tc>
        <w:tc>
          <w:tcPr>
            <w:tcW w:w="290" w:type="dxa"/>
            <w:tcBorders/>
            <w:shd w:fill="CCEEFF"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2020</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2,951,667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2,943,599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 </w:t>
            </w:r>
            <w:r>
              <w:rPr/>
              <w:t>746,414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 </w:t>
            </w:r>
            <w:r>
              <w:rPr/>
              <w:t>780,349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116</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344,965,000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25.3</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lineRule="atLeast" w:line="160" w:before="0" w:after="4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Young-Joon Kim served as the Company’s PEO for the entirety of 2020, 2021, 2022 and 2023. The Company’s other NEOs for the applicable years were as follows: </w:t>
            </w:r>
          </w:p>
        </w:tc>
      </w:tr>
    </w:tbl>
    <w:p>
      <w:pPr>
        <w:pStyle w:val="TextBody"/>
        <w:bidi w:val="0"/>
        <w:spacing w:before="0" w:after="0"/>
        <w:jc w:val="left"/>
        <w:rPr>
          <w:shd w:fill="FFFFFF" w:val="clear"/>
        </w:rPr>
      </w:pPr>
      <w:r>
        <w:rPr>
          <w:shd w:fill="FFFFFF" w:val="clear"/>
        </w:rPr>
        <w:t xml:space="preserve">– </w:t>
      </w:r>
      <w:r>
        <w:rPr>
          <w:rFonts w:ascii="Times New Roman" w:hAnsi="Times New Roman"/>
          <w:sz w:val="20"/>
          <w:shd w:fill="FFFFFF" w:val="clear"/>
        </w:rPr>
        <w:t xml:space="preserve">2023: Theodore Kim, Woung Moo Lee, Chan Ho Park, Shin Young Park </w:t>
      </w:r>
    </w:p>
    <w:p>
      <w:pPr>
        <w:pStyle w:val="TextBody"/>
        <w:bidi w:val="0"/>
        <w:spacing w:before="0" w:after="0"/>
        <w:jc w:val="left"/>
        <w:rPr>
          <w:shd w:fill="FFFFFF" w:val="clear"/>
        </w:rPr>
      </w:pPr>
      <w:r>
        <w:rPr>
          <w:shd w:fill="FFFFFF" w:val="clear"/>
        </w:rPr>
        <w:t xml:space="preserve">– </w:t>
      </w:r>
      <w:r>
        <w:rPr>
          <w:rFonts w:ascii="Times New Roman" w:hAnsi="Times New Roman"/>
          <w:sz w:val="20"/>
          <w:shd w:fill="FFFFFF" w:val="clear"/>
        </w:rPr>
        <w:t xml:space="preserve">2022: Theodore Kim, Woung Moo Lee, Chan Ho Park, Shin Young Park </w:t>
      </w:r>
    </w:p>
    <w:p>
      <w:pPr>
        <w:pStyle w:val="TextBody"/>
        <w:bidi w:val="0"/>
        <w:spacing w:before="0" w:after="0"/>
        <w:jc w:val="left"/>
        <w:rPr>
          <w:shd w:fill="FFFFFF" w:val="clear"/>
        </w:rPr>
      </w:pPr>
      <w:r>
        <w:rPr>
          <w:shd w:fill="FFFFFF" w:val="clear"/>
        </w:rPr>
        <w:t xml:space="preserve">– </w:t>
      </w:r>
      <w:r>
        <w:rPr>
          <w:rFonts w:ascii="Times New Roman" w:hAnsi="Times New Roman"/>
          <w:sz w:val="20"/>
          <w:shd w:fill="FFFFFF" w:val="clear"/>
        </w:rPr>
        <w:t xml:space="preserve">2021: Theodore Kim, Woung Moo Lee, Chan Ho Park, Young Soo Woo </w:t>
      </w:r>
    </w:p>
    <w:p>
      <w:pPr>
        <w:pStyle w:val="TextBody"/>
        <w:bidi w:val="0"/>
        <w:spacing w:before="0" w:after="0"/>
        <w:jc w:val="left"/>
        <w:rPr>
          <w:shd w:fill="FFFFFF" w:val="clear"/>
        </w:rPr>
      </w:pPr>
      <w:r>
        <w:rPr>
          <w:shd w:fill="FFFFFF" w:val="clear"/>
        </w:rPr>
        <w:t xml:space="preserve">– </w:t>
      </w:r>
      <w:r>
        <w:rPr>
          <w:rFonts w:ascii="Times New Roman" w:hAnsi="Times New Roman"/>
          <w:sz w:val="20"/>
          <w:shd w:fill="FFFFFF" w:val="clear"/>
        </w:rPr>
        <w:t xml:space="preserve">2020: Jonathan Kim, Theodore Kim, Woung Moo Lee, Chan Ho Park, Young Soo Woo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Jonathan Kim, Chan Ho Park and Young Soo Woo each served partial years in 2020. Jonathan Kim resigned on March 27 2020, Chan Ho Park’s date of hire was June 1, 2020, and Young Soo Woo’s date of hire was May 25, 2020.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“Compensation Actually Paid” to our PEO,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but do not reflect the actual amount of compensation earned by or paid to our PEO in the applicable year. The valuation assumptions used to calculate fair values were updated for the applicable fiscal year, and the assumptions for the applicable fiscal year are set forth in the notes to the financial statements in our annual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applicable fiscal year.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table below describes the adjustments that were made to the 2023 amounts reported for our PEO in the “Total” column of the Summary Compensation Table to calculate the “Compensation Actually Paid”. No dividends or other earnings were paid on stock or option awards in the covered fiscal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5"/>
        <w:gridCol w:w="120"/>
        <w:gridCol w:w="8400"/>
        <w:gridCol w:w="120"/>
        <w:gridCol w:w="140"/>
        <w:gridCol w:w="980"/>
        <w:gridCol w:w="17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40"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PEO</w:t>
            </w:r>
          </w:p>
        </w:tc>
        <w:tc>
          <w:tcPr>
            <w:tcW w:w="1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00" w:type="dxa"/>
            <w:tcBorders/>
            <w:shd w:fill="CCEEFF" w:val="clear"/>
            <w:vAlign w:val="center"/>
          </w:tcPr>
          <w:p>
            <w:pPr>
              <w:pStyle w:val="TableContents"/>
              <w:bidi w:val="0"/>
              <w:spacing w:before="0" w:after="283"/>
              <w:jc w:val="left"/>
              <w:rPr/>
            </w:pPr>
            <w:r>
              <w:rPr/>
              <w:t>Summary Compensation Table—Total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5,911,543</w:t>
            </w:r>
          </w:p>
        </w:tc>
        <w:tc>
          <w:tcPr>
            <w:tcW w:w="170" w:type="dxa"/>
            <w:tcBorders/>
            <w:shd w:fill="CCEEFF" w:val="cle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Grant Date Fair Value of Stock Awards and Option Awards Granted in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3,885,901</w:t>
            </w:r>
          </w:p>
        </w:tc>
        <w:tc>
          <w:tcPr>
            <w:tcW w:w="17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8400" w:type="dxa"/>
            <w:tcBorders/>
            <w:shd w:fill="CCEEFF" w:val="clear"/>
            <w:vAlign w:val="center"/>
          </w:tcPr>
          <w:p>
            <w:pPr>
              <w:pStyle w:val="TableContents"/>
              <w:bidi w:val="0"/>
              <w:spacing w:before="0" w:after="283"/>
              <w:jc w:val="left"/>
              <w:rPr/>
            </w:pPr>
            <w:r>
              <w:rPr/>
              <w:t>Fair Value at Fiscal Year End of Outstanding and Unvested Stock Awards and Option Awards Granted in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960,593</w:t>
            </w:r>
          </w:p>
        </w:tc>
        <w:tc>
          <w:tcPr>
            <w:tcW w:w="170" w:type="dxa"/>
            <w:tcBorders/>
            <w:shd w:fill="CCEEFF" w:val="cle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Change in Fair Value of Outstanding and Unvested Stock Awards and Option Awards Granted in Prior Fiscal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(172,083</w:t>
            </w:r>
          </w:p>
        </w:tc>
        <w:tc>
          <w:tcPr>
            <w:tcW w:w="17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8400" w:type="dxa"/>
            <w:tcBorders/>
            <w:shd w:fill="CCEEFF" w:val="clear"/>
            <w:vAlign w:val="center"/>
          </w:tcPr>
          <w:p>
            <w:pPr>
              <w:pStyle w:val="TableContents"/>
              <w:bidi w:val="0"/>
              <w:spacing w:before="0" w:after="283"/>
              <w:jc w:val="left"/>
              <w:rPr/>
            </w:pPr>
            <w:r>
              <w:rPr/>
              <w:t>Fair Value at Vesting of Stock Awards and Option Awards Granted in Fiscal Year That Vested During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377,813</w:t>
            </w:r>
          </w:p>
        </w:tc>
        <w:tc>
          <w:tcPr>
            <w:tcW w:w="170" w:type="dxa"/>
            <w:tcBorders/>
            <w:shd w:fill="CCEEFF" w:val="cle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Change in Fair Value as of Vesting Date of Stock Awards and Option Awards Granted in Prior Fiscal Years For Which Applicable Vesting Conditions Were Satisfied During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(45,515</w:t>
            </w:r>
          </w:p>
        </w:tc>
        <w:tc>
          <w:tcPr>
            <w:tcW w:w="17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8400" w:type="dxa"/>
            <w:tcBorders/>
            <w:shd w:fill="CCEEFF" w:val="clear"/>
            <w:vAlign w:val="center"/>
          </w:tcPr>
          <w:p>
            <w:pPr>
              <w:pStyle w:val="TableContents"/>
              <w:bidi w:val="0"/>
              <w:spacing w:before="0" w:after="283"/>
              <w:jc w:val="left"/>
              <w:rPr/>
            </w:pPr>
            <w:r>
              <w:rPr/>
              <w:t>Fair Value as of Prior Fiscal Year End of Stock Awards and Option Awards Granted in Prior Fiscal Years That Failed to Meet Applicable Vesting Conditions During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72,630</w:t>
            </w:r>
          </w:p>
        </w:tc>
        <w:tc>
          <w:tcPr>
            <w:tcW w:w="170" w:type="dxa"/>
            <w:tcBorders/>
            <w:shd w:fill="CCEEFF" w:val="cle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Compensation Actually Paid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3,073,819</w:t>
            </w:r>
          </w:p>
        </w:tc>
        <w:tc>
          <w:tcPr>
            <w:tcW w:w="1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u w:val="single"/>
          <w:shd w:fill="FFFFFF" w:val="clear"/>
        </w:rPr>
      </w:pPr>
      <w:r>
        <w:rPr>
          <w:rFonts w:ascii="Times New Roman" w:hAnsi="Times New Roman"/>
          <w:spacing w:val="0"/>
          <w:sz w:val="20"/>
          <w:u w:val="single"/>
          <w:shd w:fill="FFFFFF" w:val="clear"/>
        </w:rPr>
        <w:t>Equity Award Valuations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 Equity values are computed in accordance with FASB ASC 718, and the valuation assumptions used to calculate fair values did not materially differ from those disclosed at the time of grant.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average “Compensation Actually Paid” to the NEOs other than our PEO as a group, computed in accordance with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amounts do not reflect the actual average amount of compensation earned by or paid to such NEOs as a group in the applicable year. The valuation assumptions used to calculate fair values were updated for the applicable fiscal year and the assumptions for the applicable fiscal year are set forth in the notes to the financial statements in our annual on Form </w:t>
            </w:r>
          </w:p>
          <w:p>
            <w:pPr>
              <w:pStyle w:val="TableContents"/>
              <w:bidi w:val="0"/>
              <w:spacing w:before="0" w:after="0"/>
              <w:jc w:val="left"/>
              <w:rPr>
                <w:rFonts w:ascii="Times New Roman" w:hAnsi="Times New Roman"/>
                <w:sz w:val="20"/>
              </w:rPr>
            </w:pPr>
            <w:r>
              <w:rPr>
                <w:rFonts w:ascii="Times New Roman" w:hAnsi="Times New Roman"/>
                <w:sz w:val="20"/>
              </w:rPr>
              <w:t>10-K</w:t>
            </w:r>
          </w:p>
          <w:p>
            <w:pPr>
              <w:pStyle w:val="TableContents"/>
              <w:bidi w:val="0"/>
              <w:spacing w:before="0" w:after="0"/>
              <w:jc w:val="left"/>
              <w:rPr>
                <w:rFonts w:ascii="Times New Roman" w:hAnsi="Times New Roman"/>
                <w:sz w:val="20"/>
              </w:rPr>
            </w:pPr>
            <w:r>
              <w:rPr>
                <w:rFonts w:ascii="Times New Roman" w:hAnsi="Times New Roman"/>
                <w:sz w:val="20"/>
              </w:rPr>
              <w:t xml:space="preserve">for the applicable fiscal year.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table below describes the adjustments that were made were made to the 2023 average of the amounts reported in the “Total” column of the Summary Compensation Table for the NEOs as a group (excluding our PEO) to calculate the “Compensation Actually Paid”. No dividends or other earnings were paid on stock or option awards in the covered fiscal year. For information on the calculation of “compensation actually paid” for 2020, 2021 and 2022, please see the “pay versus performance” disclosure in our 2023 definitive proxy statement which was filed with the SEC on April 17, 2023.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120"/>
        <w:gridCol w:w="8400"/>
        <w:gridCol w:w="120"/>
        <w:gridCol w:w="140"/>
        <w:gridCol w:w="980"/>
        <w:gridCol w:w="17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40"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 Average</w:t>
            </w:r>
          </w:p>
        </w:tc>
        <w:tc>
          <w:tcPr>
            <w:tcW w:w="1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400" w:type="dxa"/>
            <w:tcBorders/>
            <w:shd w:fill="CCEEFF" w:val="clear"/>
            <w:vAlign w:val="center"/>
          </w:tcPr>
          <w:p>
            <w:pPr>
              <w:pStyle w:val="TableContents"/>
              <w:bidi w:val="0"/>
              <w:spacing w:before="0" w:after="283"/>
              <w:jc w:val="left"/>
              <w:rPr/>
            </w:pPr>
            <w:r>
              <w:rPr/>
              <w:t>Summary Compensation Table—Total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1,268,903</w:t>
            </w:r>
          </w:p>
        </w:tc>
        <w:tc>
          <w:tcPr>
            <w:tcW w:w="170" w:type="dxa"/>
            <w:tcBorders/>
            <w:shd w:fill="CCEEFF" w:val="cle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Grant Date Fair Value of Stock Awards and Option Awards Granted in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730,504</w:t>
            </w:r>
          </w:p>
        </w:tc>
        <w:tc>
          <w:tcPr>
            <w:tcW w:w="17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8400" w:type="dxa"/>
            <w:tcBorders/>
            <w:shd w:fill="CCEEFF" w:val="clear"/>
            <w:vAlign w:val="center"/>
          </w:tcPr>
          <w:p>
            <w:pPr>
              <w:pStyle w:val="TableContents"/>
              <w:bidi w:val="0"/>
              <w:spacing w:before="0" w:after="283"/>
              <w:jc w:val="left"/>
              <w:rPr/>
            </w:pPr>
            <w:r>
              <w:rPr/>
              <w:t>Fair Value at Fiscal Year End of Outstanding and Unvested Stock Awards and Option Awards Granted in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226,633</w:t>
            </w:r>
          </w:p>
        </w:tc>
        <w:tc>
          <w:tcPr>
            <w:tcW w:w="170" w:type="dxa"/>
            <w:tcBorders/>
            <w:shd w:fill="CCEEFF" w:val="cle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Change in Fair Value of Outstanding and Unvested Stock Awards and Option Awards Granted in Prior Fiscal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(26,768</w:t>
            </w:r>
          </w:p>
        </w:tc>
        <w:tc>
          <w:tcPr>
            <w:tcW w:w="17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8400" w:type="dxa"/>
            <w:tcBorders/>
            <w:shd w:fill="CCEEFF" w:val="clear"/>
            <w:vAlign w:val="center"/>
          </w:tcPr>
          <w:p>
            <w:pPr>
              <w:pStyle w:val="TableContents"/>
              <w:bidi w:val="0"/>
              <w:spacing w:before="0" w:after="283"/>
              <w:jc w:val="left"/>
              <w:rPr/>
            </w:pPr>
            <w:r>
              <w:rPr/>
              <w:t>Fair Value at Vesting of Stock Awards and Option Awards Granted in Fiscal Year That Vested During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99,084</w:t>
            </w:r>
          </w:p>
        </w:tc>
        <w:tc>
          <w:tcPr>
            <w:tcW w:w="170" w:type="dxa"/>
            <w:tcBorders/>
            <w:shd w:fill="CCEEFF" w:val="cle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Change in Fair Value as of Vesting Date of Stock Awards and Option Awards Granted in Prior Fiscal Years For Which Applicable Vesting Conditions Were Satisfied During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(15,773</w:t>
            </w:r>
          </w:p>
        </w:tc>
        <w:tc>
          <w:tcPr>
            <w:tcW w:w="17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8400" w:type="dxa"/>
            <w:tcBorders/>
            <w:shd w:fill="CCEEFF" w:val="clear"/>
            <w:vAlign w:val="center"/>
          </w:tcPr>
          <w:p>
            <w:pPr>
              <w:pStyle w:val="TableContents"/>
              <w:bidi w:val="0"/>
              <w:spacing w:before="0" w:after="283"/>
              <w:jc w:val="left"/>
              <w:rPr/>
            </w:pPr>
            <w:r>
              <w:rPr/>
              <w:t>Fair Value as of Prior Fiscal Year End of Stock Awards and Option Awards Granted in Prior Fiscal Years That Failed to Meet Applicable Vesting Conditions During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9,444</w:t>
            </w:r>
          </w:p>
        </w:tc>
        <w:tc>
          <w:tcPr>
            <w:tcW w:w="170" w:type="dxa"/>
            <w:tcBorders/>
            <w:shd w:fill="CCEEFF" w:val="clear"/>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pPr>
            <w:r>
              <w:rPr/>
              <w:t>Compensation Actually Paid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$812,131</w:t>
            </w:r>
          </w:p>
        </w:tc>
        <w:tc>
          <w:tcPr>
            <w:tcW w:w="17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shd w:fill="FFFFFF" w:val="clear"/>
        </w:rPr>
      </w:pPr>
      <w:r>
        <w:rPr>
          <w:rFonts w:ascii="Times New Roman" w:hAnsi="Times New Roman"/>
          <w:sz w:val="20"/>
          <w:u w:val="single"/>
          <w:shd w:fill="FFFFFF" w:val="clear"/>
        </w:rPr>
        <w:t>Equity Award Valuations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 Equity values are computed in accordance with FASB ASC 718, and the valuation assumptions used to calculate fair values did not materially differ from those disclosed at the time of grant.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(6)</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Cumulative total shareholder return (“TSR”) is calculated by dividing the sum of the cumulative amount of dividends for the performance period, assuming dividend reinvestment, and the difference between our company’s share price at the end and the beginning of the performance period by our company’s share price at the beginning of the performance period. No dividends were paid on stock or option awards in 2023, 2022, 2021, or 2020.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TSR Peer Group consists of the Philadelphia Semiconductor Index, an independently prepared index composed of the 30 largest U.S. companies primarily involved in the design, distribution, manufacture, and sale of semiconductors.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(8)</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Among various factors that can affect the Company’s net income year-over-year, a substantial portion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translation gain or loss recorded in the Company’s net income is associated with the intercompany long-term loans, which is denominated in U.S. dollars, to the Company’s Korean subsidiary (using Korean Won as its functional currency) by the Dutch Subsidiary. As of December 31, 2023, 2022, 2021 and 2020, the outstanding intercompany long-term loan balance including accrued interest was $285.1 million, $311.0 million, $344.4 million and $378.9 million, respectively. Due to the foreign currency fluctuations year-over-year, it can be difficult to detect underlying trends in net income as a result of the Company’s business and results of operations. </w:t>
            </w:r>
          </w:p>
        </w:tc>
      </w:tr>
    </w:tbl>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In addition, certain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non-recurring</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events that were not expected to represent the Company’s ongoing operating income or expense had an impact on net income. For the year ended December 31, 2021, total net income of $56.7 million included net gain of $35.5 million that represented $70.2 million income from the recognition of a reverse termination fee, net of professional service fees and expenses of $34.7 million incurred in connection with the previously contemplated merger. For the year ended December 31, 2020, total net income of $345.0 million included income from discontinued operations, net of tax, of $287.9 million, primarily attributable to the recognition of $287.1 million as gain on sale of the Company’s Foundry Service Group business and its fabrication facility located in Cheongju known as “Fab 4”. It also included income tax benefits of $46.2 million, mainly attributable to the recognition of differences between GAAP and cash tax expense of $43.9 million.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(9)</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noted in the section titled “Compensation Discussion and Analysis,” for 2023, the Compensation Committee determined that gross profit as a percentage of revenue (“Gross Profit Margin”) continues to be viewed as a core driver of the Company’s performance and stockholder value creation and, accordingly, was utilized as a component in the 2023 long term incentive program.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Tabular List of Financial Performance Measures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is a list of financial performance measures, which in the Company’s assessment represent the most important financial performance measures used by the Company to link compensation actually paid to the NEOs for 2023, for a discussion of the methodology used to calculate relative total shareholder return, please see the discussion of Long-Term Equity Incentives contained in our Compensation Discussion and Analysis: </w:t>
      </w:r>
    </w:p>
    <w:p>
      <w:pPr>
        <w:pStyle w:val="TextBody"/>
        <w:bidi w:val="0"/>
        <w:spacing w:before="0" w:after="0"/>
        <w:jc w:val="left"/>
        <w:rPr>
          <w:shd w:fill="FFFFFF" w:val="clear"/>
        </w:rPr>
      </w:pPr>
      <w:r>
        <w:rPr>
          <w:shd w:fill="FFFFFF" w:val="clear"/>
        </w:rPr>
        <w:t> </w:t>
      </w:r>
    </w:p>
    <w:tbl>
      <w:tblPr>
        <w:tblW w:w="1810" w:type="dxa"/>
        <w:jc w:val="left"/>
        <w:tblInd w:w="0" w:type="dxa"/>
        <w:tblLayout w:type="fixed"/>
        <w:tblCellMar>
          <w:top w:w="0" w:type="dxa"/>
          <w:left w:w="0" w:type="dxa"/>
          <w:bottom w:w="0" w:type="dxa"/>
          <w:right w:w="0" w:type="dxa"/>
        </w:tblCellMar>
      </w:tblPr>
      <w:tblGrid>
        <w:gridCol w:w="75"/>
        <w:gridCol w:w="110"/>
        <w:gridCol w:w="60"/>
        <w:gridCol w:w="1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w:t>
            </w:r>
          </w:p>
        </w:tc>
      </w:tr>
    </w:tbl>
    <w:p>
      <w:pPr>
        <w:pStyle w:val="TextBody"/>
        <w:bidi w:val="0"/>
        <w:spacing w:before="0" w:after="0"/>
        <w:jc w:val="left"/>
        <w:rPr>
          <w:shd w:fill="FFFFFF" w:val="clear"/>
        </w:rPr>
      </w:pPr>
      <w:r>
        <w:rPr>
          <w:shd w:fill="FFFFFF" w:val="clear"/>
        </w:rPr>
        <w:t> </w:t>
      </w:r>
    </w:p>
    <w:tbl>
      <w:tblPr>
        <w:tblW w:w="1915" w:type="dxa"/>
        <w:jc w:val="left"/>
        <w:tblInd w:w="0" w:type="dxa"/>
        <w:tblLayout w:type="fixed"/>
        <w:tblCellMar>
          <w:top w:w="0" w:type="dxa"/>
          <w:left w:w="0" w:type="dxa"/>
          <w:bottom w:w="0" w:type="dxa"/>
          <w:right w:w="0" w:type="dxa"/>
        </w:tblCellMar>
      </w:tblPr>
      <w:tblGrid>
        <w:gridCol w:w="75"/>
        <w:gridCol w:w="110"/>
        <w:gridCol w:w="60"/>
        <w:gridCol w:w="1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Profit Margin </w:t>
            </w:r>
          </w:p>
        </w:tc>
      </w:tr>
    </w:tbl>
    <w:p>
      <w:pPr>
        <w:pStyle w:val="TextBody"/>
        <w:bidi w:val="0"/>
        <w:spacing w:before="0" w:after="0"/>
        <w:jc w:val="left"/>
        <w:rPr>
          <w:shd w:fill="FFFFFF" w:val="clear"/>
        </w:rPr>
      </w:pPr>
      <w:r>
        <w:rPr>
          <w:shd w:fill="FFFFFF" w:val="clear"/>
        </w:rPr>
        <w:t> </w:t>
      </w:r>
    </w:p>
    <w:tbl>
      <w:tblPr>
        <w:tblW w:w="1045" w:type="dxa"/>
        <w:jc w:val="left"/>
        <w:tblInd w:w="0" w:type="dxa"/>
        <w:tblLayout w:type="fixed"/>
        <w:tblCellMar>
          <w:top w:w="0" w:type="dxa"/>
          <w:left w:w="0" w:type="dxa"/>
          <w:bottom w:w="0" w:type="dxa"/>
          <w:right w:w="0" w:type="dxa"/>
        </w:tblCellMar>
      </w:tblPr>
      <w:tblGrid>
        <w:gridCol w:w="75"/>
        <w:gridCol w:w="110"/>
        <w:gridCol w:w="60"/>
        <w:gridCol w:w="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Revenue </w:t>
            </w:r>
          </w:p>
        </w:tc>
      </w:tr>
    </w:tbl>
    <w:p>
      <w:pPr>
        <w:pStyle w:val="TextBody"/>
        <w:bidi w:val="0"/>
        <w:spacing w:before="0" w:after="0"/>
        <w:jc w:val="left"/>
        <w:rPr>
          <w:shd w:fill="FFFFFF" w:val="clear"/>
        </w:rPr>
      </w:pPr>
      <w:r>
        <w:rPr>
          <w:shd w:fill="FFFFFF" w:val="clear"/>
        </w:rPr>
        <w:t> </w:t>
      </w:r>
    </w:p>
    <w:tbl>
      <w:tblPr>
        <w:tblW w:w="3115" w:type="dxa"/>
        <w:jc w:val="left"/>
        <w:tblInd w:w="0" w:type="dxa"/>
        <w:tblLayout w:type="fixed"/>
        <w:tblCellMar>
          <w:top w:w="0" w:type="dxa"/>
          <w:left w:w="0" w:type="dxa"/>
          <w:bottom w:w="0" w:type="dxa"/>
          <w:right w:w="0" w:type="dxa"/>
        </w:tblCellMar>
      </w:tblPr>
      <w:tblGrid>
        <w:gridCol w:w="75"/>
        <w:gridCol w:w="110"/>
        <w:gridCol w:w="6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Relative Total Shareholder Return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Relationship Between Pay and Performance </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Compensation Actually Paid”, as calculated in accordance with Item 402(v) of Regulation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S-K,</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reflects adjusted values to unvested and vested equity awards during the years shown in the Pay Versus Performance Table based 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year-end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 prices, various accounting valuation assumptions, and projected performance modifiers, but does not reflect actual amounts paid out for those awards. “Compensation Actually Paid” generally fluctuates due to stock price achievement and varying levels of projected and actual achievement of performance goals.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graphs show the relationship between “Compensation Actually Paid” to our CEO and other NEOs in our fiscal years 2020, 2021, 2022, and 2023 and (1) TSR of both our Common Stock and the Philadelphia Semiconductor Index, (2) our Net Income, and (3) our Gross Profit Margin.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364490" cy="3530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4490" cy="35306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shd w:fill="FFFFFF" w:val="clear"/>
        </w:rPr>
      </w:pPr>
      <w:r>
        <w:rPr>
          <w:shd w:fill="FFFFFF" w:val="clear"/>
        </w:rPr>
        <w:drawing>
          <wp:inline distT="0" distB="0" distL="0" distR="0">
            <wp:extent cx="363855"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3855" cy="35242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364490" cy="3657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4490" cy="36576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We believe the “Compensation Actually Paid” in each of the years reported above and over the four-year cumulative period are reflective of the Compensation Committee’s emphasis on </w:t>
      </w:r>
    </w:p>
    <w:p>
      <w:pPr>
        <w:pStyle w:val="TextBody"/>
        <w:bidi w:val="0"/>
        <w:spacing w:before="0" w:after="0"/>
        <w:jc w:val="left"/>
        <w:rPr>
          <w:shd w:fill="FFFFFF" w:val="clear"/>
        </w:rPr>
      </w:pPr>
      <w:r>
        <w:rPr>
          <w:shd w:fill="FFFFFF" w:val="clear"/>
        </w:rPr>
        <w:t>“</w:t>
      </w:r>
      <w:r>
        <w:rPr>
          <w:rFonts w:ascii="Times New Roman" w:hAnsi="Times New Roman"/>
          <w:sz w:val="20"/>
          <w:shd w:fill="FFFFFF" w:val="clear"/>
        </w:rPr>
        <w:t>pay-for-performance”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the “Compensation Actually Paid” fluctuated year-over-year, primarily as a result of variable compensation being tied to the performance of our stock and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pre-established</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performance goals and/or criteria under our short-term incentive program and our performance-vesting equity awards. For further details on the terms of our short-term incentive program and our performance-vesting equity awards, see the section titled “Compensation Discussion and Analysis” on page 22.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oc784802_31a"/>
      <w:bookmarkEnd w:id="32"/>
      <w:r>
        <w:rPr>
          <w:rFonts w:ascii="Times New Roman" w:hAnsi="Times New Roman"/>
          <w:b/>
          <w:sz w:val="20"/>
        </w:rPr>
        <w:t xml:space="preserve">CERTAIN RELATIONSHIPS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compensation arrangements with directors and executive officers, there have been no transactions since January 1, 2023 (and there are no currently proposed transactions) in which: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exceeds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Common Stock, or any immediate family member of or person sharing the household with any of these individuals (other than tenants or employees), had or will have a direct or indirect material interest. </w:t>
            </w:r>
          </w:p>
        </w:tc>
      </w:tr>
    </w:tbl>
    <w:p>
      <w:pPr>
        <w:pStyle w:val="TextBody"/>
        <w:bidi w:val="0"/>
        <w:spacing w:before="360" w:after="0"/>
        <w:jc w:val="left"/>
        <w:rPr>
          <w:rFonts w:ascii="Times New Roman" w:hAnsi="Times New Roman"/>
          <w:b/>
          <w:sz w:val="20"/>
        </w:rPr>
      </w:pPr>
      <w:bookmarkStart w:id="33" w:name="toc784802_32"/>
      <w:bookmarkEnd w:id="33"/>
      <w:r>
        <w:rPr>
          <w:rFonts w:ascii="Times New Roman" w:hAnsi="Times New Roman"/>
          <w:b/>
          <w:sz w:val="20"/>
        </w:rPr>
        <w:t xml:space="preserve">Related Person Transactions Policy </w:t>
      </w:r>
    </w:p>
    <w:p>
      <w:pPr>
        <w:pStyle w:val="TextBody"/>
        <w:bidi w:val="0"/>
        <w:spacing w:before="120" w:after="0"/>
        <w:jc w:val="left"/>
        <w:rPr>
          <w:rFonts w:ascii="Times New Roman" w:hAnsi="Times New Roman"/>
          <w:sz w:val="20"/>
        </w:rPr>
      </w:pPr>
      <w:r>
        <w:rPr>
          <w:rFonts w:ascii="Times New Roman" w:hAnsi="Times New Roman"/>
          <w:sz w:val="20"/>
        </w:rPr>
        <w:t xml:space="preserve">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 (who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toc784802_33"/>
      <w:bookmarkEnd w:id="34"/>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current executive officers, as a group. The following tables list the number of shares and percentage of shares beneficially owned on 38,263,642 shares of Common Stock outstanding as of April 23, 2024. 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 Except as indicated by footnote, the persons named in the table below have sole voting and investment power with respect to all shares of Common Stock shown as beneficially owned by them. Unless otherwise indicated, the address of each person listed in the table below is Magnachip Semiconductor Corporation c/o Magnachip Semiconductor, Ltd., 15F, 76 Jikji-daero 436beon-gil, Heungdeok-gu, Cheongju-si, Chungcheongbuk-do, Republic of Korea 28581. </w:t>
      </w:r>
    </w:p>
    <w:p>
      <w:pPr>
        <w:pStyle w:val="TextBody"/>
        <w:bidi w:val="0"/>
        <w:spacing w:before="0" w:after="0"/>
        <w:jc w:val="left"/>
        <w:rPr/>
      </w:pPr>
      <w:r>
        <w:rPr/>
        <w:t> </w:t>
      </w:r>
    </w:p>
    <w:tbl>
      <w:tblPr>
        <w:tblW w:w="8238" w:type="dxa"/>
        <w:jc w:val="left"/>
        <w:tblInd w:w="0" w:type="dxa"/>
        <w:tblLayout w:type="fixed"/>
        <w:tblCellMar>
          <w:top w:w="0" w:type="dxa"/>
          <w:left w:w="0" w:type="dxa"/>
          <w:bottom w:w="0" w:type="dxa"/>
          <w:right w:w="0" w:type="dxa"/>
        </w:tblCellMar>
      </w:tblPr>
      <w:tblGrid>
        <w:gridCol w:w="5405"/>
        <w:gridCol w:w="120"/>
        <w:gridCol w:w="81"/>
        <w:gridCol w:w="1333"/>
        <w:gridCol w:w="60"/>
        <w:gridCol w:w="120"/>
        <w:gridCol w:w="130"/>
        <w:gridCol w:w="699"/>
        <w:gridCol w:w="290"/>
      </w:tblGrid>
      <w:tr>
        <w:trPr/>
        <w:tc>
          <w:tcPr>
            <w:tcW w:w="5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4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and</w:t>
              <w:br/>
              <w:t>Nature of</w:t>
              <w:br/>
              <w:t>Beneficial</w:t>
              <w:br/>
              <w:t>Ownership(1)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br/>
              <w:t>of</w:t>
              <w:br/>
              <w:t>Class(1)</w:t>
            </w:r>
          </w:p>
        </w:tc>
        <w:tc>
          <w:tcPr>
            <w:tcW w:w="29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Principal Stockholders</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13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9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Oaktree Value Opportunities Fund Holdings, L.P.(2)</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2,849,858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AllianceBernstein L.P.(3)</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2,278,109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Systematic Financial Management, L.P.(4)</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2,090,087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133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9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Kyo-Hwa (Liz) Chung(5)</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38,244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Ilbok Lee(6)</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275,601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Camillo Martino(7)</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204,452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Gilbert Nathan(8)</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202,216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Young-Joon Kim(9)</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545,753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1.4</w:t>
            </w:r>
          </w:p>
        </w:tc>
        <w:tc>
          <w:tcPr>
            <w:tcW w:w="29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Theodore Kim(10)</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255,546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Woung Moo Lee(11)</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168,297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Shin Young Park(12)</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49,847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 Ho Park(13)</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32,845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Directors and current Executive Officers as a group (9 persons)(14)</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1,772,801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990" w:type="dxa"/>
        <w:jc w:val="left"/>
        <w:tblInd w:w="0" w:type="dxa"/>
        <w:tblLayout w:type="fixed"/>
        <w:tblCellMar>
          <w:top w:w="0" w:type="dxa"/>
          <w:left w:w="0" w:type="dxa"/>
          <w:bottom w:w="0" w:type="dxa"/>
          <w:right w:w="0" w:type="dxa"/>
        </w:tblCellMar>
      </w:tblPr>
      <w:tblGrid>
        <w:gridCol w:w="155"/>
        <w:gridCol w:w="1835"/>
      </w:tblGrid>
      <w:tr>
        <w:trPr/>
        <w:tc>
          <w:tcPr>
            <w:tcW w:w="15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any outstanding Common Stock held and, to the extent applicable, shares issuable upon the exercise or conversion of any securities that are exercisable or convertible within 60 days of April 23, 2024.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contained in a Schedule 13G filed with the SEC on May 15, 2023 by each of the following entities (each an “Oaktree Entity”): Oaktree Value Opportunities Fund Holdings, L.P., a Delaware limited partnership (“VOF Holdings”), in its capacity as the direct owner of 2,849,858 shares of our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Capital Management GP, LLC, a Delaware limited liability company (“Management GP”), in its capacity as the general partner of Management; Atlas OCM Holdings LLC, a Delaware limited liability company (“Atlas”), in its capacity as the sole managing member of Management GP; Oaktree Capital Group, LLC, a Delaware limited liability company (“OCG”), in its capacity as the managing member of Holdings; Oaktree Capital Group Holdings GP, LLC, a Delaware limited liability company (“OCGH GP”), in its capacity as the indirect owner of the class B units of each of OCG and Atlas; Brookfield Corporation, a Canadian corporation (“Brookfield”), in its capacity as the indirect owner of the class A units of each of OCG and Atlas; Brookfield Asset Management ULC, a British Columbia corporation (“Brookfield ULC”), in its capacity as the indirect owner of class A units of Atlas OCM, in its capacity as such; and BAM Partners Trust, a trust formed under the laws of Ontario (“BAM Partnership”), in its capacity as the sole owner of the Class B Limited Voting Shares of Brookfield. VOF Holdings directly holds 2,849,858 shares of our common stock. VOF GP, in its capacity as the general partner of VOF Holdings, has the ability to direct the management of VOF Holdings’ business, including the power to vote and dispose of securities held by VOF Holdings; therefore, VOF GP may be deemed to beneficially own the shares of our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our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our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our common stock deemed held by VOF Holdings. 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 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our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our common stock deemed held by VOF Holdings. 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our common stock deemed held by VOF Holdings. 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our common stock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disposition of securities held by VOF Holdings. Therefore, OCG may be deemed to have indirect beneficial ownership of the shares of our common stock deemed held by VOF Holdings. 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VOF Holdings; therefore, OCGH GP may be deemed to have indirect beneficial ownership of the shares of our common stock held by VOF Holdings. On December 9, 2022, Brookfield Corporation (f/k/a Brookfield Asset Management Inc.) completed a plan of arrangement pursuant to the Business Corporations Act (Ontario) (the “Arrangement”) pursuant to which, among other things, Brookfield’s historical asset management business was transferred to Brookfield Asset Management ULC (“Brookfield ULC”). Following the Brookfield Arrangement, Brookfield ULC is deemed a beneficial owner of the shares directly or indirectly held by Atlas OCM Holdings. Brookfield is deemed a beneficial owner of the reported shares directly or indirectly held by OCG and Holdings, and as a result of its 75% interest in Brookfield ULC, Brookfield is also deemed a beneficial owner of the reported shares beneficially owned by Brookfield ULC. Brookfield,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Brookfield may be deemed to have indirect beneficial ownership of the shares of our common stock held by VOF Holdings. BAM Partnership, in its capacity as the sole owner of Class B Limited Voting Shares of Brookfield, has the ability to appoint and remove certain directors of Brookfield and, as such, may indirectly control the decisions of Brookfield regarding the vote and disposition of securities held by VOF Holdings; therefore BAM Partnership may be deemed to have indirect beneficial ownership of the shares of our common stock held by VOF Holdings. The business address of each Oaktree Entity is 333 S. Grand Avenue, 28th Floor, Los Angeles, CA 90071.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information contained in an amendment No. 1 to Schedule 13G filed with the SEC on February 14, 2024 by AllianceBernstein L.P. (“AllianceBernstein”). AllianceBernstein beneficially owns and has the sole power to dispose or to direct the disposition of the shares of Common Stock listed in the table above and has the sole power to vote or to direct the vote over 2,047,659 of such shares. The shares of Common Stock listed in the table above were acquired solely for investment purposes on behalf of client discretionary investment advisory accounts. AllianceBernstein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 The business address for AllianceBernstein is 501 Commerce Street, Nashville, TN 37203.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information contained in a Schedule 13G filed with the SEC on February 13, 2024 by Systematic Financial Management, L.P. (“Systematic”). Systematic beneficially owns and has the sole power to dispose or to direct the disposition of the shares of Common Stock listed in the table above and has the sole power to vote or to direct the vote over 1,011,752 of such shares. The business address for Systematic is 300 Frank W. Burr Blvd., Glenpointe East, 7th Floor, Teaneck, NJ 07666. </w:t>
            </w:r>
          </w:p>
        </w:tc>
      </w:tr>
    </w:tbl>
    <w:tbl>
      <w:tblPr>
        <w:tblW w:w="10015" w:type="dxa"/>
        <w:jc w:val="left"/>
        <w:tblInd w:w="0" w:type="dxa"/>
        <w:tblLayout w:type="fixed"/>
        <w:tblCellMar>
          <w:top w:w="0" w:type="dxa"/>
          <w:left w:w="0" w:type="dxa"/>
          <w:bottom w:w="0" w:type="dxa"/>
          <w:right w:w="0" w:type="dxa"/>
        </w:tblCellMar>
      </w:tblPr>
      <w:tblGrid>
        <w:gridCol w:w="305"/>
        <w:gridCol w:w="9710"/>
      </w:tblGrid>
      <w:tr>
        <w:trPr/>
        <w:tc>
          <w:tcPr>
            <w:tcW w:w="305" w:type="dxa"/>
            <w:tcBorders/>
            <w:vAlign w:val="center"/>
          </w:tcPr>
          <w:p>
            <w:pPr>
              <w:pStyle w:val="TableContents"/>
              <w:bidi w:val="0"/>
              <w:spacing w:before="0" w:after="283"/>
              <w:jc w:val="left"/>
              <w:rPr/>
            </w:pPr>
            <w:r>
              <w:rPr/>
              <w:t>(5)</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38,244 shares of Common Stock subject to RSUs that will be vested and may be settled as of June 22, 2024.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(6)</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33,272 shares of Common Stock, options to purchase 119,593 shares of Common Stock and 122,736 shares of Common Stock subject to RSUs that will be vested and may be exercised or settled, as applicable, as of June 22, 2024.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38,000 shares of Common Stock, options to purchase 49,737 shares of Common Stock and 116,715 shares of Common Stock subject to RSUs that will be vested and may be exercised or settled, as applicable, as of June 22, 2024.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(8)</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181,515 shares of Common Stock (of which 7,130 are held by Mr. Nathan’s spouse and children and 78,200 of which are held by GT Investments II Corp) and 20,701 shares of Common Stock subject to RSUs that will be vested and may be settled, as applicable, as of June 22,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(9)</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409,838 shares of Common Stock and options to purchase 135,915 shares of Common Stock that will be vested and may be exercised as of June 22,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(10)</w:t>
            </w:r>
          </w:p>
        </w:tc>
        <w:tc>
          <w:tcPr>
            <w:tcW w:w="98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177,936 shares of Common Stock and options to purchase 77,610 shares of Common Stock that will be vested and may be exercised as of June 22, 2024.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(11)</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98,487 shares of Common Stock and options to purchase 69,810 shares of Common Stock that will be vested and may be exercised as of June 22, 2024.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(12)</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47,347 shares of Common Stock and options to purchase 2,500 shares of Common Stock that will be vested and may be exercised as of June 22, 2024.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(13)</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30,344 shares of Common Stock and 2,501 shares of Common Stock subject to RSUs that will be vested and settled as of June 22, 2024. Mr. Park resigned his position as our Co-General Manager of Power Analog Solutions and from all other positions with us and our subsidiaries, effective as of April 30, 2024. </w:t>
            </w:r>
          </w:p>
        </w:tc>
      </w:tr>
    </w:tbl>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(14)</w:t>
            </w:r>
          </w:p>
        </w:tc>
        <w:tc>
          <w:tcPr>
            <w:tcW w:w="98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as of April 23, 2024 as a group beneficially own 1,772,801 shares of Common Stock or 4.5%, which represents 1,016,739 shares of Common Stock, options to purchase 455,165 shares of Common Stock and 300,897 shares of Common Stock subject to RSUs that will be vested and may be exercised or settled, as applicable, as of June 22,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toc784802_34"/>
      <w:bookmarkEnd w:id="35"/>
      <w:r>
        <w:rPr>
          <w:rFonts w:ascii="Times New Roman" w:hAnsi="Times New Roman"/>
          <w:b/>
          <w:sz w:val="20"/>
        </w:rPr>
        <w:t xml:space="preserve">PROPOSAL TWO </w:t>
      </w:r>
    </w:p>
    <w:p>
      <w:pPr>
        <w:pStyle w:val="TextBody"/>
        <w:bidi w:val="0"/>
        <w:spacing w:before="240" w:after="0"/>
        <w:jc w:val="center"/>
        <w:rPr>
          <w:rFonts w:ascii="Times New Roman" w:hAnsi="Times New Roman"/>
          <w:b/>
          <w:sz w:val="20"/>
        </w:rPr>
      </w:pPr>
      <w:r>
        <w:rPr>
          <w:rFonts w:ascii="Times New Roman" w:hAnsi="Times New Roman"/>
          <w:b/>
          <w:sz w:val="20"/>
        </w:rPr>
        <w:t xml:space="preserve">ADVISORY VOTE ON </w:t>
      </w:r>
    </w:p>
    <w:p>
      <w:pPr>
        <w:pStyle w:val="TextBody"/>
        <w:bidi w:val="0"/>
        <w:spacing w:before="0" w:after="0"/>
        <w:jc w:val="center"/>
        <w:rPr>
          <w:rFonts w:ascii="Times New Roman" w:hAnsi="Times New Roman"/>
          <w:b/>
          <w:sz w:val="20"/>
        </w:rPr>
      </w:pPr>
      <w:r>
        <w:rPr>
          <w:rFonts w:ascii="Times New Roman" w:hAnsi="Times New Roman"/>
          <w:b/>
          <w:sz w:val="20"/>
        </w:rPr>
        <w:t xml:space="preserve">COMPENSATION OF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Dodd-Frank Act, and Section 14A of the Exchange Act, the Board is asking stockholders to approve an advisory (non-binding) resolution on the compensation of our named executive officers. The vote is not intended to address any specific item of compensation, but rather the overall compensation of our named executive officers and the philosophy, policies and practices described in this Proxy Statement. The text of the resolution is as follows: </w:t>
      </w:r>
    </w:p>
    <w:p>
      <w:pPr>
        <w:pStyle w:val="TextBody"/>
        <w:bidi w:val="0"/>
        <w:spacing w:before="120" w:after="0"/>
        <w:jc w:val="left"/>
        <w:rPr>
          <w:rFonts w:ascii="Times New Roman" w:hAnsi="Times New Roman"/>
          <w:sz w:val="20"/>
        </w:rPr>
      </w:pPr>
      <w:r>
        <w:rPr>
          <w:rFonts w:ascii="Times New Roman" w:hAnsi="Times New Roman"/>
          <w:sz w:val="20"/>
        </w:rPr>
        <w:t xml:space="preserve">RESOLVED, that the stockholders of Magnachip Semiconductor Corporation approve, on an advisory basis, the compensation of the Company’s named executive officers as disclosed in the proxy statement for the Company’s 2024 annual meeting of stockholders pursuant to the compensation disclosure rules of the Securities Exchange Act of 1934, as amended (which disclosure includes the Compensation Discussion and Analysis section, the Summary Compensation Table for 2023 and the related compensation tables and narrative disclosure within the executive compensation sections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urges you to read the disclosure under “Compensation Discussion and Analysis,” in this Proxy Statement, which discusses how our compensation policies and procedures implement our pay-for-performance compensation philosophy. You should also read the Summary Compensation Table and other related compensation tables and narrative disclosure which provide additional details about the compensation of our named executive officers for fiscal year 2023. We have designed our executive compensation structure to attract, motivate, and retain executives with the skills required to formulate and implement the Company’s strategic objectives and create stockholder value. We believe that our executive compensation program is reasonable, competitive and strongly focused on pay for performance principles, and provides an appropriate balance between risk and incentives. </w:t>
      </w:r>
    </w:p>
    <w:p>
      <w:pPr>
        <w:pStyle w:val="TextBody"/>
        <w:bidi w:val="0"/>
        <w:spacing w:before="240" w:after="0"/>
        <w:jc w:val="left"/>
        <w:rPr>
          <w:rFonts w:ascii="Times New Roman" w:hAnsi="Times New Roman"/>
          <w:sz w:val="20"/>
        </w:rPr>
      </w:pPr>
      <w:r>
        <w:rPr>
          <w:rFonts w:ascii="Times New Roman" w:hAnsi="Times New Roman"/>
          <w:sz w:val="20"/>
        </w:rPr>
        <w:t xml:space="preserve">The vote regarding the compensation of the named executive officers described above, referred to as a “say-on-pay advisory vote,” is advisory, and is therefore not binding on the Company, the Compensation Committee or the Board. Although non-binding, the Board and the Compensation Committee value the opinions that stockholders express in their votes and will review the voting results and take them into consideration when making future decisions regarding our executive compensation programs as they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If no voting specification is made on a properly returned or voted proxy card, the proxies named on the proxy card will vote “FOR” the approval of the compensation of the named executive officers as disclosed in this Proxy Statement and described above.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recommends that you vote “FOR” the approval of our named executive officer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toc784802_35"/>
      <w:bookmarkEnd w:id="36"/>
      <w:r>
        <w:rPr>
          <w:rFonts w:ascii="Times New Roman" w:hAnsi="Times New Roman"/>
          <w:b/>
          <w:sz w:val="20"/>
        </w:rPr>
        <w:t xml:space="preserve">PROPOSAL THREE </w:t>
      </w:r>
    </w:p>
    <w:p>
      <w:pPr>
        <w:pStyle w:val="TextBody"/>
        <w:bidi w:val="0"/>
        <w:spacing w:before="240" w:after="0"/>
        <w:jc w:val="center"/>
        <w:rPr>
          <w:rFonts w:ascii="Times New Roman" w:hAnsi="Times New Roman"/>
          <w:b/>
          <w:sz w:val="20"/>
        </w:rPr>
      </w:pPr>
      <w:r>
        <w:rPr>
          <w:rFonts w:ascii="Times New Roman" w:hAnsi="Times New Roman"/>
          <w:b/>
          <w:sz w:val="20"/>
        </w:rPr>
        <w:t xml:space="preserve">RATIFICATION OF APPOINTMENT OF OUR INDEPENDENT REGISTERED PUBLIC </w:t>
      </w:r>
    </w:p>
    <w:p>
      <w:pPr>
        <w:pStyle w:val="TextBody"/>
        <w:bidi w:val="0"/>
        <w:spacing w:before="0" w:after="0"/>
        <w:jc w:val="center"/>
        <w:rPr>
          <w:rFonts w:ascii="Times New Roman" w:hAnsi="Times New Roman"/>
          <w:b/>
          <w:sz w:val="20"/>
        </w:rPr>
      </w:pPr>
      <w:r>
        <w:rPr>
          <w:rFonts w:ascii="Times New Roman" w:hAnsi="Times New Roman"/>
          <w:b/>
          <w:sz w:val="20"/>
        </w:rPr>
        <w:t xml:space="preserve">ACCOUNTING FIRM FOR THE FISCAL YEAR ENDING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Samil PricewaterhouseCoopers has been selected by the Audit Committee as the principal independent registered public accounting firm for the fiscal year ending December 31, 2024 for us and our subsidiaries. Our Board recommends a vote for ratification of the appointment of Samil PricewaterhouseCoopers as the independent registered public accounting firm to audit the books and accounts for us and our subsidiaries for the fiscal year ending December 31, 2024. It is expected that representatives of Samil PricewaterhouseCoopers will attend the Annual Meeting, with the opportunity to make a statement if they so desire, and, if a representative is in attendance, the representative will be available to answer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The appointment of Samil PricewaterhouseCoopers as our independent registered public accounting firm is not required to be submitted to a vote of our stockholders for ratification. However, our Board believes that obtaining stockholder ratification is a sound governance practice. If our stockholders fail to vote on an advisory basis in favor of the appointment of Samil PricewaterhouseCoopers, the Audit Committee will take such actions as it deems necessary as a result of such stockholder vote. </w:t>
      </w:r>
    </w:p>
    <w:p>
      <w:pPr>
        <w:pStyle w:val="TextBody"/>
        <w:bidi w:val="0"/>
        <w:spacing w:before="360" w:after="0"/>
        <w:jc w:val="left"/>
        <w:rPr>
          <w:rFonts w:ascii="Times New Roman" w:hAnsi="Times New Roman"/>
          <w:b/>
          <w:sz w:val="20"/>
        </w:rPr>
      </w:pPr>
      <w:bookmarkStart w:id="37" w:name="toc784802_36"/>
      <w:bookmarkEnd w:id="37"/>
      <w:r>
        <w:rPr>
          <w:rFonts w:ascii="Times New Roman" w:hAnsi="Times New Roman"/>
          <w:b/>
          <w:sz w:val="20"/>
        </w:rPr>
        <w:t xml:space="preserve">Fees Paid to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fees billed for professional services rendered by Samil PricewaterhouseCoopers and its affiliates for the years ended December 31, 2023 and 2022. </w:t>
      </w:r>
    </w:p>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1535"/>
        <w:gridCol w:w="120"/>
        <w:gridCol w:w="314"/>
        <w:gridCol w:w="729"/>
        <w:gridCol w:w="134"/>
        <w:gridCol w:w="270"/>
        <w:gridCol w:w="314"/>
        <w:gridCol w:w="729"/>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pPr>
            <w:r>
              <w:rPr/>
              <w:t>Year Ended December 31</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34"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0" w:type="dxa"/>
            <w:gridSpan w:val="6"/>
            <w:tcBorders/>
            <w:vAlign w:val="center"/>
          </w:tcPr>
          <w:p>
            <w:pPr>
              <w:pStyle w:val="TableContents"/>
              <w:bidi w:val="0"/>
              <w:spacing w:before="0" w:after="283"/>
              <w:jc w:val="center"/>
              <w:rPr/>
            </w:pPr>
            <w:r>
              <w:rPr/>
              <w:t>(in millions)</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1.6</w:t>
            </w:r>
          </w:p>
        </w:tc>
        <w:tc>
          <w:tcPr>
            <w:tcW w:w="13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Related fees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pBdr>
                <w:top w:val="single" w:sz="2" w:space="1" w:color="000000"/>
              </w:pBdr>
              <w:bidi w:val="0"/>
              <w:spacing w:before="0" w:after="0"/>
              <w:jc w:val="left"/>
              <w:rPr/>
            </w:pPr>
            <w:r>
              <w:rPr/>
              <w:t> </w:t>
            </w:r>
          </w:p>
        </w:tc>
        <w:tc>
          <w:tcPr>
            <w:tcW w:w="729" w:type="dxa"/>
            <w:tcBorders/>
            <w:vAlign w:val="center"/>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314" w:type="dxa"/>
            <w:tcBorders/>
            <w:vAlign w:val="center"/>
          </w:tcPr>
          <w:p>
            <w:pPr>
              <w:pStyle w:val="TableContents"/>
              <w:pBdr>
                <w:top w:val="single" w:sz="2" w:space="1" w:color="000000"/>
              </w:pBdr>
              <w:bidi w:val="0"/>
              <w:spacing w:before="0" w:after="0"/>
              <w:jc w:val="left"/>
              <w:rPr/>
            </w:pPr>
            <w:r>
              <w:rPr/>
              <w:t> </w:t>
            </w:r>
          </w:p>
        </w:tc>
        <w:tc>
          <w:tcPr>
            <w:tcW w:w="729"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1.6</w:t>
            </w:r>
          </w:p>
        </w:tc>
        <w:tc>
          <w:tcPr>
            <w:tcW w:w="134"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4" w:type="dxa"/>
            <w:tcBorders/>
            <w:vAlign w:val="center"/>
          </w:tcPr>
          <w:p>
            <w:pPr>
              <w:pStyle w:val="TableContents"/>
              <w:pBdr>
                <w:top w:val="double" w:sz="6" w:space="1" w:color="000000"/>
              </w:pBdr>
              <w:bidi w:val="0"/>
              <w:spacing w:before="0" w:after="0"/>
              <w:jc w:val="left"/>
              <w:rPr/>
            </w:pPr>
            <w:r>
              <w:rPr/>
              <w:t> </w:t>
            </w:r>
          </w:p>
        </w:tc>
        <w:tc>
          <w:tcPr>
            <w:tcW w:w="729" w:type="dxa"/>
            <w:tcBorders/>
            <w:vAlign w:val="center"/>
          </w:tcPr>
          <w:p>
            <w:pPr>
              <w:pStyle w:val="TableContents"/>
              <w:pBdr>
                <w:top w:val="double" w:sz="6"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314" w:type="dxa"/>
            <w:tcBorders/>
            <w:vAlign w:val="center"/>
          </w:tcPr>
          <w:p>
            <w:pPr>
              <w:pStyle w:val="TableContents"/>
              <w:pBdr>
                <w:top w:val="double" w:sz="6" w:space="1" w:color="000000"/>
              </w:pBdr>
              <w:bidi w:val="0"/>
              <w:spacing w:before="0" w:after="0"/>
              <w:jc w:val="left"/>
              <w:rPr/>
            </w:pPr>
            <w:r>
              <w:rPr/>
              <w:t> </w:t>
            </w:r>
          </w:p>
        </w:tc>
        <w:tc>
          <w:tcPr>
            <w:tcW w:w="729"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38" w:name="toc784802_37"/>
      <w:bookmarkEnd w:id="38"/>
      <w:r>
        <w:rPr>
          <w:rFonts w:ascii="Times New Roman" w:hAnsi="Times New Roman"/>
          <w:b/>
          <w:sz w:val="20"/>
        </w:rPr>
        <w:t xml:space="preserve">Policy and Procedure for Approval of Audit and Permitted Non-Audit Services </w:t>
      </w:r>
    </w:p>
    <w:p>
      <w:pPr>
        <w:pStyle w:val="TextBody"/>
        <w:bidi w:val="0"/>
        <w:spacing w:before="120" w:after="0"/>
        <w:jc w:val="left"/>
        <w:rPr>
          <w:rFonts w:ascii="Times New Roman" w:hAnsi="Times New Roman"/>
          <w:sz w:val="20"/>
        </w:rPr>
      </w:pPr>
      <w:r>
        <w:rPr>
          <w:rFonts w:ascii="Times New Roman" w:hAnsi="Times New Roman"/>
          <w:sz w:val="20"/>
        </w:rPr>
        <w:t xml:space="preserve">All audit fees were pre-approved by the Company’s Audit Committee, which concluded that the provision of such services by Samil PricewaterhouseCoopers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Audit Committee at its next scheduled meeting. The Audit Committee followed these guidelines in approving all services rendered by Samil PricewaterhouseCoopers and its affiliates.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that you vote “FOR” the ratification of the appointment of Samil PricewaterhouseCoopers as our independent registered public accounting firm for the fiscal year ending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9" w:name="toc784802_38"/>
      <w:bookmarkEnd w:id="39"/>
      <w:r>
        <w:rPr>
          <w:rFonts w:ascii="Times New Roman" w:hAnsi="Times New Roman"/>
          <w:b/>
          <w:sz w:val="20"/>
        </w:rPr>
        <w:t xml:space="preserve">PROPOSAL FOUR </w:t>
      </w:r>
    </w:p>
    <w:p>
      <w:pPr>
        <w:pStyle w:val="TextBody"/>
        <w:bidi w:val="0"/>
        <w:spacing w:before="240" w:after="0"/>
        <w:jc w:val="center"/>
        <w:rPr>
          <w:rFonts w:ascii="Times New Roman" w:hAnsi="Times New Roman"/>
          <w:b/>
          <w:sz w:val="20"/>
        </w:rPr>
      </w:pPr>
      <w:r>
        <w:rPr>
          <w:rFonts w:ascii="Times New Roman" w:hAnsi="Times New Roman"/>
          <w:b/>
          <w:sz w:val="20"/>
        </w:rPr>
        <w:t xml:space="preserve">ADVISORY VOTE ON </w:t>
      </w:r>
    </w:p>
    <w:p>
      <w:pPr>
        <w:pStyle w:val="TextBody"/>
        <w:bidi w:val="0"/>
        <w:spacing w:before="0" w:after="0"/>
        <w:jc w:val="center"/>
        <w:rPr>
          <w:rFonts w:ascii="Times New Roman" w:hAnsi="Times New Roman"/>
          <w:b/>
          <w:sz w:val="20"/>
        </w:rPr>
      </w:pPr>
      <w:r>
        <w:rPr>
          <w:rFonts w:ascii="Times New Roman" w:hAnsi="Times New Roman"/>
          <w:b/>
          <w:sz w:val="20"/>
        </w:rPr>
        <w:t xml:space="preserve">THE FREQUENCY OF THE STOCKHOLDER VOTE ON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Dodd-Frank Act and Section 14A of the Exchange Act, we are also asking you to cast, on an advisory (non-binding) basis, a vote on whether future advisory (non-binding) votes on the compensation of our named executive officers should occur every year, every two years or every three years. You may either vote for one of these alternative frequencies or, if you desire, abstain from voting on this matter. The text of the resolution to be voted upon is as follows: </w:t>
      </w:r>
    </w:p>
    <w:p>
      <w:pPr>
        <w:pStyle w:val="TextBody"/>
        <w:bidi w:val="0"/>
        <w:spacing w:before="120" w:after="0"/>
        <w:jc w:val="left"/>
        <w:rPr>
          <w:rFonts w:ascii="Times New Roman" w:hAnsi="Times New Roman"/>
          <w:sz w:val="20"/>
        </w:rPr>
      </w:pPr>
      <w:r>
        <w:rPr>
          <w:rFonts w:ascii="Times New Roman" w:hAnsi="Times New Roman"/>
          <w:sz w:val="20"/>
        </w:rPr>
        <w:t xml:space="preserve">RESOLVED, that the stockholders of Magnachip Semiconductor Corporation approve, on an advisory basis, having the stockholder vote on the compensation of the Company’s named executive officers listed in the annual proxy statement occur with the frequency (i.e., every year, every two years or every three years) for which the highest number of votes are cast at the Company’s 2024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After considering the advantages and disadvantages of the frequency of the say-on-pay vote, our Board has determined that an advisory vote on executive compensation every one year would be the most meaningful for our Board and its Compensation Committee, and best serve the interests of our Company and its stockholders. Our Board believes an annual advisory vote will provide the most timely feedback on executive compensation arrangements, plans, programs and policies since the Compensation Committee evaluates the compensation of our named executive officers and makes compensation disclosures annually. In addition, our Board believes an annual vote will foster stronger and more timely communications from our stockholders to the Board and the Compensation Committee with respect to our executive compensation practices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The option of every year, every two years or every three years that receives the highest number of votes cast by stockholders will be deemed to be the frequency for the say-on-pay advisory vote that has been selected by stockholders. However, because this vote is advisory and not binding on the Board or the Company in any way, the Board may decide that it is in the best interests of the stockholders and the Company to hold the say-on-pay advisory vote more or less frequently than the option approved by stockholders. Additionally, stockholders should recognize that it may not be appropriate or feasible to change compensation programs already in place for the year in which the vote occurs since the advisory vote on executive compensation will take place after the beginning of the compensation year, and that the Board and Compensation Committee will take into account a number of factors in establishing executive compensation practices and policies in addition to our stockholders input on the say-on-pay advisory vote when making future decisions regarding our executive compensation programs as they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If no voting specification is made on a properly returned or voted proxy card, the proxies named on the proxy card will vote for the option of “1 YEAR” as the frequency with which stockholders are provided an advisory vote on executive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that you vote “1 YEAR” as the frequency of future advisory (non-binding) votes on the compensation of our named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0" w:name="toc784802_39"/>
      <w:bookmarkEnd w:id="40"/>
      <w:r>
        <w:rPr>
          <w:rFonts w:ascii="Times New Roman" w:hAnsi="Times New Roman"/>
          <w:b/>
          <w:sz w:val="20"/>
        </w:rPr>
        <w:t xml:space="preserve">STOCKHOLDER PROPOSALS FOR 2025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 stockholder who would like a proposal considered for inclusion in our proxy statement relating to our 2025 annual meeting pursuant to Rule 14a-8 (“Rule 14a-8”) under the Exchange Act must be received by the Corporate Secretary of the Company no later than December 30, 2024 and must otherwise comply with Rule 14a-8.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proposals received outside of the Rule 14a-8 procedure for consideration at our 2025 annual meeting must be received by the Corporate Secretary of the Company between February 13, 2025 and March 15, 2025. If, however, the date of the 2025 annual meeting is changed by more than 30 days from the anniversary date of this year’s Annual Meeting, the stockholder notice described above will be deemed timely if it is received not later than the close of business on the later of the 90th calendar day prior to such annual meeting and the 10th calendar day after public announcement of the date of such meeting. Such proposals must be addressed to Magnachip Semiconductor Corporation, c/o Magnachip Semiconductor, Ltd., 15F, 76 Jikji-daero 436beon-gil, Heungdeok-gu, Cheongju-si, Chungcheongbuk-do, Republic of Korea 28581, Attention: Secretary. We also encourage you to also submit any such proposal via email to investors@magnachip.com. If we do not receive such notice within the timeframe described above, the notice will be considered untimely and the proposal may not be brought.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timely notice requirements, a stockholder’s proposal for nominees for directors must comply with Section 2.15 of the Company’s bylaws and other applicable procedures described therein or established by our Nominating and Corporate Governance Committee. See “The Board of Directors and Corporate Governance—Nominating and Corporate Governance Committee.” Stockholder proposals related to other business must also comply with Section 1.10 of the Company’s bylaws. Furthermore, any stockholder proposal must comply with all applicable requirements of the Exchange Act and the rules and regulations thereunder. In addition, shareholders who intend to solicit proxies in support of director nominees other than the company’s nominees must also comply with the additional requirements of Rule 14a-19(b)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Our proxy for the 2025 annual meeting will grant authority to the persons named therein to exercise their voting discretion with respect to any matter of which we did not receive notice between February 13, 2025 and March 15, 2025. Notices should be submitted to the address set forth above. </w:t>
      </w:r>
    </w:p>
    <w:p>
      <w:pPr>
        <w:pStyle w:val="TextBody"/>
        <w:bidi w:val="0"/>
        <w:spacing w:before="480" w:after="0"/>
        <w:jc w:val="center"/>
        <w:rPr>
          <w:rFonts w:ascii="Times New Roman" w:hAnsi="Times New Roman"/>
          <w:b/>
          <w:sz w:val="20"/>
        </w:rPr>
      </w:pPr>
      <w:bookmarkStart w:id="41" w:name="toc784802_40"/>
      <w:bookmarkEnd w:id="41"/>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2" w:name="toc784802_41"/>
      <w:bookmarkEnd w:id="42"/>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know of no other matters which are likely to be brought before the Annual Meeting. The enclosed proxy card grants to the persons named in the proxy card the authority to vote in their best judgment regarding all other matters properly raised at the Annual Meeting. </w:t>
      </w:r>
    </w:p>
    <w:p>
      <w:pPr>
        <w:pStyle w:val="TextBody"/>
        <w:bidi w:val="0"/>
        <w:spacing w:before="0" w:after="0"/>
        <w:jc w:val="left"/>
        <w:rPr/>
      </w:pPr>
      <w:r>
        <w:rPr/>
        <w:t> </w:t>
      </w:r>
    </w:p>
    <w:tbl>
      <w:tblPr>
        <w:tblW w:w="5075" w:type="dxa"/>
        <w:jc w:val="left"/>
        <w:tblInd w:w="0" w:type="dxa"/>
        <w:tblLayout w:type="fixed"/>
        <w:tblCellMar>
          <w:top w:w="0" w:type="dxa"/>
          <w:left w:w="0" w:type="dxa"/>
          <w:bottom w:w="0" w:type="dxa"/>
          <w:right w:w="0" w:type="dxa"/>
        </w:tblCellMar>
      </w:tblPr>
      <w:tblGrid>
        <w:gridCol w:w="5075"/>
      </w:tblGrid>
      <w:tr>
        <w:trPr/>
        <w:tc>
          <w:tcPr>
            <w:tcW w:w="5075"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c>
          <w:tcPr>
            <w:tcW w:w="5075"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5075" w:type="dxa"/>
            <w:tcBorders/>
            <w:vAlign w:val="center"/>
          </w:tcPr>
          <w:p>
            <w:pPr>
              <w:pStyle w:val="TableContents"/>
              <w:bidi w:val="0"/>
              <w:spacing w:before="0" w:after="283"/>
              <w:jc w:val="left"/>
              <w:rPr/>
            </w:pPr>
            <w:r>
              <w:rPr/>
              <w:t>Theodore Kim</w:t>
            </w:r>
          </w:p>
        </w:tc>
      </w:tr>
      <w:tr>
        <w:trPr/>
        <w:tc>
          <w:tcPr>
            <w:tcW w:w="5075" w:type="dxa"/>
            <w:tcBorders/>
            <w:vAlign w:val="center"/>
          </w:tcPr>
          <w:p>
            <w:pPr>
              <w:pStyle w:val="TableContents"/>
              <w:bidi w:val="0"/>
              <w:spacing w:before="0" w:after="283"/>
              <w:jc w:val="left"/>
              <w:rPr/>
            </w:pPr>
            <w:r>
              <w:rPr/>
              <w:t>Chief Compliance Officer, Executive Vice President,</w:t>
            </w:r>
          </w:p>
        </w:tc>
      </w:tr>
      <w:tr>
        <w:trPr/>
        <w:tc>
          <w:tcPr>
            <w:tcW w:w="5075" w:type="dxa"/>
            <w:tcBorders/>
            <w:vAlign w:val="center"/>
          </w:tcPr>
          <w:p>
            <w:pPr>
              <w:pStyle w:val="TableContents"/>
              <w:bidi w:val="0"/>
              <w:spacing w:before="0" w:after="283"/>
              <w:jc w:val="left"/>
              <w:rPr/>
            </w:pPr>
            <w:r>
              <w:rPr/>
              <w:t>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29,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885"/>
        <w:gridCol w:w="120"/>
        <w:gridCol w:w="8200"/>
      </w:tblGrid>
      <w:tr>
        <w:trPr/>
        <w:tc>
          <w:tcPr>
            <w:tcW w:w="1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00" w:type="dxa"/>
            <w:tcBorders/>
            <w:vAlign w:val="center"/>
          </w:tcPr>
          <w:p>
            <w:pPr>
              <w:pStyle w:val="TableContents"/>
              <w:bidi w:val="0"/>
              <w:spacing w:before="0" w:after="283"/>
              <w:jc w:val="left"/>
              <w:rPr>
                <w:sz w:val="4"/>
                <w:szCs w:val="4"/>
              </w:rPr>
            </w:pPr>
            <w:r>
              <w:rPr>
                <w:sz w:val="4"/>
                <w:szCs w:val="4"/>
              </w:rPr>
            </w:r>
          </w:p>
        </w:tc>
      </w:tr>
      <w:tr>
        <w:trPr/>
        <w:tc>
          <w:tcPr>
            <w:tcW w:w="1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 xml:space="preserve">  </w:t>
            </w:r>
            <w:r>
              <w:rPr/>
              <w:drawing>
                <wp:inline distT="0" distB="0" distL="0" distR="0">
                  <wp:extent cx="2276475" cy="571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276475" cy="571500"/>
                          </a:xfrm>
                          <a:prstGeom prst="rect">
                            <a:avLst/>
                          </a:prstGeom>
                        </pic:spPr>
                      </pic:pic>
                    </a:graphicData>
                  </a:graphic>
                </wp:inline>
              </w:drawing>
            </w:r>
            <w:r>
              <w:rPr/>
              <w:t xml:space="preserve"> </w:t>
            </w:r>
          </w:p>
        </w:tc>
      </w:tr>
      <w:tr>
        <w:trPr/>
        <w:tc>
          <w:tcPr>
            <w:tcW w:w="1885" w:type="dxa"/>
            <w:tcBorders/>
            <w:vAlign w:val="center"/>
          </w:tcPr>
          <w:p>
            <w:pPr>
              <w:pStyle w:val="TableContents"/>
              <w:bidi w:val="0"/>
              <w:spacing w:before="0" w:after="283"/>
              <w:jc w:val="left"/>
              <w:rPr>
                <w:sz w:val="4"/>
                <w:szCs w:val="4"/>
              </w:rPr>
            </w:pPr>
            <w:r>
              <w:rPr>
                <w:sz w:val="4"/>
                <w:szCs w:val="4"/>
              </w:rPr>
            </w:r>
          </w:p>
        </w:tc>
        <w:tc>
          <w:tcPr>
            <w:tcW w:w="8320" w:type="dxa"/>
            <w:gridSpan w:val="2"/>
            <w:tcBorders/>
            <w:vAlign w:val="center"/>
          </w:tcPr>
          <w:p>
            <w:pPr>
              <w:pStyle w:val="TableContents"/>
              <w:bidi w:val="0"/>
              <w:spacing w:before="0" w:after="283"/>
              <w:jc w:val="left"/>
              <w:rPr>
                <w:sz w:val="4"/>
                <w:szCs w:val="4"/>
              </w:rPr>
            </w:pPr>
            <w:r>
              <w:rPr>
                <w:sz w:val="4"/>
                <w:szCs w:val="4"/>
              </w:rPr>
            </w:r>
          </w:p>
        </w:tc>
      </w:tr>
      <w:tr>
        <w:trPr/>
        <w:tc>
          <w:tcPr>
            <w:tcW w:w="1885" w:type="dxa"/>
            <w:tcBorders/>
            <w:vAlign w:val="center"/>
          </w:tcPr>
          <w:p>
            <w:pPr>
              <w:pStyle w:val="TableContents"/>
              <w:bidi w:val="0"/>
              <w:spacing w:before="0" w:after="0"/>
              <w:jc w:val="left"/>
              <w:rPr>
                <w:rFonts w:ascii="ARIAL" w:hAnsi="ARIAL"/>
                <w:i/>
                <w:sz w:val="10"/>
              </w:rPr>
            </w:pPr>
            <w:r>
              <w:rPr>
                <w:rFonts w:ascii="ARIAL" w:hAnsi="ARIAL"/>
                <w:i/>
                <w:sz w:val="10"/>
              </w:rPr>
              <w:t>MAGNACHIP SEMICONDUCTOR CORPORATION</w:t>
            </w:r>
          </w:p>
          <w:p>
            <w:pPr>
              <w:pStyle w:val="TableContents"/>
              <w:bidi w:val="0"/>
              <w:spacing w:before="0" w:after="0"/>
              <w:jc w:val="left"/>
              <w:rPr>
                <w:rFonts w:ascii="ARIAL" w:hAnsi="ARIAL"/>
                <w:i/>
                <w:sz w:val="10"/>
              </w:rPr>
            </w:pPr>
            <w:r>
              <w:rPr>
                <w:rFonts w:ascii="ARIAL" w:hAnsi="ARIAL"/>
                <w:i/>
                <w:sz w:val="10"/>
              </w:rPr>
              <w:t>C/O MAGNACHIP SEMICONDUCTOR, LTD.</w:t>
            </w:r>
          </w:p>
          <w:p>
            <w:pPr>
              <w:pStyle w:val="TableContents"/>
              <w:bidi w:val="0"/>
              <w:spacing w:before="0" w:after="0"/>
              <w:jc w:val="left"/>
              <w:rPr>
                <w:rFonts w:ascii="ARIAL" w:hAnsi="ARIAL"/>
                <w:i/>
                <w:sz w:val="10"/>
              </w:rPr>
            </w:pPr>
            <w:r>
              <w:rPr>
                <w:rFonts w:ascii="ARIAL" w:hAnsi="ARIAL"/>
                <w:i/>
                <w:sz w:val="10"/>
              </w:rPr>
              <w:t>15F, 76 JIKJI-DAERO 436BEON-GIL, HEUNGDEOK-GU</w:t>
            </w:r>
          </w:p>
          <w:p>
            <w:pPr>
              <w:pStyle w:val="TableContents"/>
              <w:bidi w:val="0"/>
              <w:spacing w:before="0" w:after="20"/>
              <w:jc w:val="left"/>
              <w:rPr>
                <w:rFonts w:ascii="ARIAL" w:hAnsi="ARIAL"/>
                <w:i/>
                <w:sz w:val="10"/>
              </w:rPr>
            </w:pPr>
            <w:r>
              <w:rPr>
                <w:rFonts w:ascii="ARIAL" w:hAnsi="ARIAL"/>
                <w:i/>
                <w:sz w:val="10"/>
              </w:rPr>
              <w:t>CHEONGJU-SI, CHUNGCHEONGBUK-DO, REPUBLIC OF KOREA 28581</w:t>
            </w:r>
          </w:p>
        </w:tc>
        <w:tc>
          <w:tcPr>
            <w:tcW w:w="12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0"/>
              <w:jc w:val="left"/>
              <w:rPr/>
            </w:pPr>
            <w:r>
              <w:rPr/>
              <w:t> </w:t>
            </w:r>
          </w:p>
          <w:p>
            <w:pPr>
              <w:pStyle w:val="TableContents"/>
              <w:bidi w:val="0"/>
              <w:spacing w:before="60" w:after="0"/>
              <w:jc w:val="left"/>
              <w:rPr>
                <w:rFonts w:ascii="ARIAL" w:hAnsi="ARIAL"/>
                <w:sz w:val="12"/>
              </w:rPr>
            </w:pPr>
            <w:r>
              <w:rPr>
                <w:rFonts w:ascii="ARIAL" w:hAnsi="ARIAL"/>
                <w:b/>
                <w:sz w:val="12"/>
              </w:rPr>
              <w:t>VOTE BY INTERNET</w:t>
            </w:r>
            <w:r>
              <w:rPr>
                <w:rFonts w:ascii="ARIAL" w:hAnsi="ARIAL"/>
                <w:sz w:val="12"/>
              </w:rPr>
              <w:t xml:space="preserve"> </w:t>
            </w:r>
          </w:p>
          <w:p>
            <w:pPr>
              <w:pStyle w:val="TableContents"/>
              <w:bidi w:val="0"/>
              <w:spacing w:before="0" w:after="0"/>
              <w:jc w:val="left"/>
              <w:rPr>
                <w:rFonts w:ascii="ARIAL" w:hAnsi="ARIAL"/>
                <w:sz w:val="12"/>
              </w:rPr>
            </w:pPr>
            <w:r>
              <w:rPr>
                <w:rFonts w:ascii="ARIAL" w:hAnsi="ARIAL"/>
                <w:i/>
                <w:sz w:val="12"/>
              </w:rPr>
              <w:t xml:space="preserve">Before The Meeting </w:t>
            </w:r>
            <w:r>
              <w:rPr>
                <w:rFonts w:ascii="ARIAL" w:hAnsi="ARIAL"/>
                <w:sz w:val="12"/>
              </w:rPr>
              <w:t xml:space="preserve">- Go to </w:t>
            </w:r>
            <w:r>
              <w:rPr>
                <w:rFonts w:ascii="ARIAL" w:hAnsi="ARIAL"/>
                <w:b/>
                <w:sz w:val="12"/>
                <w:u w:val="single"/>
              </w:rPr>
              <w:t>www.proxyvote.com</w:t>
            </w:r>
            <w:r>
              <w:rPr>
                <w:rFonts w:ascii="ARIAL" w:hAnsi="ARIAL"/>
                <w:b/>
                <w:sz w:val="12"/>
              </w:rPr>
              <w:t xml:space="preserve"> or scan the QR Barcode above </w:t>
            </w:r>
          </w:p>
          <w:p>
            <w:pPr>
              <w:pStyle w:val="TableContents"/>
              <w:bidi w:val="0"/>
              <w:spacing w:before="0" w:after="0"/>
              <w:jc w:val="left"/>
              <w:rPr/>
            </w:pPr>
            <w:r>
              <w:rPr/>
              <w:t> </w:t>
            </w:r>
          </w:p>
          <w:p>
            <w:pPr>
              <w:pStyle w:val="TableContents"/>
              <w:bidi w:val="0"/>
              <w:spacing w:before="60" w:after="0"/>
              <w:jc w:val="both"/>
              <w:rPr>
                <w:rFonts w:ascii="ARIAL" w:hAnsi="ARIAL"/>
                <w:sz w:val="12"/>
              </w:rPr>
            </w:pPr>
            <w:r>
              <w:rPr>
                <w:rFonts w:ascii="ARIAL" w:hAnsi="ARIAL"/>
                <w:sz w:val="12"/>
              </w:rPr>
              <w:t xml:space="preserve">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w:t>
            </w:r>
          </w:p>
          <w:p>
            <w:pPr>
              <w:pStyle w:val="TableContents"/>
              <w:bidi w:val="0"/>
              <w:spacing w:before="0" w:after="0"/>
              <w:jc w:val="left"/>
              <w:rPr/>
            </w:pPr>
            <w:r>
              <w:rPr/>
              <w:t> </w:t>
            </w:r>
          </w:p>
          <w:p>
            <w:pPr>
              <w:pStyle w:val="TableContents"/>
              <w:bidi w:val="0"/>
              <w:spacing w:before="60" w:after="0"/>
              <w:jc w:val="both"/>
              <w:rPr>
                <w:rFonts w:ascii="ARIAL" w:hAnsi="ARIAL"/>
                <w:sz w:val="12"/>
              </w:rPr>
            </w:pPr>
            <w:r>
              <w:rPr>
                <w:rFonts w:ascii="ARIAL" w:hAnsi="ARIAL"/>
                <w:i/>
                <w:sz w:val="12"/>
              </w:rPr>
              <w:t xml:space="preserve">During The Meeting </w:t>
            </w:r>
            <w:r>
              <w:rPr>
                <w:rFonts w:ascii="ARIAL" w:hAnsi="ARIAL"/>
                <w:sz w:val="12"/>
              </w:rPr>
              <w:t xml:space="preserve">- Go to </w:t>
            </w:r>
            <w:r>
              <w:rPr>
                <w:rFonts w:ascii="ARIAL" w:hAnsi="ARIAL"/>
                <w:b/>
                <w:sz w:val="12"/>
                <w:u w:val="single"/>
              </w:rPr>
              <w:t xml:space="preserve">www.virtualshareholdermeeting.com/MX2024 </w:t>
            </w:r>
          </w:p>
          <w:p>
            <w:pPr>
              <w:pStyle w:val="TableContents"/>
              <w:bidi w:val="0"/>
              <w:spacing w:before="0" w:after="0"/>
              <w:jc w:val="left"/>
              <w:rPr/>
            </w:pPr>
            <w:r>
              <w:rPr/>
              <w:t> </w:t>
            </w:r>
          </w:p>
          <w:p>
            <w:pPr>
              <w:pStyle w:val="TableContents"/>
              <w:bidi w:val="0"/>
              <w:spacing w:before="60" w:after="0"/>
              <w:jc w:val="both"/>
              <w:rPr>
                <w:rFonts w:ascii="ARIAL" w:hAnsi="ARIAL"/>
                <w:sz w:val="12"/>
              </w:rPr>
            </w:pPr>
            <w:r>
              <w:rPr>
                <w:rFonts w:ascii="ARIAL" w:hAnsi="ARIAL"/>
                <w:sz w:val="12"/>
              </w:rPr>
              <w:t>You may attend the meeting via the Internet and vote during the meeting. Have the information that is printed in the box marked by the arrow available and follow the instructions.</w:t>
            </w:r>
          </w:p>
          <w:p>
            <w:pPr>
              <w:pStyle w:val="TableContents"/>
              <w:bidi w:val="0"/>
              <w:spacing w:before="0" w:after="0"/>
              <w:jc w:val="left"/>
              <w:rPr/>
            </w:pPr>
            <w:r>
              <w:rPr/>
              <w:t> </w:t>
            </w:r>
          </w:p>
          <w:p>
            <w:pPr>
              <w:pStyle w:val="TableContents"/>
              <w:bidi w:val="0"/>
              <w:spacing w:before="60" w:after="0"/>
              <w:jc w:val="both"/>
              <w:rPr>
                <w:rFonts w:ascii="ARIAL" w:hAnsi="ARIAL"/>
                <w:b/>
                <w:sz w:val="12"/>
              </w:rPr>
            </w:pPr>
            <w:r>
              <w:rPr>
                <w:rFonts w:ascii="ARIAL" w:hAnsi="ARIAL"/>
                <w:b/>
                <w:sz w:val="12"/>
              </w:rPr>
              <w:t>VOTE BY PHONE - 1-800-690-6903</w:t>
            </w:r>
          </w:p>
          <w:p>
            <w:pPr>
              <w:pStyle w:val="TableContents"/>
              <w:bidi w:val="0"/>
              <w:spacing w:before="0" w:after="0"/>
              <w:jc w:val="both"/>
              <w:rPr>
                <w:rFonts w:ascii="ARIAL" w:hAnsi="ARIAL"/>
                <w:sz w:val="12"/>
              </w:rPr>
            </w:pPr>
            <w:r>
              <w:rPr>
                <w:rFonts w:ascii="ARIAL" w:hAnsi="ARIAL"/>
                <w:sz w:val="12"/>
              </w:rPr>
              <w:t>Use any touch-tone telephone to transmit your voting instructions up until 11:59 p.m. Eastern Time the day before the cut-off date or meeting date. Have your proxy card in hand when you call and then follow the instructions.</w:t>
            </w:r>
          </w:p>
          <w:p>
            <w:pPr>
              <w:pStyle w:val="TableContents"/>
              <w:bidi w:val="0"/>
              <w:spacing w:before="0" w:after="0"/>
              <w:jc w:val="left"/>
              <w:rPr/>
            </w:pPr>
            <w:r>
              <w:rPr/>
              <w:t> </w:t>
            </w:r>
          </w:p>
          <w:p>
            <w:pPr>
              <w:pStyle w:val="TableContents"/>
              <w:bidi w:val="0"/>
              <w:spacing w:before="60" w:after="0"/>
              <w:jc w:val="both"/>
              <w:rPr>
                <w:rFonts w:ascii="ARIAL" w:hAnsi="ARIAL"/>
                <w:b/>
                <w:sz w:val="12"/>
              </w:rPr>
            </w:pPr>
            <w:r>
              <w:rPr>
                <w:rFonts w:ascii="ARIAL" w:hAnsi="ARIAL"/>
                <w:b/>
                <w:sz w:val="12"/>
              </w:rPr>
              <w:t>VOTE BY MAIL</w:t>
            </w:r>
          </w:p>
          <w:p>
            <w:pPr>
              <w:pStyle w:val="TableContents"/>
              <w:bidi w:val="0"/>
              <w:spacing w:before="0" w:after="20"/>
              <w:jc w:val="both"/>
              <w:rPr>
                <w:rFonts w:ascii="ARIAL" w:hAnsi="ARIAL"/>
                <w:sz w:val="12"/>
              </w:rPr>
            </w:pPr>
            <w:r>
              <w:rPr>
                <w:rFonts w:ascii="ARIAL" w:hAnsi="ARIAL"/>
                <w:sz w:val="12"/>
              </w:rPr>
              <w:t>Mark, sign and date your proxy card and return it in the postage-paid envelope we have provided or return it to Vote Processing, c/o Broadridge, 51 Mercedes Way, Edgewood, NY 11717.</w:t>
            </w:r>
          </w:p>
        </w:tc>
      </w:tr>
    </w:tbl>
    <w:p>
      <w:pPr>
        <w:pStyle w:val="TextBody"/>
        <w:bidi w:val="0"/>
        <w:spacing w:before="2400" w:after="0"/>
        <w:jc w:val="left"/>
        <w:rPr>
          <w:rFonts w:ascii="ARIAL" w:hAnsi="ARIAL"/>
          <w:sz w:val="14"/>
        </w:rPr>
      </w:pPr>
      <w:r>
        <w:rPr>
          <w:rFonts w:ascii="ARIAL" w:hAnsi="ARIAL"/>
          <w:sz w:val="14"/>
        </w:rPr>
        <w:t xml:space="preserve">TO VOTE, MARK BLOCKS BELOW IN BLUE OR BLACK INK AS FOLLOWS: </w:t>
      </w:r>
    </w:p>
    <w:p>
      <w:pPr>
        <w:pStyle w:val="TextBody"/>
        <w:bidi w:val="0"/>
        <w:spacing w:before="0" w:after="0"/>
        <w:jc w:val="right"/>
        <w:rPr>
          <w:rFonts w:ascii="ARIAL" w:hAnsi="ARIAL"/>
          <w:sz w:val="14"/>
        </w:rPr>
      </w:pPr>
      <w:r>
        <w:rPr>
          <w:rFonts w:ascii="ARIAL" w:hAnsi="ARIAL"/>
          <w:sz w:val="14"/>
        </w:rPr>
        <w:t xml:space="preserve">V44833-P09439         KEEP THIS PORTION FOR YOUR RECORDS </w:t>
      </w:r>
    </w:p>
    <w:p>
      <w:pPr>
        <w:pStyle w:val="TextBody"/>
        <w:bidi w:val="0"/>
        <w:spacing w:before="0" w:after="0"/>
        <w:jc w:val="left"/>
        <w:rPr/>
      </w:pPr>
      <w:r>
        <w:rPr/>
        <w:t xml:space="preserve">— — — — — — — — — — — — — — — — — — — — — — — — — — — — — — — — — — — — — — — — — — — — — — — — — — —  </w:t>
      </w:r>
    </w:p>
    <w:p>
      <w:pPr>
        <w:pStyle w:val="TextBody"/>
        <w:bidi w:val="0"/>
        <w:spacing w:before="0" w:after="0"/>
        <w:jc w:val="right"/>
        <w:rPr>
          <w:rFonts w:ascii="ARIAL" w:hAnsi="ARIAL"/>
          <w:sz w:val="14"/>
        </w:rPr>
      </w:pPr>
      <w:r>
        <w:rPr>
          <w:rFonts w:ascii="ARIAL" w:hAnsi="ARIAL"/>
          <w:sz w:val="14"/>
        </w:rPr>
        <w:t xml:space="preserve">DETACH AND RETURN THIS PORTION ONLY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tbl>
      <w:tblPr>
        <w:tblW w:w="13575" w:type="dxa"/>
        <w:jc w:val="left"/>
        <w:tblInd w:w="0" w:type="dxa"/>
        <w:tblLayout w:type="fixed"/>
        <w:tblCellMar>
          <w:top w:w="0" w:type="dxa"/>
          <w:left w:w="0" w:type="dxa"/>
          <w:bottom w:w="0" w:type="dxa"/>
          <w:right w:w="0" w:type="dxa"/>
        </w:tblCellMar>
      </w:tblPr>
      <w:tblGrid>
        <w:gridCol w:w="316"/>
        <w:gridCol w:w="122"/>
        <w:gridCol w:w="1357"/>
        <w:gridCol w:w="311"/>
        <w:gridCol w:w="1357"/>
        <w:gridCol w:w="204"/>
        <w:gridCol w:w="193"/>
        <w:gridCol w:w="792"/>
        <w:gridCol w:w="46"/>
        <w:gridCol w:w="122"/>
        <w:gridCol w:w="52"/>
        <w:gridCol w:w="60"/>
        <w:gridCol w:w="395"/>
        <w:gridCol w:w="60"/>
        <w:gridCol w:w="980"/>
        <w:gridCol w:w="60"/>
        <w:gridCol w:w="755"/>
        <w:gridCol w:w="60"/>
        <w:gridCol w:w="23"/>
        <w:gridCol w:w="60"/>
        <w:gridCol w:w="2870"/>
        <w:gridCol w:w="60"/>
        <w:gridCol w:w="710"/>
        <w:gridCol w:w="60"/>
        <w:gridCol w:w="800"/>
        <w:gridCol w:w="60"/>
        <w:gridCol w:w="800"/>
        <w:gridCol w:w="60"/>
        <w:gridCol w:w="830"/>
      </w:tblGrid>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4872" w:type="dxa"/>
            <w:gridSpan w:val="11"/>
            <w:tcBorders/>
            <w:vAlign w:val="center"/>
          </w:tcPr>
          <w:p>
            <w:pPr>
              <w:pStyle w:val="TableContents"/>
              <w:bidi w:val="0"/>
              <w:spacing w:before="0" w:after="283"/>
              <w:jc w:val="left"/>
              <w:rPr>
                <w:b/>
              </w:rPr>
            </w:pPr>
            <w:r>
              <w:rPr>
                <w:b/>
              </w:rPr>
              <w:t>MAGNACHIP SEMICONDUCTOR CORPORATION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Withhold</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b/>
              </w:rPr>
            </w:pPr>
            <w:r>
              <w:rPr>
                <w:b/>
              </w:rPr>
              <w:t>For All</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both"/>
              <w:rPr>
                <w:rFonts w:ascii="ARIAL" w:hAnsi="ARIAL"/>
                <w:sz w:val="14"/>
              </w:rPr>
            </w:pPr>
            <w:r>
              <w:rPr>
                <w:rFonts w:ascii="ARIAL" w:hAnsi="ARIAL"/>
                <w:sz w:val="14"/>
              </w:rPr>
              <w:t>To withhold authority to vote for any individual</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434" w:type="dxa"/>
            <w:gridSpan w:val="9"/>
            <w:tcBorders/>
            <w:vAlign w:val="center"/>
          </w:tcPr>
          <w:p>
            <w:pPr>
              <w:pStyle w:val="TableContents"/>
              <w:bidi w:val="0"/>
              <w:spacing w:before="0" w:after="283"/>
              <w:jc w:val="left"/>
              <w:rPr>
                <w:b/>
              </w:rPr>
            </w:pPr>
            <w:r>
              <w:rPr>
                <w:b/>
              </w:rPr>
              <w:t>The Board of Directors recommends you vote FOR the following nominees: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All</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All</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b/>
              </w:rPr>
            </w:pPr>
            <w:r>
              <w:rPr>
                <w:b/>
              </w:rPr>
              <w:t>Except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both"/>
              <w:rPr>
                <w:rFonts w:ascii="ARIAL" w:hAnsi="ARIAL"/>
                <w:sz w:val="14"/>
              </w:rPr>
            </w:pPr>
            <w:r>
              <w:rPr>
                <w:rFonts w:ascii="ARIAL" w:hAnsi="ARIAL"/>
                <w:sz w:val="14"/>
              </w:rPr>
              <w:t>nominee(s), mark “For All Except” and write the</w:t>
            </w:r>
          </w:p>
          <w:p>
            <w:pPr>
              <w:pStyle w:val="TableContents"/>
              <w:bidi w:val="0"/>
              <w:spacing w:before="0" w:after="20"/>
              <w:jc w:val="left"/>
              <w:rPr>
                <w:rFonts w:ascii="ARIAL" w:hAnsi="ARIAL"/>
                <w:sz w:val="14"/>
              </w:rPr>
            </w:pPr>
            <w:r>
              <w:rPr>
                <w:rFonts w:ascii="ARIAL" w:hAnsi="ARIAL"/>
                <w:sz w:val="14"/>
              </w:rPr>
              <w:t>number(s) of the nominee(s) on the line below.</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830"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3077" w:type="dxa"/>
            <w:gridSpan w:val="8"/>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1. </w:t>
            </w:r>
          </w:p>
        </w:tc>
        <w:tc>
          <w:tcPr>
            <w:tcW w:w="311" w:type="dxa"/>
            <w:tcBorders/>
            <w:vAlign w:val="center"/>
          </w:tcPr>
          <w:p>
            <w:pPr>
              <w:pStyle w:val="TableContents"/>
              <w:bidi w:val="0"/>
              <w:spacing w:before="0" w:after="283"/>
              <w:jc w:val="left"/>
              <w:rPr/>
            </w:pPr>
            <w:r>
              <w:rPr/>
              <w:t> </w:t>
            </w:r>
          </w:p>
        </w:tc>
        <w:tc>
          <w:tcPr>
            <w:tcW w:w="2766" w:type="dxa"/>
            <w:gridSpan w:val="7"/>
            <w:tcBorders/>
            <w:vAlign w:val="center"/>
          </w:tcPr>
          <w:p>
            <w:pPr>
              <w:pStyle w:val="TableContents"/>
              <w:bidi w:val="0"/>
              <w:spacing w:before="0" w:after="283"/>
              <w:jc w:val="left"/>
              <w:rPr/>
            </w:pPr>
            <w:r>
              <w:rPr/>
              <w:t>Election of Directors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u w:val="single"/>
              </w:rPr>
            </w:pPr>
            <w:r>
              <w:rPr>
                <w:u w:val="single"/>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838" w:type="dxa"/>
            <w:gridSpan w:val="2"/>
            <w:tcBorders/>
            <w:vAlign w:val="center"/>
          </w:tcPr>
          <w:p>
            <w:pPr>
              <w:pStyle w:val="TableContents"/>
              <w:bidi w:val="0"/>
              <w:spacing w:before="0" w:after="283"/>
              <w:jc w:val="left"/>
              <w:rPr>
                <w:sz w:val="4"/>
                <w:szCs w:val="4"/>
              </w:rPr>
            </w:pPr>
            <w:r>
              <w:rPr>
                <w:sz w:val="4"/>
                <w:szCs w:val="4"/>
              </w:rPr>
            </w:r>
          </w:p>
        </w:tc>
        <w:tc>
          <w:tcPr>
            <w:tcW w:w="174"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 </w:t>
            </w:r>
          </w:p>
        </w:tc>
        <w:tc>
          <w:tcPr>
            <w:tcW w:w="1754" w:type="dxa"/>
            <w:gridSpan w:val="3"/>
            <w:tcBorders/>
            <w:vAlign w:val="center"/>
          </w:tcPr>
          <w:p>
            <w:pPr>
              <w:pStyle w:val="TableContents"/>
              <w:bidi w:val="0"/>
              <w:spacing w:before="0" w:after="283"/>
              <w:jc w:val="left"/>
              <w:rPr>
                <w:b/>
              </w:rPr>
            </w:pPr>
            <w:r>
              <w:rPr>
                <w:b/>
              </w:rPr>
              <w:t>Nominees:</w:t>
            </w:r>
          </w:p>
        </w:tc>
        <w:tc>
          <w:tcPr>
            <w:tcW w:w="792" w:type="dxa"/>
            <w:tcBorders/>
            <w:vAlign w:val="center"/>
          </w:tcPr>
          <w:p>
            <w:pPr>
              <w:pStyle w:val="TableContents"/>
              <w:bidi w:val="0"/>
              <w:spacing w:before="0" w:after="283"/>
              <w:jc w:val="left"/>
              <w:rPr/>
            </w:pPr>
            <w:r>
              <w:rPr/>
              <w:t>  </w:t>
            </w:r>
          </w:p>
        </w:tc>
        <w:tc>
          <w:tcPr>
            <w:tcW w:w="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1668" w:type="dxa"/>
            <w:gridSpan w:val="2"/>
            <w:tcBorders/>
            <w:vAlign w:val="center"/>
          </w:tcPr>
          <w:p>
            <w:pPr>
              <w:pStyle w:val="TableContents"/>
              <w:bidi w:val="0"/>
              <w:spacing w:before="0" w:after="283"/>
              <w:jc w:val="left"/>
              <w:rPr>
                <w:sz w:val="4"/>
                <w:szCs w:val="4"/>
              </w:rPr>
            </w:pPr>
            <w:r>
              <w:rPr>
                <w:sz w:val="4"/>
                <w:szCs w:val="4"/>
              </w:rPr>
            </w:r>
          </w:p>
        </w:tc>
        <w:tc>
          <w:tcPr>
            <w:tcW w:w="1409" w:type="dxa"/>
            <w:gridSpan w:val="6"/>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01)</w:t>
            </w:r>
          </w:p>
        </w:tc>
        <w:tc>
          <w:tcPr>
            <w:tcW w:w="204" w:type="dxa"/>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Young-Joon Kim</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1668" w:type="dxa"/>
            <w:gridSpan w:val="2"/>
            <w:tcBorders/>
            <w:vAlign w:val="center"/>
          </w:tcPr>
          <w:p>
            <w:pPr>
              <w:pStyle w:val="TableContents"/>
              <w:bidi w:val="0"/>
              <w:spacing w:before="0" w:after="283"/>
              <w:jc w:val="left"/>
              <w:rPr>
                <w:sz w:val="4"/>
                <w:szCs w:val="4"/>
              </w:rPr>
            </w:pPr>
            <w:r>
              <w:rPr>
                <w:sz w:val="4"/>
                <w:szCs w:val="4"/>
              </w:rPr>
            </w:r>
          </w:p>
        </w:tc>
        <w:tc>
          <w:tcPr>
            <w:tcW w:w="1409" w:type="dxa"/>
            <w:gridSpan w:val="6"/>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02)</w:t>
            </w:r>
          </w:p>
        </w:tc>
        <w:tc>
          <w:tcPr>
            <w:tcW w:w="204" w:type="dxa"/>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IIbok Lee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1668" w:type="dxa"/>
            <w:gridSpan w:val="2"/>
            <w:tcBorders/>
            <w:vAlign w:val="center"/>
          </w:tcPr>
          <w:p>
            <w:pPr>
              <w:pStyle w:val="TableContents"/>
              <w:bidi w:val="0"/>
              <w:spacing w:before="0" w:after="283"/>
              <w:jc w:val="left"/>
              <w:rPr>
                <w:sz w:val="4"/>
                <w:szCs w:val="4"/>
              </w:rPr>
            </w:pPr>
            <w:r>
              <w:rPr>
                <w:sz w:val="4"/>
                <w:szCs w:val="4"/>
              </w:rPr>
            </w:r>
          </w:p>
        </w:tc>
        <w:tc>
          <w:tcPr>
            <w:tcW w:w="1409" w:type="dxa"/>
            <w:gridSpan w:val="6"/>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03)</w:t>
            </w:r>
          </w:p>
        </w:tc>
        <w:tc>
          <w:tcPr>
            <w:tcW w:w="204" w:type="dxa"/>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Camillo Martino</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1668" w:type="dxa"/>
            <w:gridSpan w:val="2"/>
            <w:tcBorders/>
            <w:vAlign w:val="center"/>
          </w:tcPr>
          <w:p>
            <w:pPr>
              <w:pStyle w:val="TableContents"/>
              <w:bidi w:val="0"/>
              <w:spacing w:before="0" w:after="283"/>
              <w:jc w:val="left"/>
              <w:rPr>
                <w:sz w:val="4"/>
                <w:szCs w:val="4"/>
              </w:rPr>
            </w:pPr>
            <w:r>
              <w:rPr>
                <w:sz w:val="4"/>
                <w:szCs w:val="4"/>
              </w:rPr>
            </w:r>
          </w:p>
        </w:tc>
        <w:tc>
          <w:tcPr>
            <w:tcW w:w="1409" w:type="dxa"/>
            <w:gridSpan w:val="6"/>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04)</w:t>
            </w:r>
          </w:p>
        </w:tc>
        <w:tc>
          <w:tcPr>
            <w:tcW w:w="204" w:type="dxa"/>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Gilbert Nathan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1668" w:type="dxa"/>
            <w:gridSpan w:val="2"/>
            <w:tcBorders/>
            <w:vAlign w:val="center"/>
          </w:tcPr>
          <w:p>
            <w:pPr>
              <w:pStyle w:val="TableContents"/>
              <w:bidi w:val="0"/>
              <w:spacing w:before="0" w:after="283"/>
              <w:jc w:val="left"/>
              <w:rPr>
                <w:sz w:val="4"/>
                <w:szCs w:val="4"/>
              </w:rPr>
            </w:pPr>
            <w:r>
              <w:rPr>
                <w:sz w:val="4"/>
                <w:szCs w:val="4"/>
              </w:rPr>
            </w:r>
          </w:p>
        </w:tc>
        <w:tc>
          <w:tcPr>
            <w:tcW w:w="1409" w:type="dxa"/>
            <w:gridSpan w:val="6"/>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05)</w:t>
            </w:r>
          </w:p>
        </w:tc>
        <w:tc>
          <w:tcPr>
            <w:tcW w:w="204" w:type="dxa"/>
            <w:tcBorders/>
            <w:vAlign w:val="center"/>
          </w:tcPr>
          <w:p>
            <w:pPr>
              <w:pStyle w:val="TableContents"/>
              <w:bidi w:val="0"/>
              <w:spacing w:before="0" w:after="283"/>
              <w:jc w:val="left"/>
              <w:rPr/>
            </w:pPr>
            <w:r>
              <w:rPr/>
              <w:t> </w:t>
            </w:r>
          </w:p>
        </w:tc>
        <w:tc>
          <w:tcPr>
            <w:tcW w:w="1205" w:type="dxa"/>
            <w:gridSpan w:val="5"/>
            <w:tcBorders/>
            <w:vAlign w:val="center"/>
          </w:tcPr>
          <w:p>
            <w:pPr>
              <w:pStyle w:val="TableContents"/>
              <w:bidi w:val="0"/>
              <w:spacing w:before="0" w:after="283"/>
              <w:jc w:val="left"/>
              <w:rPr/>
            </w:pPr>
            <w:r>
              <w:rPr/>
              <w:t>Kyo-Hwa (Liz) Chung</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9879" w:type="dxa"/>
            <w:gridSpan w:val="20"/>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9757" w:type="dxa"/>
            <w:gridSpan w:val="19"/>
            <w:tcBorders/>
            <w:vAlign w:val="center"/>
          </w:tcPr>
          <w:p>
            <w:pPr>
              <w:pStyle w:val="TableContents"/>
              <w:bidi w:val="0"/>
              <w:spacing w:before="0" w:after="283"/>
              <w:jc w:val="left"/>
              <w:rPr>
                <w:b/>
              </w:rPr>
            </w:pPr>
            <w:r>
              <w:rPr>
                <w:b/>
              </w:rPr>
              <w:t>The Board of Directors recommends you vote FOR proposals 2 and 3.</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8400" w:type="dxa"/>
            <w:gridSpan w:val="18"/>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2.</w:t>
            </w:r>
          </w:p>
        </w:tc>
        <w:tc>
          <w:tcPr>
            <w:tcW w:w="311" w:type="dxa"/>
            <w:tcBorders/>
            <w:vAlign w:val="center"/>
          </w:tcPr>
          <w:p>
            <w:pPr>
              <w:pStyle w:val="TableContents"/>
              <w:bidi w:val="0"/>
              <w:spacing w:before="0" w:after="283"/>
              <w:jc w:val="left"/>
              <w:rPr/>
            </w:pPr>
            <w:r>
              <w:rPr/>
              <w:t> </w:t>
            </w:r>
          </w:p>
        </w:tc>
        <w:tc>
          <w:tcPr>
            <w:tcW w:w="8089" w:type="dxa"/>
            <w:gridSpan w:val="17"/>
            <w:tcBorders/>
            <w:vAlign w:val="center"/>
          </w:tcPr>
          <w:p>
            <w:pPr>
              <w:pStyle w:val="TableContents"/>
              <w:bidi w:val="0"/>
              <w:spacing w:before="0" w:after="283"/>
              <w:jc w:val="left"/>
              <w:rPr/>
            </w:pPr>
            <w:r>
              <w:rPr/>
              <w:t>Advisory (non-binding) vote to approve the compensation of our named executive officers as set forth in the “Executive Compensation” section in the proxy statement.</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8400" w:type="dxa"/>
            <w:gridSpan w:val="18"/>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3.</w:t>
            </w:r>
          </w:p>
        </w:tc>
        <w:tc>
          <w:tcPr>
            <w:tcW w:w="311" w:type="dxa"/>
            <w:tcBorders/>
            <w:vAlign w:val="center"/>
          </w:tcPr>
          <w:p>
            <w:pPr>
              <w:pStyle w:val="TableContents"/>
              <w:bidi w:val="0"/>
              <w:spacing w:before="0" w:after="283"/>
              <w:jc w:val="left"/>
              <w:rPr/>
            </w:pPr>
            <w:r>
              <w:rPr/>
              <w:t> </w:t>
            </w:r>
          </w:p>
        </w:tc>
        <w:tc>
          <w:tcPr>
            <w:tcW w:w="8089" w:type="dxa"/>
            <w:gridSpan w:val="17"/>
            <w:tcBorders/>
            <w:vAlign w:val="center"/>
          </w:tcPr>
          <w:p>
            <w:pPr>
              <w:pStyle w:val="TableContents"/>
              <w:bidi w:val="0"/>
              <w:spacing w:before="0" w:after="283"/>
              <w:jc w:val="left"/>
              <w:rPr/>
            </w:pPr>
            <w:r>
              <w:rPr/>
              <w:t>Ratification of the Board’s election of Samil PricewaterhouseCoopers as our independent registered public accounting firm for 2024.</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316" w:type="dxa"/>
            <w:tcBorders/>
            <w:vAlign w:val="center"/>
          </w:tcPr>
          <w:p>
            <w:pPr>
              <w:pStyle w:val="TableContents"/>
              <w:bidi w:val="0"/>
              <w:spacing w:before="0" w:after="283"/>
              <w:jc w:val="left"/>
              <w:rPr>
                <w:sz w:val="4"/>
                <w:szCs w:val="4"/>
              </w:rPr>
            </w:pPr>
            <w:r>
              <w:rPr>
                <w:sz w:val="4"/>
                <w:szCs w:val="4"/>
              </w:rPr>
            </w:r>
          </w:p>
        </w:tc>
        <w:tc>
          <w:tcPr>
            <w:tcW w:w="9879" w:type="dxa"/>
            <w:gridSpan w:val="20"/>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9757" w:type="dxa"/>
            <w:gridSpan w:val="19"/>
            <w:tcBorders/>
            <w:vAlign w:val="center"/>
          </w:tcPr>
          <w:p>
            <w:pPr>
              <w:pStyle w:val="TableContents"/>
              <w:bidi w:val="0"/>
              <w:spacing w:before="0" w:after="283"/>
              <w:jc w:val="left"/>
              <w:rPr>
                <w:b/>
              </w:rPr>
            </w:pPr>
            <w:r>
              <w:rPr>
                <w:b/>
              </w:rPr>
              <w:t>The Board of Directors recommends you vote 1 YEAR on the following proposal:</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2 Years</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316" w:type="dxa"/>
            <w:tcBorders/>
            <w:vAlign w:val="center"/>
          </w:tcPr>
          <w:p>
            <w:pPr>
              <w:pStyle w:val="TableContents"/>
              <w:bidi w:val="0"/>
              <w:spacing w:before="0" w:after="283"/>
              <w:jc w:val="left"/>
              <w:rPr>
                <w:sz w:val="4"/>
                <w:szCs w:val="4"/>
              </w:rPr>
            </w:pPr>
            <w:r>
              <w:rPr>
                <w:sz w:val="4"/>
                <w:szCs w:val="4"/>
              </w:rPr>
            </w:r>
          </w:p>
        </w:tc>
        <w:tc>
          <w:tcPr>
            <w:tcW w:w="1479" w:type="dxa"/>
            <w:gridSpan w:val="2"/>
            <w:tcBorders/>
            <w:vAlign w:val="center"/>
          </w:tcPr>
          <w:p>
            <w:pPr>
              <w:pStyle w:val="TableContents"/>
              <w:bidi w:val="0"/>
              <w:spacing w:before="0" w:after="283"/>
              <w:jc w:val="left"/>
              <w:rPr>
                <w:sz w:val="4"/>
                <w:szCs w:val="4"/>
              </w:rPr>
            </w:pPr>
            <w:r>
              <w:rPr>
                <w:sz w:val="4"/>
                <w:szCs w:val="4"/>
              </w:rPr>
            </w:r>
          </w:p>
        </w:tc>
        <w:tc>
          <w:tcPr>
            <w:tcW w:w="8400" w:type="dxa"/>
            <w:gridSpan w:val="18"/>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left"/>
              <w:rPr/>
            </w:pPr>
            <w:r>
              <w:rPr/>
              <w:t>4.</w:t>
            </w:r>
          </w:p>
        </w:tc>
        <w:tc>
          <w:tcPr>
            <w:tcW w:w="311" w:type="dxa"/>
            <w:tcBorders/>
            <w:vAlign w:val="center"/>
          </w:tcPr>
          <w:p>
            <w:pPr>
              <w:pStyle w:val="TableContents"/>
              <w:bidi w:val="0"/>
              <w:spacing w:before="0" w:after="283"/>
              <w:jc w:val="left"/>
              <w:rPr/>
            </w:pPr>
            <w:r>
              <w:rPr/>
              <w:t> </w:t>
            </w:r>
          </w:p>
        </w:tc>
        <w:tc>
          <w:tcPr>
            <w:tcW w:w="8089" w:type="dxa"/>
            <w:gridSpan w:val="17"/>
            <w:tcBorders/>
            <w:vAlign w:val="center"/>
          </w:tcPr>
          <w:p>
            <w:pPr>
              <w:pStyle w:val="TableContents"/>
              <w:bidi w:val="0"/>
              <w:spacing w:before="0" w:after="283"/>
              <w:jc w:val="left"/>
              <w:rPr/>
            </w:pPr>
            <w:r>
              <w:rPr/>
              <w:t>Advisory (non-binding) vote on the frequency of future advisory (non-binding) votes on the compensation of our named executive officers.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316" w:type="dxa"/>
            <w:tcBorders/>
            <w:vAlign w:val="center"/>
          </w:tcPr>
          <w:p>
            <w:pPr>
              <w:pStyle w:val="TableContents"/>
              <w:bidi w:val="0"/>
              <w:spacing w:before="0" w:after="283"/>
              <w:jc w:val="left"/>
              <w:rPr>
                <w:sz w:val="4"/>
                <w:szCs w:val="4"/>
              </w:rPr>
            </w:pPr>
            <w:r>
              <w:rPr>
                <w:sz w:val="4"/>
                <w:szCs w:val="4"/>
              </w:rPr>
            </w:r>
          </w:p>
        </w:tc>
        <w:tc>
          <w:tcPr>
            <w:tcW w:w="12369" w:type="dxa"/>
            <w:gridSpan w:val="26"/>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2247" w:type="dxa"/>
            <w:gridSpan w:val="25"/>
            <w:tcBorders/>
            <w:vAlign w:val="center"/>
          </w:tcPr>
          <w:p>
            <w:pPr>
              <w:pStyle w:val="TableContents"/>
              <w:bidi w:val="0"/>
              <w:spacing w:before="0" w:after="283"/>
              <w:jc w:val="left"/>
              <w:rPr/>
            </w:pPr>
            <w:r>
              <w:rPr>
                <w:b/>
              </w:rPr>
              <w:t xml:space="preserve">NOTE: </w:t>
            </w:r>
            <w:r>
              <w:rPr/>
              <w:t>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6949" w:type="dxa"/>
            <w:gridSpan w:val="18"/>
            <w:tcBorders/>
            <w:vAlign w:val="center"/>
          </w:tcPr>
          <w:p>
            <w:pPr>
              <w:pStyle w:val="TableContents"/>
              <w:bidi w:val="0"/>
              <w:spacing w:before="0" w:after="283"/>
              <w:jc w:val="left"/>
              <w:rPr>
                <w:sz w:val="4"/>
                <w:szCs w:val="4"/>
              </w:rPr>
            </w:pPr>
            <w:r>
              <w:rPr>
                <w:sz w:val="4"/>
                <w:szCs w:val="4"/>
              </w:rPr>
            </w:r>
          </w:p>
        </w:tc>
        <w:tc>
          <w:tcPr>
            <w:tcW w:w="2930"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6827" w:type="dxa"/>
            <w:gridSpan w:val="17"/>
            <w:tcBorders/>
            <w:vAlign w:val="center"/>
          </w:tcPr>
          <w:p>
            <w:pPr>
              <w:pStyle w:val="TableContents"/>
              <w:bidi w:val="0"/>
              <w:spacing w:before="0" w:after="0"/>
              <w:jc w:val="both"/>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tbl>
      <w:tblPr>
        <w:tblW w:w="10205" w:type="dxa"/>
        <w:jc w:val="left"/>
        <w:tblInd w:w="0" w:type="dxa"/>
        <w:tblLayout w:type="fixed"/>
        <w:tblCellMar>
          <w:top w:w="0" w:type="dxa"/>
          <w:left w:w="0" w:type="dxa"/>
          <w:bottom w:w="0" w:type="dxa"/>
          <w:right w:w="0" w:type="dxa"/>
        </w:tblCellMar>
      </w:tblPr>
      <w:tblGrid>
        <w:gridCol w:w="38"/>
        <w:gridCol w:w="60"/>
        <w:gridCol w:w="60"/>
        <w:gridCol w:w="60"/>
        <w:gridCol w:w="3369"/>
        <w:gridCol w:w="60"/>
        <w:gridCol w:w="593"/>
        <w:gridCol w:w="120"/>
        <w:gridCol w:w="23"/>
        <w:gridCol w:w="120"/>
        <w:gridCol w:w="2842"/>
        <w:gridCol w:w="120"/>
        <w:gridCol w:w="23"/>
        <w:gridCol w:w="60"/>
        <w:gridCol w:w="1843"/>
        <w:gridCol w:w="60"/>
        <w:gridCol w:w="593"/>
        <w:gridCol w:w="120"/>
        <w:gridCol w:w="4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369"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0"/>
              <w:jc w:val="both"/>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593"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843"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593"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69" w:type="dxa"/>
            <w:tcBorders/>
            <w:vAlign w:val="center"/>
          </w:tcPr>
          <w:p>
            <w:pPr>
              <w:pStyle w:val="TableContents"/>
              <w:bidi w:val="0"/>
              <w:spacing w:before="0" w:after="0"/>
              <w:jc w:val="left"/>
              <w:rPr/>
            </w:pPr>
            <w:r>
              <w:rPr/>
              <w:t> </w:t>
            </w:r>
          </w:p>
          <w:p>
            <w:pPr>
              <w:pStyle w:val="TableContents"/>
              <w:bidi w:val="0"/>
              <w:spacing w:before="20" w:after="20"/>
              <w:jc w:val="left"/>
              <w:rPr>
                <w:rFonts w:ascii="ARIAL" w:hAnsi="ARIAL"/>
                <w:sz w:val="16"/>
              </w:rPr>
            </w:pPr>
            <w:r>
              <w:rPr>
                <w:rFonts w:ascii="ARIAL" w:hAnsi="ARIAL"/>
                <w:sz w:val="16"/>
              </w:rPr>
              <w:t>Signature [PLEASE SIGN WITHIN BOX]   </w:t>
            </w:r>
          </w:p>
        </w:tc>
        <w:tc>
          <w:tcPr>
            <w:tcW w:w="60"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0"/>
              <w:jc w:val="left"/>
              <w:rPr/>
            </w:pPr>
            <w:r>
              <w:rPr/>
              <w:t> </w:t>
            </w:r>
          </w:p>
          <w:p>
            <w:pPr>
              <w:pStyle w:val="TableContents"/>
              <w:bidi w:val="0"/>
              <w:spacing w:before="20" w:after="20"/>
              <w:jc w:val="left"/>
              <w:rPr>
                <w:rFonts w:ascii="ARIAL" w:hAnsi="ARIAL"/>
                <w:sz w:val="16"/>
              </w:rPr>
            </w:pPr>
            <w:r>
              <w:rPr>
                <w:rFonts w:ascii="ARIAL" w:hAnsi="ARIAL"/>
                <w:sz w:val="16"/>
              </w:rPr>
              <w:t>Date  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0"/>
              <w:jc w:val="left"/>
              <w:rPr/>
            </w:pPr>
            <w:r>
              <w:rPr/>
              <w:t> </w:t>
            </w:r>
          </w:p>
          <w:p>
            <w:pPr>
              <w:pStyle w:val="TableContents"/>
              <w:bidi w:val="0"/>
              <w:spacing w:before="20" w:after="20"/>
              <w:jc w:val="left"/>
              <w:rPr>
                <w:rFonts w:ascii="ARIAL" w:hAnsi="ARIAL"/>
                <w:sz w:val="16"/>
              </w:rPr>
            </w:pPr>
            <w:r>
              <w:rPr>
                <w:rFonts w:ascii="ARIAL" w:hAnsi="ARIAL"/>
                <w:sz w:val="16"/>
              </w:rPr>
              <w:t>Signature (Joint Owners)</w:t>
            </w:r>
          </w:p>
        </w:tc>
        <w:tc>
          <w:tcPr>
            <w:tcW w:w="60"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0"/>
              <w:jc w:val="left"/>
              <w:rPr/>
            </w:pPr>
            <w:r>
              <w:rPr/>
              <w:t> </w:t>
            </w:r>
          </w:p>
          <w:p>
            <w:pPr>
              <w:pStyle w:val="TableContents"/>
              <w:bidi w:val="0"/>
              <w:spacing w:before="20" w:after="20"/>
              <w:jc w:val="left"/>
              <w:rPr>
                <w:rFonts w:ascii="ARIAL" w:hAnsi="ARIAL"/>
                <w:sz w:val="16"/>
              </w:rPr>
            </w:pPr>
            <w:r>
              <w:rPr>
                <w:rFonts w:ascii="ARIAL" w:hAnsi="ARIAL"/>
                <w:sz w:val="16"/>
              </w:rPr>
              <w:t>Date  </w:t>
            </w:r>
          </w:p>
        </w:tc>
        <w:tc>
          <w:tcPr>
            <w:tcW w:w="120" w:type="dxa"/>
            <w:tcBorders/>
            <w:vAlign w:val="center"/>
          </w:tcPr>
          <w:p>
            <w:pPr>
              <w:pStyle w:val="TableContents"/>
              <w:bidi w:val="0"/>
              <w:spacing w:before="0" w:after="283"/>
              <w:jc w:val="left"/>
              <w:rPr/>
            </w:pPr>
            <w:r>
              <w:rPr/>
              <w:t>  </w:t>
            </w:r>
          </w:p>
        </w:tc>
        <w:tc>
          <w:tcPr>
            <w:tcW w:w="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24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0" w:after="0"/>
        <w:jc w:val="center"/>
        <w:rPr>
          <w:rFonts w:ascii="ARIAL" w:hAnsi="ARIAL"/>
          <w:sz w:val="20"/>
        </w:rPr>
      </w:pPr>
      <w:r>
        <w:rPr>
          <w:rFonts w:ascii="ARIAL" w:hAnsi="ARIAL"/>
          <w:sz w:val="20"/>
        </w:rPr>
        <w:t xml:space="preserve">The Notice and Proxy Statement and Annual Report are available at www.proxyvote.com. </w:t>
      </w:r>
    </w:p>
    <w:p>
      <w:pPr>
        <w:pStyle w:val="TextBody"/>
        <w:bidi w:val="0"/>
        <w:spacing w:before="0" w:after="0"/>
        <w:jc w:val="left"/>
        <w:rPr/>
      </w:pPr>
      <w:r>
        <w:rPr/>
        <w:t> </w:t>
      </w:r>
    </w:p>
    <w:p>
      <w:pPr>
        <w:pStyle w:val="TextBody"/>
        <w:bidi w:val="0"/>
        <w:spacing w:before="240" w:after="0"/>
        <w:jc w:val="both"/>
        <w:rPr/>
      </w:pPr>
      <w:r>
        <w:rPr/>
        <w:t xml:space="preserve">— — — — — — — — — — — — — — — — — — — — — — — — — — — — — — — — — — — — — — — — — — — — — — — — — — — — — — — — — — — — — — — — — — — — — — — — </w:t>
      </w:r>
    </w:p>
    <w:p>
      <w:pPr>
        <w:pStyle w:val="TextBody"/>
        <w:bidi w:val="0"/>
        <w:spacing w:before="120" w:after="0"/>
        <w:jc w:val="right"/>
        <w:rPr>
          <w:rFonts w:ascii="ARIAL" w:hAnsi="ARIAL"/>
          <w:sz w:val="14"/>
        </w:rPr>
      </w:pPr>
      <w:r>
        <w:rPr>
          <w:rFonts w:ascii="ARIAL" w:hAnsi="ARIAL"/>
          <w:sz w:val="14"/>
        </w:rPr>
        <w:t xml:space="preserve">V44834-P09439   </w:t>
      </w:r>
    </w:p>
    <w:p>
      <w:pPr>
        <w:pStyle w:val="TextBody"/>
        <w:bidi w:val="0"/>
        <w:spacing w:before="0" w:after="0"/>
        <w:jc w:val="left"/>
        <w:rPr/>
      </w:pPr>
      <w:r>
        <w:rPr/>
        <w:t> </w:t>
      </w:r>
    </w:p>
    <w:p>
      <w:pPr>
        <w:pStyle w:val="TextBody"/>
        <w:pBdr/>
        <w:bidi w:val="0"/>
        <w:spacing w:before="0" w:after="0"/>
        <w:jc w:val="center"/>
        <w:rPr>
          <w:bdr w:val="single" w:sz="16" w:space="2" w:color="000000"/>
        </w:rPr>
      </w:pPr>
      <w:r>
        <w:rPr>
          <w:bdr w:val="single" w:sz="16" w:space="2" w:color="000000"/>
        </w:rPr>
        <w:t xml:space="preserve">  </w:t>
      </w:r>
    </w:p>
    <w:p>
      <w:pPr>
        <w:pStyle w:val="TextBody"/>
        <w:bidi w:val="0"/>
        <w:spacing w:before="0" w:after="0"/>
        <w:jc w:val="center"/>
        <w:rPr>
          <w:bdr w:val="single" w:sz="16" w:space="2" w:color="000000"/>
        </w:rPr>
      </w:pPr>
      <w:r>
        <w:rPr>
          <w:bdr w:val="single" w:sz="16" w:space="2" w:color="000000"/>
        </w:rPr>
        <w:t xml:space="preserve">  </w:t>
      </w:r>
    </w:p>
    <w:p>
      <w:pPr>
        <w:pStyle w:val="TextBody"/>
        <w:bidi w:val="0"/>
        <w:spacing w:before="0" w:after="0"/>
        <w:jc w:val="center"/>
        <w:rPr>
          <w:rFonts w:ascii="ARIAL" w:hAnsi="ARIAL"/>
          <w:b/>
          <w:sz w:val="26"/>
          <w:bdr w:val="single" w:sz="16" w:space="2" w:color="000000"/>
        </w:rPr>
      </w:pPr>
      <w:r>
        <w:rPr>
          <w:rFonts w:ascii="ARIAL" w:hAnsi="ARIAL"/>
          <w:b/>
          <w:sz w:val="26"/>
          <w:bdr w:val="single" w:sz="16" w:space="2" w:color="000000"/>
        </w:rPr>
        <w:t xml:space="preserve">MAGNACHIP SEMICONDUCTOR CORPORATION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Annual Meeting of Stockholders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June 13, 2024 8:00 P.M. EDT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This proxy is solicited by the Board of Directors </w:t>
      </w:r>
    </w:p>
    <w:p>
      <w:pPr>
        <w:pStyle w:val="TextBody"/>
        <w:bidi w:val="0"/>
        <w:spacing w:before="240" w:after="0"/>
        <w:jc w:val="both"/>
        <w:rPr>
          <w:rFonts w:ascii="ARIAL" w:hAnsi="ARIAL"/>
          <w:sz w:val="20"/>
          <w:bdr w:val="single" w:sz="16" w:space="2" w:color="000000"/>
        </w:rPr>
      </w:pPr>
      <w:r>
        <w:rPr>
          <w:rFonts w:ascii="ARIAL" w:hAnsi="ARIAL"/>
          <w:sz w:val="20"/>
          <w:bdr w:val="single" w:sz="16" w:space="2" w:color="000000"/>
        </w:rPr>
        <w:t xml:space="preserve">The stockholder(s) hereby appoint(s) Young-Joon Kim and Theodore Kim, or either of them, as proxies, each with the power to appoint his substitute, and hereby authorize(s) them to represent and to vote, as designated on the reverse side of this ballot, all of the shares of common stock of MAGNACHIP SEMICONDUCTOR CORPORATION that the stockholder(s) is/are entitled to vote at the 2024 Annual Meeting of Stockholders to be held at 8:00 P.M., EDT, on Thursday, June 13, 2024, via live interactive webcast on the Internet at www.virtualshareholdermeeting.com/MX2024, and any adjournment or postponement thereof. </w:t>
      </w:r>
    </w:p>
    <w:p>
      <w:pPr>
        <w:pStyle w:val="TextBody"/>
        <w:bidi w:val="0"/>
        <w:spacing w:before="240" w:after="0"/>
        <w:jc w:val="both"/>
        <w:rPr>
          <w:rFonts w:ascii="ARIAL" w:hAnsi="ARIAL"/>
          <w:b/>
          <w:sz w:val="20"/>
          <w:bdr w:val="single" w:sz="16" w:space="2" w:color="000000"/>
        </w:rPr>
      </w:pPr>
      <w:r>
        <w:rPr>
          <w:rFonts w:ascii="ARIAL" w:hAnsi="ARIAL"/>
          <w:b/>
          <w:sz w:val="20"/>
          <w:bdr w:val="single" w:sz="16" w:space="2" w:color="000000"/>
        </w:rPr>
        <w:t xml:space="preserve">This proxy, when properly executed, will be voted in the manner directed herein. If this proxy is properly executed and no such direction is made, this proxy will be voted in accordance with the Board of Directors’ recommendations. This proxy authorizes Young-Joon Kim and Theodore Kim to vote at each of their discretion on any other matter that may properly come before the meeting or any adjournment or postponement of the meeting. </w:t>
      </w:r>
    </w:p>
    <w:p>
      <w:pPr>
        <w:pStyle w:val="TextBody"/>
        <w:bidi w:val="0"/>
        <w:spacing w:before="0" w:after="0"/>
        <w:jc w:val="left"/>
        <w:rPr>
          <w:bdr w:val="single" w:sz="16" w:space="2" w:color="000000"/>
        </w:rPr>
      </w:pPr>
      <w:r>
        <w:rPr>
          <w:bdr w:val="single" w:sz="16" w:space="2" w:color="000000"/>
        </w:rPr>
        <w:t> </w:t>
      </w:r>
    </w:p>
    <w:p>
      <w:pPr>
        <w:pStyle w:val="TextBody"/>
        <w:bidi w:val="0"/>
        <w:spacing w:before="240" w:after="0"/>
        <w:jc w:val="center"/>
        <w:rPr>
          <w:rFonts w:ascii="ARIAL" w:hAnsi="ARIAL"/>
          <w:b/>
          <w:sz w:val="20"/>
          <w:bdr w:val="single" w:sz="16" w:space="2" w:color="000000"/>
        </w:rPr>
      </w:pPr>
      <w:r>
        <w:rPr>
          <w:rFonts w:ascii="ARIAL" w:hAnsi="ARIAL"/>
          <w:b/>
          <w:sz w:val="20"/>
          <w:bdr w:val="single" w:sz="16" w:space="2" w:color="000000"/>
        </w:rPr>
        <w:t xml:space="preserve">Continued and to be signed on reverse side </w:t>
      </w:r>
    </w:p>
    <w:p>
      <w:pPr>
        <w:pStyle w:val="TextBody"/>
        <w:pBdr/>
        <w:bidi w:val="0"/>
        <w:spacing w:before="0" w:after="0"/>
        <w:jc w:val="center"/>
        <w:rPr>
          <w:bdr w:val="single" w:sz="16" w:space="2" w:color="000000"/>
        </w:rPr>
      </w:pPr>
      <w:r>
        <w:rPr>
          <w:bdr w:val="single" w:sz="16" w:space="2" w:color="000000"/>
        </w:rPr>
        <w:t xml:space="preserve">  </w:t>
      </w:r>
    </w:p>
    <w:p>
      <w:pPr>
        <w:pStyle w:val="TextBody"/>
        <w:bidi w:val="0"/>
        <w:spacing w:before="0" w:after="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35655</Words>
  <Characters>193436</Characters>
  <CharactersWithSpaces>231748</CharactersWithSpaces>
  <Paragraphs>5746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